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EBD0A2" w14:textId="0E79FA0E" w:rsidR="00B01241" w:rsidRPr="00B01241" w:rsidRDefault="00D241B1" w:rsidP="00B01241">
      <w:pPr>
        <w:spacing w:line="480" w:lineRule="auto"/>
        <w:jc w:val="both"/>
        <w:rPr>
          <w:b/>
          <w:bCs/>
          <w:sz w:val="24"/>
          <w:szCs w:val="24"/>
        </w:rPr>
      </w:pPr>
      <w:r>
        <w:rPr>
          <w:b/>
          <w:bCs/>
          <w:sz w:val="24"/>
          <w:szCs w:val="24"/>
        </w:rPr>
        <w:t>Supplemental results</w:t>
      </w:r>
    </w:p>
    <w:p w14:paraId="299A896F" w14:textId="58F7DC74" w:rsidR="00B01241" w:rsidRDefault="00B01241" w:rsidP="00B01241">
      <w:pPr>
        <w:spacing w:line="480" w:lineRule="auto"/>
        <w:jc w:val="both"/>
        <w:rPr>
          <w:sz w:val="24"/>
          <w:szCs w:val="24"/>
        </w:rPr>
      </w:pPr>
      <w:r w:rsidRPr="002638BF">
        <w:rPr>
          <w:i/>
          <w:iCs/>
          <w:sz w:val="24"/>
          <w:szCs w:val="24"/>
        </w:rPr>
        <w:t>Effects of Microbiota-fiber interactions on liver histone posttranslational modifications.</w:t>
      </w:r>
      <w:r w:rsidRPr="002638BF">
        <w:rPr>
          <w:sz w:val="24"/>
          <w:szCs w:val="24"/>
        </w:rPr>
        <w:t xml:space="preserve"> Epigenetic states of chromatin are reflected in the covalent posttranslational modifications (PTMs) on histone proteins. The N-terminal tail of histones is highly decorated with PTMs, including lysine acetylation and methylation. These PTMs are combinatorial and are thought to integrate multiple environmental signals, including microbial metabolites</w:t>
      </w:r>
      <w:r>
        <w:rPr>
          <w:sz w:val="24"/>
          <w:szCs w:val="24"/>
        </w:rPr>
        <w:t xml:space="preserve"> </w:t>
      </w:r>
      <w:r>
        <w:rPr>
          <w:sz w:val="24"/>
          <w:szCs w:val="24"/>
        </w:rPr>
        <w:fldChar w:fldCharType="begin"/>
      </w:r>
      <w:r w:rsidR="00084F73">
        <w:rPr>
          <w:sz w:val="24"/>
          <w:szCs w:val="24"/>
        </w:rPr>
        <w:instrText xml:space="preserve"> ADDIN ZOTERO_ITEM CSL_CITATION {"citationID":"b65Xoku1","properties":{"formattedCitation":"[1\\uc0\\u8211{}3]","plainCitation":"[1–3]","noteIndex":0},"citationItems":[{"id":2163,"uris":["http://zotero.org/users/7670720/items/W4EUNW4W"],"uri":["http://zotero.org/users/7670720/items/W4EUNW4W"],"itemData":{"id":2163,"type":"article-journal","abstract":"Histone post-translational modifications regulate transcription and other DNA-templated functions. This process is dynamically regulated by specific modifying enzymes whose activities require metabolites that either serve as co-substrates or act as activators/inhibitors. Therefore, metabolism can influence histone modification by changing local concentrations of key metabolites. Physiologically, the epigenetic response to metabolism is important for nutrient sensing and environment adaption. In pathologic states, the connection between metabolism and histone modification mediates epigenetic abnormality in complex disease. In this review, we summarize recent studies of the molecular mechanisms involved in metabolic regulation of histone modifications and discuss their biological significance.","container-title":"ACS Chemical Biology","DOI":"10.1021/cb500846u","ISSN":"1554-8929, 1554-8937","issue":"1","journalAbbreviation":"ACS Chem. Biol.","language":"en","page":"95-108","source":"DOI.org (Crossref)","title":"Metabolic Regulation of Histone Post-Translational Modifications","volume":"10","author":[{"family":"Fan","given":"Jing"},{"family":"Krautkramer","given":"Kimberly A."},{"family":"Feldman","given":"Jessica L."},{"family":"Denu","given":"John M."}],"issued":{"date-parts":[["2015",1,16]]}}},{"id":1180,"uris":["http://zotero.org/users/7670720/items/733RV6ZE"],"uri":["http://zotero.org/users/7670720/items/733RV6ZE"],"itemData":{"id":1180,"type":"article-journal","container-title":"Journal of Biological Chemistry","DOI":"10.1074/jbc.R116.761577","ISSN":"00219258","issue":"21","journalAbbreviation":"Journal of Biological Chemistry","language":"en","page":"8582-8593","source":"DOI.org (Crossref)","title":"Chemical signaling between gut microbiota and host chromatin: What is your gut really saying?","title-short":"Chemical signaling between gut microbiota and host chromatin","volume":"292","author":[{"family":"Krautkramer","given":"Kimberly A."},{"family":"Rey","given":"Federico E."},{"family":"Denu","given":"John M."}],"issued":{"date-parts":[["2017",5]]}}},{"id":1374,"uris":["http://zotero.org/users/7670720/items/HGFHKIJ5"],"uri":["http://zotero.org/users/7670720/items/HGFHKIJ5"],"itemData":{"id":1374,"type":"article-journal","abstract":"Histone-modifying enzymes regulate transcription and are sensitive to availability of endogenous small-molecule metabolites, allowing chromatin to respond to changes in environment. The gut microbiota produces a myriad of metabolites that affect host physiology and susceptibility to disease; however, the underlying molecular events remain largely unknown. Here we demonstrate that microbial colonization regulates global histone acetylation and methylation in multiple host tissues in a diet-dependent manner: consumption of a ‘‘Western-type’’ diet prevents many of the microbiota-dependent chromatin changes that occur in a polysacchariderich diet. Finally, we demonstrate that supplementation of germ-free mice with short-chain fatty acids, major products of gut bacterial fermentation, is sufﬁcient to recapitulate chromatin modiﬁcation states and transcriptional responses associated with colonization. These ﬁndings have profound implications for understanding the complex functional interactions between diet, gut microbiota, and host health.","container-title":"Molecular Cell","DOI":"10.1016/j.molcel.2016.10.025","ISSN":"10972765","issue":"5","journalAbbreviation":"Molecular Cell","language":"en","page":"982-992","source":"DOI.org (Crossref)","title":"Diet-Microbiota Interactions Mediate Global Epigenetic Programming in Multiple Host Tissues","volume":"64","author":[{"family":"Krautkramer","given":"Kimberly A."},{"family":"Kreznar","given":"Julia H."},{"family":"Romano","given":"Kymberleigh A."},{"family":"Vivas","given":"Eugenio I."},{"family":"Barrett-Wilt","given":"Gregory A."},{"family":"Rabaglia","given":"Mary E."},{"family":"Keller","given":"Mark P."},{"family":"Attie","given":"Alan D."},{"family":"Rey","given":"Federico E."},{"family":"Denu","given":"John M."}],"issued":{"date-parts":[["2016",12]]}}}],"schema":"https://github.com/citation-style-language/schema/raw/master/csl-citation.json"} </w:instrText>
      </w:r>
      <w:r>
        <w:rPr>
          <w:sz w:val="24"/>
          <w:szCs w:val="24"/>
        </w:rPr>
        <w:fldChar w:fldCharType="separate"/>
      </w:r>
      <w:r w:rsidR="00084F73" w:rsidRPr="00084F73">
        <w:rPr>
          <w:sz w:val="24"/>
        </w:rPr>
        <w:t>[1–3]</w:t>
      </w:r>
      <w:r>
        <w:rPr>
          <w:sz w:val="24"/>
          <w:szCs w:val="24"/>
        </w:rPr>
        <w:fldChar w:fldCharType="end"/>
      </w:r>
      <w:r w:rsidRPr="00AD3199">
        <w:rPr>
          <w:sz w:val="24"/>
          <w:szCs w:val="24"/>
        </w:rPr>
        <w:t>.</w:t>
      </w:r>
      <w:r w:rsidRPr="002638BF">
        <w:rPr>
          <w:sz w:val="24"/>
          <w:szCs w:val="24"/>
        </w:rPr>
        <w:t xml:space="preserve"> </w:t>
      </w:r>
      <w:r>
        <w:rPr>
          <w:sz w:val="24"/>
          <w:szCs w:val="24"/>
        </w:rPr>
        <w:t>W</w:t>
      </w:r>
      <w:r w:rsidRPr="002638BF">
        <w:rPr>
          <w:sz w:val="24"/>
          <w:szCs w:val="24"/>
        </w:rPr>
        <w:t xml:space="preserve">e examined histone PTM states as a function of community for each fiber treatment. We surveyed &gt;60 acetylated, </w:t>
      </w:r>
      <w:proofErr w:type="spellStart"/>
      <w:r w:rsidRPr="002638BF">
        <w:rPr>
          <w:sz w:val="24"/>
          <w:szCs w:val="24"/>
        </w:rPr>
        <w:t>propionylated</w:t>
      </w:r>
      <w:proofErr w:type="spellEnd"/>
      <w:r w:rsidRPr="002638BF">
        <w:rPr>
          <w:sz w:val="24"/>
          <w:szCs w:val="24"/>
        </w:rPr>
        <w:t>, and methylated histone PTM states in liver samples</w:t>
      </w:r>
      <w:r>
        <w:rPr>
          <w:sz w:val="24"/>
          <w:szCs w:val="24"/>
        </w:rPr>
        <w:t xml:space="preserve"> </w:t>
      </w:r>
      <w:r>
        <w:rPr>
          <w:sz w:val="24"/>
          <w:szCs w:val="24"/>
        </w:rPr>
        <w:fldChar w:fldCharType="begin"/>
      </w:r>
      <w:r w:rsidR="00084F73">
        <w:rPr>
          <w:sz w:val="24"/>
          <w:szCs w:val="24"/>
        </w:rPr>
        <w:instrText xml:space="preserve"> ADDIN ZOTERO_ITEM CSL_CITATION {"citationID":"dzxK5HOU","properties":{"formattedCitation":"[4]","plainCitation":"[4]","noteIndex":0},"citationItems":[{"id":2678,"uris":["http://zotero.org/users/7670720/items/2QALGUGE"],"uri":["http://zotero.org/users/7670720/items/2QALGUGE"],"itemData":{"id":2678,"type":"article-journal","abstract":"Histone post-translational modiﬁcations (PTMs) are important regulators of chromatin structure and gene expression. Quantitative analysis of histone PTMs by mass spectrometry remains extremely challenging due to the complex and combinatorial nature of histone PTMs. The most commonly used mass spectrometry-based method for high-throughput histone PTM analysis is data-dependent acquisition (DDA). However, stochastic precursor selection and dependence on MS1 ions for quantiﬁcation impede comprehensive interrogation of histone PTM states using DDA methods. To overcome these limitations, we utilized a data-independent acquisition (DIA) workﬂow that provides superior run-to-run consistency and postacquisition ﬂexibility in comparison to DDA methods. In addition, we developed a novel DIA-based methodology to quantify isobaric, co-eluting histone peptides that lack unique MS2 transitions. Our method enabled deconvolution and quantiﬁcation of histone PTMs that are otherwise refractory to quantitation, including the heavily acetylated tail of histone H4. Using this workﬂow, we investigated the e</w:instrText>
      </w:r>
      <w:r w:rsidR="00084F73">
        <w:rPr>
          <w:rFonts w:ascii="Cambria Math" w:hAnsi="Cambria Math" w:cs="Cambria Math"/>
          <w:sz w:val="24"/>
          <w:szCs w:val="24"/>
        </w:rPr>
        <w:instrText>ﬀ</w:instrText>
      </w:r>
      <w:r w:rsidR="00084F73">
        <w:rPr>
          <w:sz w:val="24"/>
          <w:szCs w:val="24"/>
        </w:rPr>
        <w:instrText xml:space="preserve">ects of the histone deacetylase inhibitor SAHA (suberoylanilide hydroxamic acid) on the global histone PTM state of human breast cancer MCF7 cells. A total of 62 unique histone PTMs were quantiﬁed, revealing novel SAHA-induced changes in acetylation and methylation of histones H3 and H4.","container-title":"Journal of Proteome Research","DOI":"10.1021/acs.jproteome.5b00245","ISSN":"1535-3893, 1535-3907","issue":"8","journalAbbreviation":"J. Proteome Res.","language":"en","page":"3252-3262","source":"DOI.org (Crossref)","title":"Quantification of SAHA-Dependent Changes in Histone Modifications Using Data-Independent Acquisition Mass Spectrometry","volume":"14","author":[{"family":"Krautkramer","given":"Kimberly A."},{"family":"Reiter","given":"Lukas"},{"family":"Denu","given":"John M."},{"family":"Dowell","given":"James A."}],"issued":{"date-parts":[["2015",8,7]]}}}],"schema":"https://github.com/citation-style-language/schema/raw/master/csl-citation.json"} </w:instrText>
      </w:r>
      <w:r>
        <w:rPr>
          <w:sz w:val="24"/>
          <w:szCs w:val="24"/>
        </w:rPr>
        <w:fldChar w:fldCharType="separate"/>
      </w:r>
      <w:r w:rsidR="00084F73">
        <w:rPr>
          <w:noProof/>
          <w:sz w:val="24"/>
          <w:szCs w:val="24"/>
        </w:rPr>
        <w:t>[4]</w:t>
      </w:r>
      <w:r>
        <w:rPr>
          <w:sz w:val="24"/>
          <w:szCs w:val="24"/>
        </w:rPr>
        <w:fldChar w:fldCharType="end"/>
      </w:r>
      <w:r w:rsidRPr="002638BF">
        <w:rPr>
          <w:sz w:val="24"/>
          <w:szCs w:val="24"/>
        </w:rPr>
        <w:t xml:space="preserve">. </w:t>
      </w:r>
      <w:r>
        <w:rPr>
          <w:sz w:val="24"/>
          <w:szCs w:val="24"/>
        </w:rPr>
        <w:t xml:space="preserve">The liver </w:t>
      </w:r>
      <w:r w:rsidRPr="00702045">
        <w:rPr>
          <w:rFonts w:hint="eastAsia"/>
          <w:sz w:val="24"/>
          <w:szCs w:val="24"/>
        </w:rPr>
        <w:t>receives a large fraction of its blood supply through the portal circulation,</w:t>
      </w:r>
      <w:r>
        <w:rPr>
          <w:sz w:val="24"/>
          <w:szCs w:val="24"/>
        </w:rPr>
        <w:t xml:space="preserve"> </w:t>
      </w:r>
      <w:r w:rsidRPr="00654412">
        <w:rPr>
          <w:sz w:val="24"/>
          <w:szCs w:val="24"/>
        </w:rPr>
        <w:t>which is the direct venous outflow of the intestine</w:t>
      </w:r>
      <w:r>
        <w:rPr>
          <w:sz w:val="24"/>
          <w:szCs w:val="24"/>
        </w:rPr>
        <w:t>. As such, the liver</w:t>
      </w:r>
      <w:r w:rsidRPr="00654412">
        <w:rPr>
          <w:sz w:val="24"/>
          <w:szCs w:val="24"/>
        </w:rPr>
        <w:t xml:space="preserve"> </w:t>
      </w:r>
      <w:r w:rsidRPr="00702045">
        <w:rPr>
          <w:rFonts w:hint="eastAsia"/>
          <w:sz w:val="24"/>
          <w:szCs w:val="24"/>
        </w:rPr>
        <w:t xml:space="preserve">is </w:t>
      </w:r>
      <w:r>
        <w:rPr>
          <w:sz w:val="24"/>
          <w:szCs w:val="24"/>
        </w:rPr>
        <w:t>continuously</w:t>
      </w:r>
      <w:r w:rsidRPr="00702045">
        <w:rPr>
          <w:rFonts w:hint="eastAsia"/>
          <w:sz w:val="24"/>
          <w:szCs w:val="24"/>
        </w:rPr>
        <w:t xml:space="preserve"> exposed to gut microbi</w:t>
      </w:r>
      <w:r>
        <w:rPr>
          <w:sz w:val="24"/>
          <w:szCs w:val="24"/>
        </w:rPr>
        <w:t>al</w:t>
      </w:r>
      <w:r>
        <w:rPr>
          <w:rFonts w:hint="eastAsia"/>
          <w:sz w:val="24"/>
          <w:szCs w:val="24"/>
        </w:rPr>
        <w:t>-</w:t>
      </w:r>
      <w:r w:rsidRPr="00702045">
        <w:rPr>
          <w:rFonts w:hint="eastAsia"/>
          <w:sz w:val="24"/>
          <w:szCs w:val="24"/>
        </w:rPr>
        <w:t>derived products</w:t>
      </w:r>
      <w:r>
        <w:rPr>
          <w:sz w:val="24"/>
          <w:szCs w:val="24"/>
        </w:rPr>
        <w:t xml:space="preserve">, including SCFAs and bacterial toxins </w:t>
      </w:r>
      <w:r>
        <w:rPr>
          <w:sz w:val="24"/>
          <w:szCs w:val="24"/>
        </w:rPr>
        <w:fldChar w:fldCharType="begin"/>
      </w:r>
      <w:r w:rsidR="005C5476">
        <w:rPr>
          <w:sz w:val="24"/>
          <w:szCs w:val="24"/>
        </w:rPr>
        <w:instrText xml:space="preserve"> ADDIN ZOTERO_ITEM CSL_CITATION {"citationID":"I2a19yRw","properties":{"formattedCitation":"[5]","plainCitation":"[5]","noteIndex":0},"citationItems":[{"id":3122,"uris":["http://zotero.org/users/7670720/items/RA2LSMWV"],"uri":["http://zotero.org/users/7670720/items/RA2LSMWV"],"itemData":{"id":3122,"type":"article-journal","abstract":"Emerging evidence suggests a strong interaction between the gut microbiota and health and disease. The interactions of the gut microbiota and the liver have only recently been investigated in detail. Receiving approximately 70% of its blood supply from the intestinal venous outflow, the liver represents the first line of defense against gut-derived antigens and is equipped with a broad array of immune cells (i.e., macrophages, lymphocytes, natural killer cells, and dendritic cells) to accomplish this function. In the setting of tissue injury, whereby the liver is otherwise damaged (e.g., viral infection, toxin exposure, ischemic tissue damage, etc.), these same immune cell populations and their interactions with the infiltrating gut bacteria likely contribute to and promote these pathologies. The following paper will highlight recent studies investigating the relationship between the gut microbiota, liver biology, and pathobiology. Defining these connections will likely provide new targets for therapy or prevention of a wide variety of acute and chronic liver pathologies.","container-title":"Gastroenterology Research and Practice","DOI":"10.1155/2010/453563","ISSN":"1687-630X","issue":"453563","journalAbbreviation":"Gastroenterol Res Pract","language":"eng","note":"PMID: 20706692\nPMCID: PMC2913801","source":"PubMed","title":"Contribution of gut bacteria to liver pathobiology","volume":"2010","author":[{"family":"Son","given":"Gakuhei"},{"family":"Kremer","given":"Michael"},{"family":"Hines","given":"Ian N."}],"issued":{"date-parts":[["2010"]]}}}],"schema":"https://github.com/citation-style-language/schema/raw/master/csl-citation.json"} </w:instrText>
      </w:r>
      <w:r>
        <w:rPr>
          <w:sz w:val="24"/>
          <w:szCs w:val="24"/>
        </w:rPr>
        <w:fldChar w:fldCharType="separate"/>
      </w:r>
      <w:r w:rsidR="005C5476">
        <w:rPr>
          <w:noProof/>
          <w:sz w:val="24"/>
          <w:szCs w:val="24"/>
        </w:rPr>
        <w:t>[5]</w:t>
      </w:r>
      <w:r>
        <w:rPr>
          <w:sz w:val="24"/>
          <w:szCs w:val="24"/>
        </w:rPr>
        <w:fldChar w:fldCharType="end"/>
      </w:r>
      <w:r w:rsidRPr="00F03D77">
        <w:rPr>
          <w:sz w:val="24"/>
          <w:szCs w:val="24"/>
        </w:rPr>
        <w:t>.</w:t>
      </w:r>
      <w:r>
        <w:rPr>
          <w:sz w:val="24"/>
          <w:szCs w:val="24"/>
        </w:rPr>
        <w:t xml:space="preserve">  We found that colonization of mice with </w:t>
      </w:r>
      <w:proofErr w:type="spellStart"/>
      <w:r w:rsidRPr="002638BF">
        <w:rPr>
          <w:sz w:val="24"/>
          <w:szCs w:val="24"/>
        </w:rPr>
        <w:t>SubA</w:t>
      </w:r>
      <w:proofErr w:type="spellEnd"/>
      <w:r w:rsidRPr="002638BF">
        <w:rPr>
          <w:sz w:val="24"/>
          <w:szCs w:val="24"/>
        </w:rPr>
        <w:t xml:space="preserve"> and </w:t>
      </w:r>
      <w:proofErr w:type="spellStart"/>
      <w:r w:rsidRPr="002638BF">
        <w:rPr>
          <w:sz w:val="24"/>
          <w:szCs w:val="24"/>
        </w:rPr>
        <w:t>SubB</w:t>
      </w:r>
      <w:proofErr w:type="spellEnd"/>
      <w:r w:rsidRPr="002638BF">
        <w:rPr>
          <w:sz w:val="24"/>
          <w:szCs w:val="24"/>
        </w:rPr>
        <w:t xml:space="preserve"> communities affect</w:t>
      </w:r>
      <w:r>
        <w:rPr>
          <w:sz w:val="24"/>
          <w:szCs w:val="24"/>
        </w:rPr>
        <w:t>ed liver</w:t>
      </w:r>
      <w:r w:rsidRPr="002638BF">
        <w:rPr>
          <w:sz w:val="24"/>
          <w:szCs w:val="24"/>
        </w:rPr>
        <w:t xml:space="preserve"> histone acetylation and methylation to different extents in the four fiber groups. The most significant changes were observed when comparing the effects of pectin between the two communities (</w:t>
      </w:r>
      <w:r>
        <w:rPr>
          <w:sz w:val="24"/>
          <w:szCs w:val="24"/>
        </w:rPr>
        <w:t>Fig. S13</w:t>
      </w:r>
      <w:r w:rsidRPr="002638BF">
        <w:rPr>
          <w:sz w:val="24"/>
          <w:szCs w:val="24"/>
        </w:rPr>
        <w:t>). Within the family of H3K9K14 peptides quantified there is significant loss of unmodified, monoacetylation</w:t>
      </w:r>
      <w:r>
        <w:rPr>
          <w:sz w:val="24"/>
          <w:szCs w:val="24"/>
        </w:rPr>
        <w:t>,</w:t>
      </w:r>
      <w:r w:rsidRPr="002638BF">
        <w:rPr>
          <w:sz w:val="24"/>
          <w:szCs w:val="24"/>
        </w:rPr>
        <w:t xml:space="preserve"> and </w:t>
      </w:r>
      <w:proofErr w:type="spellStart"/>
      <w:r w:rsidRPr="002638BF">
        <w:rPr>
          <w:sz w:val="24"/>
          <w:szCs w:val="24"/>
        </w:rPr>
        <w:t>monomethylation</w:t>
      </w:r>
      <w:proofErr w:type="spellEnd"/>
      <w:r w:rsidRPr="002638BF">
        <w:rPr>
          <w:sz w:val="24"/>
          <w:szCs w:val="24"/>
        </w:rPr>
        <w:t xml:space="preserve"> peptides (Fig</w:t>
      </w:r>
      <w:r>
        <w:rPr>
          <w:sz w:val="24"/>
          <w:szCs w:val="24"/>
        </w:rPr>
        <w:t>.</w:t>
      </w:r>
      <w:r w:rsidRPr="002638BF">
        <w:rPr>
          <w:sz w:val="24"/>
          <w:szCs w:val="24"/>
        </w:rPr>
        <w:t xml:space="preserve"> </w:t>
      </w:r>
      <w:r>
        <w:rPr>
          <w:sz w:val="24"/>
          <w:szCs w:val="24"/>
        </w:rPr>
        <w:t>14</w:t>
      </w:r>
      <w:r w:rsidRPr="002638BF">
        <w:rPr>
          <w:sz w:val="24"/>
          <w:szCs w:val="24"/>
        </w:rPr>
        <w:t xml:space="preserve">A) that is likely accounted for by an increase in H3K9me3, though the errors on this peptide species are too large to confirm </w:t>
      </w:r>
      <w:r>
        <w:rPr>
          <w:sz w:val="24"/>
          <w:szCs w:val="24"/>
        </w:rPr>
        <w:t>it</w:t>
      </w:r>
      <w:r w:rsidRPr="002638BF">
        <w:rPr>
          <w:sz w:val="24"/>
          <w:szCs w:val="24"/>
        </w:rPr>
        <w:t>. The H3K27K36 family of peptides shows a net loss of K36 methylation but a trending gain of tri-methylation at H3K27 (</w:t>
      </w:r>
      <w:r>
        <w:rPr>
          <w:sz w:val="24"/>
          <w:szCs w:val="24"/>
        </w:rPr>
        <w:t>Fig. S13</w:t>
      </w:r>
      <w:r w:rsidRPr="002638BF">
        <w:rPr>
          <w:sz w:val="24"/>
          <w:szCs w:val="24"/>
        </w:rPr>
        <w:t xml:space="preserve"> and Fig</w:t>
      </w:r>
      <w:r>
        <w:rPr>
          <w:sz w:val="24"/>
          <w:szCs w:val="24"/>
        </w:rPr>
        <w:t>.</w:t>
      </w:r>
      <w:r w:rsidRPr="002638BF">
        <w:rPr>
          <w:sz w:val="24"/>
          <w:szCs w:val="24"/>
        </w:rPr>
        <w:t xml:space="preserve"> </w:t>
      </w:r>
      <w:r>
        <w:rPr>
          <w:sz w:val="24"/>
          <w:szCs w:val="24"/>
        </w:rPr>
        <w:t>14</w:t>
      </w:r>
      <w:r w:rsidRPr="002638BF">
        <w:rPr>
          <w:sz w:val="24"/>
          <w:szCs w:val="24"/>
        </w:rPr>
        <w:t xml:space="preserve">B). Collectively, these specific changes suggest a net increase in repressive chromatin states in </w:t>
      </w:r>
      <w:proofErr w:type="spellStart"/>
      <w:r w:rsidRPr="002638BF">
        <w:rPr>
          <w:sz w:val="24"/>
          <w:szCs w:val="24"/>
        </w:rPr>
        <w:t>SubB</w:t>
      </w:r>
      <w:proofErr w:type="spellEnd"/>
      <w:r>
        <w:rPr>
          <w:sz w:val="24"/>
          <w:szCs w:val="24"/>
        </w:rPr>
        <w:t>-</w:t>
      </w:r>
      <w:r w:rsidRPr="002638BF">
        <w:rPr>
          <w:sz w:val="24"/>
          <w:szCs w:val="24"/>
        </w:rPr>
        <w:t xml:space="preserve"> relative to </w:t>
      </w:r>
      <w:proofErr w:type="spellStart"/>
      <w:r w:rsidRPr="002638BF">
        <w:rPr>
          <w:sz w:val="24"/>
          <w:szCs w:val="24"/>
        </w:rPr>
        <w:t>SubA</w:t>
      </w:r>
      <w:proofErr w:type="spellEnd"/>
      <w:r>
        <w:rPr>
          <w:sz w:val="24"/>
          <w:szCs w:val="24"/>
        </w:rPr>
        <w:t>-colonized mice</w:t>
      </w:r>
      <w:r w:rsidRPr="002638BF">
        <w:rPr>
          <w:sz w:val="24"/>
          <w:szCs w:val="24"/>
        </w:rPr>
        <w:t xml:space="preserve"> </w:t>
      </w:r>
      <w:r>
        <w:rPr>
          <w:sz w:val="24"/>
          <w:szCs w:val="24"/>
        </w:rPr>
        <w:t>in the</w:t>
      </w:r>
      <w:r w:rsidRPr="002638BF">
        <w:rPr>
          <w:sz w:val="24"/>
          <w:szCs w:val="24"/>
        </w:rPr>
        <w:t xml:space="preserve"> pectin diet. Perhaps most surprising is the lack of significant increases in many acetylation sites (</w:t>
      </w:r>
      <w:r>
        <w:rPr>
          <w:sz w:val="24"/>
          <w:szCs w:val="24"/>
        </w:rPr>
        <w:t>Fig. S13</w:t>
      </w:r>
      <w:r w:rsidRPr="002638BF">
        <w:rPr>
          <w:sz w:val="24"/>
          <w:szCs w:val="24"/>
        </w:rPr>
        <w:t>)</w:t>
      </w:r>
      <w:r>
        <w:rPr>
          <w:sz w:val="24"/>
          <w:szCs w:val="24"/>
        </w:rPr>
        <w:t>; since</w:t>
      </w:r>
      <w:r w:rsidRPr="00722A11">
        <w:rPr>
          <w:sz w:val="24"/>
          <w:szCs w:val="24"/>
        </w:rPr>
        <w:t xml:space="preserve"> butyrate is known to be a histone deacetylase inhibitor, we had hypothesized that butyrate </w:t>
      </w:r>
      <w:r w:rsidRPr="00722A11">
        <w:rPr>
          <w:sz w:val="24"/>
          <w:szCs w:val="24"/>
        </w:rPr>
        <w:lastRenderedPageBreak/>
        <w:t>levels would primarily influence histone acetylation. However, these results suggest that gut microbiota-fiber interactions impact histone modifications in a complex fashion that cannot be solely isolated to the capacity to generate butyrat</w:t>
      </w:r>
      <w:r>
        <w:rPr>
          <w:sz w:val="24"/>
          <w:szCs w:val="24"/>
        </w:rPr>
        <w:t>e.</w:t>
      </w:r>
    </w:p>
    <w:p w14:paraId="1D6FCB55" w14:textId="77777777" w:rsidR="002E6D83" w:rsidRPr="00F338CE" w:rsidRDefault="002E6D83" w:rsidP="00B01241">
      <w:pPr>
        <w:spacing w:line="480" w:lineRule="auto"/>
        <w:jc w:val="both"/>
        <w:rPr>
          <w:rFonts w:eastAsia="Arial"/>
          <w:b/>
          <w:bCs/>
          <w:color w:val="000000"/>
          <w:sz w:val="24"/>
          <w:szCs w:val="24"/>
        </w:rPr>
      </w:pPr>
    </w:p>
    <w:p w14:paraId="4B10962B" w14:textId="0111A83D" w:rsidR="00B01241" w:rsidRPr="00F338CE" w:rsidRDefault="002E6D83" w:rsidP="00B01241">
      <w:pPr>
        <w:spacing w:line="480" w:lineRule="auto"/>
        <w:jc w:val="both"/>
        <w:rPr>
          <w:b/>
          <w:bCs/>
          <w:sz w:val="24"/>
          <w:szCs w:val="24"/>
          <w:lang w:val="es-ES"/>
        </w:rPr>
      </w:pPr>
      <w:proofErr w:type="spellStart"/>
      <w:r w:rsidRPr="00F338CE">
        <w:rPr>
          <w:rFonts w:eastAsia="Arial"/>
          <w:b/>
          <w:bCs/>
          <w:color w:val="000000"/>
          <w:sz w:val="24"/>
          <w:szCs w:val="24"/>
          <w:lang w:val="es-ES"/>
        </w:rPr>
        <w:t>References</w:t>
      </w:r>
      <w:proofErr w:type="spellEnd"/>
    </w:p>
    <w:p w14:paraId="2C40B5A9" w14:textId="77777777" w:rsidR="005C5476" w:rsidRPr="005C5476" w:rsidRDefault="00084F73" w:rsidP="005C5476">
      <w:pPr>
        <w:pStyle w:val="Bibliography"/>
        <w:rPr>
          <w:sz w:val="24"/>
        </w:rPr>
      </w:pPr>
      <w:r>
        <w:rPr>
          <w:sz w:val="24"/>
          <w:szCs w:val="24"/>
        </w:rPr>
        <w:fldChar w:fldCharType="begin"/>
      </w:r>
      <w:r w:rsidRPr="00F338CE">
        <w:rPr>
          <w:sz w:val="24"/>
          <w:szCs w:val="24"/>
          <w:lang w:val="es-ES"/>
        </w:rPr>
        <w:instrText xml:space="preserve"> ADDIN ZOTERO_BIBL {"uncited":[],"omitted":[],"custom":[]} CSL_BIBLIOGRAPHY </w:instrText>
      </w:r>
      <w:r>
        <w:rPr>
          <w:sz w:val="24"/>
          <w:szCs w:val="24"/>
        </w:rPr>
        <w:fldChar w:fldCharType="separate"/>
      </w:r>
      <w:r w:rsidR="005C5476" w:rsidRPr="00F338CE">
        <w:rPr>
          <w:sz w:val="24"/>
          <w:lang w:val="es-ES"/>
        </w:rPr>
        <w:t xml:space="preserve">1. Fan J, Krautkramer KA, Feldman JL, Denu JM. </w:t>
      </w:r>
      <w:r w:rsidR="005C5476" w:rsidRPr="005C5476">
        <w:rPr>
          <w:sz w:val="24"/>
        </w:rPr>
        <w:t xml:space="preserve">Metabolic Regulation of Histone Post-Translational Modifications. ACS Chem Biol. 2015;10:95–108. </w:t>
      </w:r>
    </w:p>
    <w:p w14:paraId="4985CD44" w14:textId="77777777" w:rsidR="005C5476" w:rsidRPr="005C5476" w:rsidRDefault="005C5476" w:rsidP="005C5476">
      <w:pPr>
        <w:pStyle w:val="Bibliography"/>
        <w:rPr>
          <w:sz w:val="24"/>
        </w:rPr>
      </w:pPr>
      <w:r w:rsidRPr="005C5476">
        <w:rPr>
          <w:sz w:val="24"/>
        </w:rPr>
        <w:t xml:space="preserve">2. Krautkramer KA, Rey FE, Denu JM. Chemical signaling between gut microbiota and host chromatin: What is your gut really saying? Journal of Biological Chemistry. 2017;292:8582–93. </w:t>
      </w:r>
    </w:p>
    <w:p w14:paraId="2D207E60" w14:textId="77777777" w:rsidR="005C5476" w:rsidRPr="005C5476" w:rsidRDefault="005C5476" w:rsidP="005C5476">
      <w:pPr>
        <w:pStyle w:val="Bibliography"/>
        <w:rPr>
          <w:sz w:val="24"/>
        </w:rPr>
      </w:pPr>
      <w:r w:rsidRPr="005C5476">
        <w:rPr>
          <w:sz w:val="24"/>
        </w:rPr>
        <w:t xml:space="preserve">3. Krautkramer KA, Kreznar JH, Romano KA, Vivas EI, Barrett-Wilt GA, Rabaglia ME, et al. Diet-Microbiota Interactions Mediate Global Epigenetic Programming in Multiple Host Tissues. Molecular Cell. 2016;64:982–92. </w:t>
      </w:r>
    </w:p>
    <w:p w14:paraId="529CE617" w14:textId="77777777" w:rsidR="005C5476" w:rsidRPr="005C5476" w:rsidRDefault="005C5476" w:rsidP="005C5476">
      <w:pPr>
        <w:pStyle w:val="Bibliography"/>
        <w:rPr>
          <w:sz w:val="24"/>
        </w:rPr>
      </w:pPr>
      <w:r w:rsidRPr="005C5476">
        <w:rPr>
          <w:sz w:val="24"/>
        </w:rPr>
        <w:t xml:space="preserve">4. Krautkramer KA, Reiter L, Denu JM, Dowell JA. Quantification of SAHA-Dependent Changes in Histone Modifications Using Data-Independent Acquisition Mass Spectrometry. J Proteome Res. 2015;14:3252–62. </w:t>
      </w:r>
    </w:p>
    <w:p w14:paraId="6833E98D" w14:textId="77777777" w:rsidR="005C5476" w:rsidRPr="005C5476" w:rsidRDefault="005C5476" w:rsidP="005C5476">
      <w:pPr>
        <w:pStyle w:val="Bibliography"/>
        <w:rPr>
          <w:sz w:val="24"/>
        </w:rPr>
      </w:pPr>
      <w:r w:rsidRPr="005C5476">
        <w:rPr>
          <w:sz w:val="24"/>
        </w:rPr>
        <w:t xml:space="preserve">5. Son G, Kremer M, Hines IN. Contribution of gut bacteria to liver pathobiology. Gastroenterol Res Pract. 2010;2010. </w:t>
      </w:r>
    </w:p>
    <w:p w14:paraId="68E3B012" w14:textId="41364F3D" w:rsidR="00B01241" w:rsidRPr="00657099" w:rsidRDefault="00084F73" w:rsidP="00B01241">
      <w:pPr>
        <w:spacing w:line="480" w:lineRule="auto"/>
        <w:jc w:val="both"/>
        <w:rPr>
          <w:sz w:val="24"/>
          <w:szCs w:val="24"/>
        </w:rPr>
      </w:pPr>
      <w:r>
        <w:rPr>
          <w:sz w:val="24"/>
          <w:szCs w:val="24"/>
        </w:rPr>
        <w:fldChar w:fldCharType="end"/>
      </w:r>
    </w:p>
    <w:p w14:paraId="0578F100" w14:textId="77777777" w:rsidR="00AD61BF" w:rsidRDefault="00AD61BF"/>
    <w:sectPr w:rsidR="00AD61BF" w:rsidSect="006B2E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46"/>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241"/>
    <w:rsid w:val="0001035F"/>
    <w:rsid w:val="00011246"/>
    <w:rsid w:val="00022C31"/>
    <w:rsid w:val="0004356E"/>
    <w:rsid w:val="0004753E"/>
    <w:rsid w:val="000573B2"/>
    <w:rsid w:val="00084B90"/>
    <w:rsid w:val="00084F73"/>
    <w:rsid w:val="000A0187"/>
    <w:rsid w:val="000A175C"/>
    <w:rsid w:val="000A3991"/>
    <w:rsid w:val="000D1C15"/>
    <w:rsid w:val="000E4348"/>
    <w:rsid w:val="000F5019"/>
    <w:rsid w:val="0010583A"/>
    <w:rsid w:val="00110B10"/>
    <w:rsid w:val="00126046"/>
    <w:rsid w:val="00126E33"/>
    <w:rsid w:val="001404D0"/>
    <w:rsid w:val="0016541E"/>
    <w:rsid w:val="00183CE8"/>
    <w:rsid w:val="00186D16"/>
    <w:rsid w:val="001879AE"/>
    <w:rsid w:val="001A7A99"/>
    <w:rsid w:val="001B2DF6"/>
    <w:rsid w:val="001B474A"/>
    <w:rsid w:val="001B735F"/>
    <w:rsid w:val="001C260F"/>
    <w:rsid w:val="001F388D"/>
    <w:rsid w:val="00205D46"/>
    <w:rsid w:val="00206837"/>
    <w:rsid w:val="00207F3C"/>
    <w:rsid w:val="00212B86"/>
    <w:rsid w:val="00252768"/>
    <w:rsid w:val="002608D1"/>
    <w:rsid w:val="0026382A"/>
    <w:rsid w:val="002668E4"/>
    <w:rsid w:val="00266BA2"/>
    <w:rsid w:val="00287777"/>
    <w:rsid w:val="0029325B"/>
    <w:rsid w:val="002C27E1"/>
    <w:rsid w:val="002C706E"/>
    <w:rsid w:val="002C7914"/>
    <w:rsid w:val="002D077E"/>
    <w:rsid w:val="002E6D83"/>
    <w:rsid w:val="00304D35"/>
    <w:rsid w:val="003132F6"/>
    <w:rsid w:val="00325973"/>
    <w:rsid w:val="003646B9"/>
    <w:rsid w:val="00370D63"/>
    <w:rsid w:val="00384547"/>
    <w:rsid w:val="003B03CC"/>
    <w:rsid w:val="003B528B"/>
    <w:rsid w:val="003D0F00"/>
    <w:rsid w:val="0040503D"/>
    <w:rsid w:val="00407152"/>
    <w:rsid w:val="004138EC"/>
    <w:rsid w:val="0041509B"/>
    <w:rsid w:val="00426D92"/>
    <w:rsid w:val="00446727"/>
    <w:rsid w:val="00455FD4"/>
    <w:rsid w:val="00465B95"/>
    <w:rsid w:val="00471AA3"/>
    <w:rsid w:val="00475382"/>
    <w:rsid w:val="004A201A"/>
    <w:rsid w:val="004A6DA9"/>
    <w:rsid w:val="004B1321"/>
    <w:rsid w:val="004B36F6"/>
    <w:rsid w:val="004D68F9"/>
    <w:rsid w:val="004E44A9"/>
    <w:rsid w:val="0050074A"/>
    <w:rsid w:val="00500E13"/>
    <w:rsid w:val="005153B7"/>
    <w:rsid w:val="0052418E"/>
    <w:rsid w:val="0053232D"/>
    <w:rsid w:val="00533C80"/>
    <w:rsid w:val="0056206D"/>
    <w:rsid w:val="005708DF"/>
    <w:rsid w:val="005749CE"/>
    <w:rsid w:val="005931D8"/>
    <w:rsid w:val="005A0D31"/>
    <w:rsid w:val="005A224F"/>
    <w:rsid w:val="005A3F9A"/>
    <w:rsid w:val="005A417B"/>
    <w:rsid w:val="005A5759"/>
    <w:rsid w:val="005B11F2"/>
    <w:rsid w:val="005C116D"/>
    <w:rsid w:val="005C5476"/>
    <w:rsid w:val="005D2A17"/>
    <w:rsid w:val="005D6A3B"/>
    <w:rsid w:val="005D6B2E"/>
    <w:rsid w:val="005E1E83"/>
    <w:rsid w:val="005E39CF"/>
    <w:rsid w:val="005E43C8"/>
    <w:rsid w:val="005F705E"/>
    <w:rsid w:val="00604C9E"/>
    <w:rsid w:val="00610FFF"/>
    <w:rsid w:val="00616396"/>
    <w:rsid w:val="006429E3"/>
    <w:rsid w:val="006460E0"/>
    <w:rsid w:val="00665D7C"/>
    <w:rsid w:val="00670EAB"/>
    <w:rsid w:val="00692870"/>
    <w:rsid w:val="006947D5"/>
    <w:rsid w:val="006A770C"/>
    <w:rsid w:val="006B2E2D"/>
    <w:rsid w:val="006D1D3F"/>
    <w:rsid w:val="006E07A3"/>
    <w:rsid w:val="006E329C"/>
    <w:rsid w:val="006F3D51"/>
    <w:rsid w:val="006F4ABA"/>
    <w:rsid w:val="00704D9B"/>
    <w:rsid w:val="0070734D"/>
    <w:rsid w:val="00721E0B"/>
    <w:rsid w:val="0072418F"/>
    <w:rsid w:val="0073247B"/>
    <w:rsid w:val="007409B3"/>
    <w:rsid w:val="00760358"/>
    <w:rsid w:val="00770A17"/>
    <w:rsid w:val="00786230"/>
    <w:rsid w:val="007863E5"/>
    <w:rsid w:val="00795A17"/>
    <w:rsid w:val="00796060"/>
    <w:rsid w:val="007C16BB"/>
    <w:rsid w:val="007D001A"/>
    <w:rsid w:val="007D4E22"/>
    <w:rsid w:val="007D55A7"/>
    <w:rsid w:val="007E10C9"/>
    <w:rsid w:val="007E23F8"/>
    <w:rsid w:val="007E604D"/>
    <w:rsid w:val="007F278B"/>
    <w:rsid w:val="00803B78"/>
    <w:rsid w:val="00805941"/>
    <w:rsid w:val="008136EC"/>
    <w:rsid w:val="00824FC0"/>
    <w:rsid w:val="008313CA"/>
    <w:rsid w:val="00846134"/>
    <w:rsid w:val="00853C59"/>
    <w:rsid w:val="008555E5"/>
    <w:rsid w:val="00870B6B"/>
    <w:rsid w:val="00871437"/>
    <w:rsid w:val="00874246"/>
    <w:rsid w:val="00876724"/>
    <w:rsid w:val="00885FC6"/>
    <w:rsid w:val="00895A88"/>
    <w:rsid w:val="008A5203"/>
    <w:rsid w:val="008A66EE"/>
    <w:rsid w:val="008A7777"/>
    <w:rsid w:val="008B1110"/>
    <w:rsid w:val="008C04D3"/>
    <w:rsid w:val="008D2789"/>
    <w:rsid w:val="008D3BE9"/>
    <w:rsid w:val="0091006A"/>
    <w:rsid w:val="00922DD4"/>
    <w:rsid w:val="00925EA9"/>
    <w:rsid w:val="009537C7"/>
    <w:rsid w:val="00957B8D"/>
    <w:rsid w:val="00960859"/>
    <w:rsid w:val="00981D55"/>
    <w:rsid w:val="00987F45"/>
    <w:rsid w:val="009A78DE"/>
    <w:rsid w:val="009D0204"/>
    <w:rsid w:val="009D75D5"/>
    <w:rsid w:val="009E0A02"/>
    <w:rsid w:val="00A04BFE"/>
    <w:rsid w:val="00A15835"/>
    <w:rsid w:val="00A2128B"/>
    <w:rsid w:val="00A2461A"/>
    <w:rsid w:val="00A27937"/>
    <w:rsid w:val="00A503D2"/>
    <w:rsid w:val="00A5416D"/>
    <w:rsid w:val="00A66CD1"/>
    <w:rsid w:val="00A71F5F"/>
    <w:rsid w:val="00A72A19"/>
    <w:rsid w:val="00A72E89"/>
    <w:rsid w:val="00A73158"/>
    <w:rsid w:val="00A7483E"/>
    <w:rsid w:val="00AA6E06"/>
    <w:rsid w:val="00AC5D62"/>
    <w:rsid w:val="00AD61BF"/>
    <w:rsid w:val="00AE19C0"/>
    <w:rsid w:val="00AE49D7"/>
    <w:rsid w:val="00AF27D1"/>
    <w:rsid w:val="00B01241"/>
    <w:rsid w:val="00B055D5"/>
    <w:rsid w:val="00B06F4C"/>
    <w:rsid w:val="00B15BC0"/>
    <w:rsid w:val="00B471FF"/>
    <w:rsid w:val="00B5037C"/>
    <w:rsid w:val="00B50D35"/>
    <w:rsid w:val="00B70C58"/>
    <w:rsid w:val="00B84C6D"/>
    <w:rsid w:val="00B86855"/>
    <w:rsid w:val="00B87AC1"/>
    <w:rsid w:val="00B97A01"/>
    <w:rsid w:val="00BA5342"/>
    <w:rsid w:val="00BB0667"/>
    <w:rsid w:val="00BB6D91"/>
    <w:rsid w:val="00BC2691"/>
    <w:rsid w:val="00BD056E"/>
    <w:rsid w:val="00BD1B77"/>
    <w:rsid w:val="00C10D88"/>
    <w:rsid w:val="00C11A6A"/>
    <w:rsid w:val="00C16BE9"/>
    <w:rsid w:val="00C20BA4"/>
    <w:rsid w:val="00C2310F"/>
    <w:rsid w:val="00C231BB"/>
    <w:rsid w:val="00C34673"/>
    <w:rsid w:val="00C367ED"/>
    <w:rsid w:val="00C535D8"/>
    <w:rsid w:val="00C66589"/>
    <w:rsid w:val="00C70045"/>
    <w:rsid w:val="00C7783C"/>
    <w:rsid w:val="00C90E77"/>
    <w:rsid w:val="00CA2F25"/>
    <w:rsid w:val="00CB0A8C"/>
    <w:rsid w:val="00CB101F"/>
    <w:rsid w:val="00CC7FBE"/>
    <w:rsid w:val="00CD09C5"/>
    <w:rsid w:val="00CE0D11"/>
    <w:rsid w:val="00CE16CE"/>
    <w:rsid w:val="00CE56DE"/>
    <w:rsid w:val="00CF0C42"/>
    <w:rsid w:val="00CF624F"/>
    <w:rsid w:val="00D153A7"/>
    <w:rsid w:val="00D2403B"/>
    <w:rsid w:val="00D241B1"/>
    <w:rsid w:val="00D264D1"/>
    <w:rsid w:val="00D366C1"/>
    <w:rsid w:val="00D54779"/>
    <w:rsid w:val="00D62E60"/>
    <w:rsid w:val="00D70B6E"/>
    <w:rsid w:val="00D736A0"/>
    <w:rsid w:val="00D76843"/>
    <w:rsid w:val="00D94B91"/>
    <w:rsid w:val="00DA425E"/>
    <w:rsid w:val="00DB493B"/>
    <w:rsid w:val="00DB5405"/>
    <w:rsid w:val="00DC040C"/>
    <w:rsid w:val="00DC57B2"/>
    <w:rsid w:val="00DD7E1C"/>
    <w:rsid w:val="00E0061C"/>
    <w:rsid w:val="00E12ED8"/>
    <w:rsid w:val="00E14905"/>
    <w:rsid w:val="00E30199"/>
    <w:rsid w:val="00E3039A"/>
    <w:rsid w:val="00E45065"/>
    <w:rsid w:val="00E46A3E"/>
    <w:rsid w:val="00E51639"/>
    <w:rsid w:val="00E77DC9"/>
    <w:rsid w:val="00EA096F"/>
    <w:rsid w:val="00EA52C1"/>
    <w:rsid w:val="00EB0BB8"/>
    <w:rsid w:val="00EC3C50"/>
    <w:rsid w:val="00EC667D"/>
    <w:rsid w:val="00EE6ACC"/>
    <w:rsid w:val="00EF274A"/>
    <w:rsid w:val="00F01E28"/>
    <w:rsid w:val="00F123E7"/>
    <w:rsid w:val="00F304F0"/>
    <w:rsid w:val="00F31825"/>
    <w:rsid w:val="00F334EB"/>
    <w:rsid w:val="00F338CE"/>
    <w:rsid w:val="00F33C12"/>
    <w:rsid w:val="00F357CA"/>
    <w:rsid w:val="00F35E62"/>
    <w:rsid w:val="00F50924"/>
    <w:rsid w:val="00F630F7"/>
    <w:rsid w:val="00F70069"/>
    <w:rsid w:val="00F9331B"/>
    <w:rsid w:val="00F96B02"/>
    <w:rsid w:val="00FC0BEA"/>
    <w:rsid w:val="00FC491D"/>
    <w:rsid w:val="00FC7074"/>
    <w:rsid w:val="00FD5D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39B37BD"/>
  <w14:defaultImageDpi w14:val="32767"/>
  <w15:chartTrackingRefBased/>
  <w15:docId w15:val="{25A105A2-3D5B-0347-8B0D-70536F5FF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rsid w:val="00B01241"/>
    <w:rPr>
      <w:rFonts w:ascii="Arial" w:eastAsiaTheme="minorEastAsia" w:hAnsi="Arial" w:cs="Arial"/>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B06F4C"/>
  </w:style>
  <w:style w:type="paragraph" w:styleId="Bibliography">
    <w:name w:val="Bibliography"/>
    <w:basedOn w:val="Normal"/>
    <w:next w:val="Normal"/>
    <w:uiPriority w:val="37"/>
    <w:unhideWhenUsed/>
    <w:rsid w:val="00084F73"/>
    <w:pPr>
      <w:spacing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33342">
      <w:bodyDiv w:val="1"/>
      <w:marLeft w:val="0"/>
      <w:marRight w:val="0"/>
      <w:marTop w:val="0"/>
      <w:marBottom w:val="0"/>
      <w:divBdr>
        <w:top w:val="none" w:sz="0" w:space="0" w:color="auto"/>
        <w:left w:val="none" w:sz="0" w:space="0" w:color="auto"/>
        <w:bottom w:val="none" w:sz="0" w:space="0" w:color="auto"/>
        <w:right w:val="none" w:sz="0" w:space="0" w:color="auto"/>
      </w:divBdr>
      <w:divsChild>
        <w:div w:id="392973722">
          <w:marLeft w:val="0"/>
          <w:marRight w:val="0"/>
          <w:marTop w:val="0"/>
          <w:marBottom w:val="0"/>
          <w:divBdr>
            <w:top w:val="none" w:sz="0" w:space="0" w:color="auto"/>
            <w:left w:val="none" w:sz="0" w:space="0" w:color="auto"/>
            <w:bottom w:val="none" w:sz="0" w:space="0" w:color="auto"/>
            <w:right w:val="none" w:sz="0" w:space="0" w:color="auto"/>
          </w:divBdr>
        </w:div>
        <w:div w:id="602498287">
          <w:marLeft w:val="0"/>
          <w:marRight w:val="0"/>
          <w:marTop w:val="0"/>
          <w:marBottom w:val="0"/>
          <w:divBdr>
            <w:top w:val="none" w:sz="0" w:space="0" w:color="auto"/>
            <w:left w:val="none" w:sz="0" w:space="0" w:color="auto"/>
            <w:bottom w:val="none" w:sz="0" w:space="0" w:color="auto"/>
            <w:right w:val="none" w:sz="0" w:space="0" w:color="auto"/>
          </w:divBdr>
        </w:div>
        <w:div w:id="1115754731">
          <w:marLeft w:val="0"/>
          <w:marRight w:val="0"/>
          <w:marTop w:val="0"/>
          <w:marBottom w:val="0"/>
          <w:divBdr>
            <w:top w:val="none" w:sz="0" w:space="0" w:color="auto"/>
            <w:left w:val="none" w:sz="0" w:space="0" w:color="auto"/>
            <w:bottom w:val="none" w:sz="0" w:space="0" w:color="auto"/>
            <w:right w:val="none" w:sz="0" w:space="0" w:color="auto"/>
          </w:divBdr>
        </w:div>
        <w:div w:id="505556044">
          <w:marLeft w:val="0"/>
          <w:marRight w:val="0"/>
          <w:marTop w:val="0"/>
          <w:marBottom w:val="0"/>
          <w:divBdr>
            <w:top w:val="none" w:sz="0" w:space="0" w:color="auto"/>
            <w:left w:val="none" w:sz="0" w:space="0" w:color="auto"/>
            <w:bottom w:val="none" w:sz="0" w:space="0" w:color="auto"/>
            <w:right w:val="none" w:sz="0" w:space="0" w:color="auto"/>
          </w:divBdr>
        </w:div>
        <w:div w:id="90980668">
          <w:marLeft w:val="0"/>
          <w:marRight w:val="0"/>
          <w:marTop w:val="0"/>
          <w:marBottom w:val="0"/>
          <w:divBdr>
            <w:top w:val="none" w:sz="0" w:space="0" w:color="auto"/>
            <w:left w:val="none" w:sz="0" w:space="0" w:color="auto"/>
            <w:bottom w:val="none" w:sz="0" w:space="0" w:color="auto"/>
            <w:right w:val="none" w:sz="0" w:space="0" w:color="auto"/>
          </w:divBdr>
        </w:div>
        <w:div w:id="847675099">
          <w:marLeft w:val="0"/>
          <w:marRight w:val="0"/>
          <w:marTop w:val="0"/>
          <w:marBottom w:val="0"/>
          <w:divBdr>
            <w:top w:val="none" w:sz="0" w:space="0" w:color="auto"/>
            <w:left w:val="none" w:sz="0" w:space="0" w:color="auto"/>
            <w:bottom w:val="none" w:sz="0" w:space="0" w:color="auto"/>
            <w:right w:val="none" w:sz="0" w:space="0" w:color="auto"/>
          </w:divBdr>
        </w:div>
        <w:div w:id="12606730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1811</Words>
  <Characters>10324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Federico Rey</dc:creator>
  <cp:keywords/>
  <dc:description/>
  <cp:lastModifiedBy>Federico Rey</cp:lastModifiedBy>
  <cp:revision>4</cp:revision>
  <dcterms:created xsi:type="dcterms:W3CDTF">2021-03-17T22:51:00Z</dcterms:created>
  <dcterms:modified xsi:type="dcterms:W3CDTF">2021-03-18T17:01:00Z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zotero-version="5.0.96.1"&gt;&lt;session id="MvGdgPEF"/&gt;&lt;style id="http://www.zotero.org/styles/microbiome" hasBibliography="1" bibliographyStyleHasBeenSet="1"/&gt;&lt;prefs&gt;&lt;pref name="fieldType" value="Field"/&gt;&lt;/prefs&gt;&lt;/data&gt;</vt:lpwstr>
  </property>
</Properties>
</file>