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BBADB7" w14:textId="77777777" w:rsidR="00D33A58" w:rsidRPr="00A42A02" w:rsidRDefault="00A42A02" w:rsidP="00A42A02">
      <w:pPr>
        <w:spacing w:line="480" w:lineRule="auto"/>
        <w:rPr>
          <w:b/>
          <w:sz w:val="28"/>
          <w:lang w:val="en-US"/>
        </w:rPr>
      </w:pPr>
      <w:bookmarkStart w:id="0" w:name="_GoBack"/>
      <w:r w:rsidRPr="00A42A02">
        <w:rPr>
          <w:b/>
          <w:sz w:val="28"/>
          <w:lang w:val="en-US"/>
        </w:rPr>
        <w:t>Supplemental material 1</w:t>
      </w:r>
    </w:p>
    <w:p w14:paraId="2203F549" w14:textId="77777777" w:rsidR="00753917" w:rsidRDefault="00A42A02" w:rsidP="00A42A02">
      <w:pPr>
        <w:spacing w:line="480" w:lineRule="auto"/>
        <w:rPr>
          <w:b/>
          <w:lang w:val="en-US"/>
        </w:rPr>
      </w:pPr>
      <w:r w:rsidRPr="00A42A02">
        <w:rPr>
          <w:b/>
          <w:lang w:val="en-US"/>
        </w:rPr>
        <w:t>Supplemental methods</w:t>
      </w:r>
    </w:p>
    <w:p w14:paraId="0CE5C704" w14:textId="77777777" w:rsidR="00753917" w:rsidRPr="00753917" w:rsidRDefault="00753917" w:rsidP="00A42A02">
      <w:pPr>
        <w:spacing w:line="480" w:lineRule="auto"/>
        <w:rPr>
          <w:u w:val="single"/>
          <w:lang w:val="en-US"/>
        </w:rPr>
      </w:pPr>
      <w:r>
        <w:rPr>
          <w:u w:val="single"/>
          <w:lang w:val="en-US"/>
        </w:rPr>
        <w:t>Flow cytometric analysis with Syto9</w:t>
      </w:r>
    </w:p>
    <w:p w14:paraId="6610A198" w14:textId="3B97E33B" w:rsidR="00C633D7" w:rsidRDefault="00753917" w:rsidP="00A42A02">
      <w:pPr>
        <w:pStyle w:val="NoSpacing"/>
        <w:spacing w:line="480" w:lineRule="auto"/>
        <w:jc w:val="both"/>
        <w:rPr>
          <w:lang w:val="en-US"/>
        </w:rPr>
      </w:pPr>
      <w:r>
        <w:rPr>
          <w:lang w:val="en-US"/>
        </w:rPr>
        <w:t xml:space="preserve">Vaginal swabs from control persons with similar storage conditions were used. </w:t>
      </w:r>
      <w:r w:rsidR="00A42A02">
        <w:rPr>
          <w:lang w:val="en-US"/>
        </w:rPr>
        <w:t>Additional validation methods were performed using the same protocol as described in the main article</w:t>
      </w:r>
      <w:r w:rsidR="006550C4">
        <w:rPr>
          <w:lang w:val="en-US"/>
        </w:rPr>
        <w:t>.</w:t>
      </w:r>
      <w:r w:rsidR="006550C4" w:rsidRPr="006550C4">
        <w:rPr>
          <w:lang w:val="en-US"/>
        </w:rPr>
        <w:t xml:space="preserve"> </w:t>
      </w:r>
      <w:r w:rsidR="006550C4">
        <w:rPr>
          <w:lang w:val="en-US"/>
        </w:rPr>
        <w:t>Syto9 (</w:t>
      </w:r>
      <w:proofErr w:type="spellStart"/>
      <w:r w:rsidR="006550C4">
        <w:rPr>
          <w:lang w:val="en-US"/>
        </w:rPr>
        <w:t>Thermofisher</w:t>
      </w:r>
      <w:proofErr w:type="spellEnd"/>
      <w:r w:rsidR="006550C4">
        <w:rPr>
          <w:lang w:val="en-US"/>
        </w:rPr>
        <w:t>, Waltham, MA) stain was performed according to the manufacturer’s protocol, using a concentration of 20µM.</w:t>
      </w:r>
      <w:r w:rsidR="00A42A02">
        <w:rPr>
          <w:lang w:val="en-US"/>
        </w:rPr>
        <w:t xml:space="preserve"> </w:t>
      </w:r>
      <w:r w:rsidR="006550C4">
        <w:rPr>
          <w:lang w:val="en-US"/>
        </w:rPr>
        <w:t>F</w:t>
      </w:r>
      <w:r w:rsidR="00A42A02">
        <w:rPr>
          <w:lang w:val="en-US"/>
        </w:rPr>
        <w:t xml:space="preserve">low cytometric analysis was performed </w:t>
      </w:r>
      <w:r w:rsidR="006550C4">
        <w:rPr>
          <w:lang w:val="en-US"/>
        </w:rPr>
        <w:t xml:space="preserve">with </w:t>
      </w:r>
      <w:proofErr w:type="spellStart"/>
      <w:r w:rsidR="006550C4">
        <w:rPr>
          <w:lang w:val="en-US"/>
        </w:rPr>
        <w:t>LSRFortessa</w:t>
      </w:r>
      <w:proofErr w:type="spellEnd"/>
      <w:r w:rsidR="006550C4">
        <w:rPr>
          <w:lang w:val="en-US"/>
        </w:rPr>
        <w:t>™ X-20</w:t>
      </w:r>
      <w:r w:rsidR="006550C4" w:rsidRPr="006550C4">
        <w:rPr>
          <w:lang w:val="en-US"/>
        </w:rPr>
        <w:t xml:space="preserve"> </w:t>
      </w:r>
      <w:r w:rsidR="006550C4">
        <w:rPr>
          <w:lang w:val="en-US"/>
        </w:rPr>
        <w:t>(</w:t>
      </w:r>
      <w:r w:rsidR="006550C4" w:rsidRPr="006550C4">
        <w:rPr>
          <w:lang w:val="en-US"/>
        </w:rPr>
        <w:t>BD Biosciences</w:t>
      </w:r>
      <w:r w:rsidR="006550C4">
        <w:rPr>
          <w:lang w:val="en-US"/>
        </w:rPr>
        <w:t>)</w:t>
      </w:r>
      <w:r w:rsidR="00A42A02">
        <w:rPr>
          <w:lang w:val="en-US"/>
        </w:rPr>
        <w:t xml:space="preserve">. </w:t>
      </w:r>
    </w:p>
    <w:p w14:paraId="27142674" w14:textId="77777777" w:rsidR="00C633D7" w:rsidRDefault="00C633D7" w:rsidP="00A42A02">
      <w:pPr>
        <w:pStyle w:val="NoSpacing"/>
        <w:spacing w:line="480" w:lineRule="auto"/>
        <w:jc w:val="both"/>
        <w:rPr>
          <w:lang w:val="en-US"/>
        </w:rPr>
      </w:pPr>
    </w:p>
    <w:p w14:paraId="4B13E8A3" w14:textId="77777777" w:rsidR="00A42A02" w:rsidRDefault="00C633D7" w:rsidP="00A42A02">
      <w:pPr>
        <w:pStyle w:val="NoSpacing"/>
        <w:spacing w:line="480" w:lineRule="auto"/>
        <w:jc w:val="both"/>
        <w:rPr>
          <w:b/>
          <w:lang w:val="en-US"/>
        </w:rPr>
      </w:pPr>
      <w:r>
        <w:rPr>
          <w:lang w:val="en-US"/>
        </w:rPr>
        <w:t xml:space="preserve"> </w:t>
      </w:r>
      <w:r w:rsidR="00953353">
        <w:rPr>
          <w:b/>
          <w:lang w:val="en-US"/>
        </w:rPr>
        <w:t>Supplemental results</w:t>
      </w:r>
    </w:p>
    <w:p w14:paraId="55D08D68" w14:textId="77777777" w:rsidR="00953353" w:rsidRDefault="00953353" w:rsidP="00A42A02">
      <w:pPr>
        <w:pStyle w:val="NoSpacing"/>
        <w:spacing w:line="480" w:lineRule="auto"/>
        <w:jc w:val="both"/>
        <w:rPr>
          <w:u w:val="single"/>
          <w:lang w:val="en-US"/>
        </w:rPr>
      </w:pPr>
      <w:r>
        <w:rPr>
          <w:u w:val="single"/>
          <w:lang w:val="en-US"/>
        </w:rPr>
        <w:t>Validation of flow cytometric analysis using Syto9</w:t>
      </w:r>
    </w:p>
    <w:p w14:paraId="3CCDA09A" w14:textId="75C1FF7A" w:rsidR="00392F9B" w:rsidRPr="006A7207" w:rsidRDefault="00753917" w:rsidP="00A42A02">
      <w:pPr>
        <w:pStyle w:val="NoSpacing"/>
        <w:spacing w:line="480" w:lineRule="auto"/>
        <w:jc w:val="both"/>
        <w:rPr>
          <w:lang w:val="en-US"/>
        </w:rPr>
      </w:pPr>
      <w:r>
        <w:rPr>
          <w:lang w:val="en-US"/>
        </w:rPr>
        <w:t xml:space="preserve">To differentiate between noise </w:t>
      </w:r>
      <w:r w:rsidR="004D47B0">
        <w:rPr>
          <w:lang w:val="en-US"/>
        </w:rPr>
        <w:t xml:space="preserve">from the flow cytometer </w:t>
      </w:r>
      <w:r>
        <w:rPr>
          <w:lang w:val="en-US"/>
        </w:rPr>
        <w:t xml:space="preserve">and bacteria we used Syto9, a stain that binds DNA and is permeant to cell membranes. </w:t>
      </w:r>
      <w:r w:rsidR="00392F9B">
        <w:rPr>
          <w:lang w:val="en-US"/>
        </w:rPr>
        <w:t xml:space="preserve">We used the forward (FSC) and side scatter (SSC) channels to set a gate to separate the bacteria from the noise. Because of incompatibility of Syto9 with the other fluorescent antibodies used, we </w:t>
      </w:r>
      <w:r w:rsidR="004D47B0">
        <w:rPr>
          <w:lang w:val="en-US"/>
        </w:rPr>
        <w:t>set</w:t>
      </w:r>
      <w:r w:rsidR="00392F9B">
        <w:rPr>
          <w:lang w:val="en-US"/>
        </w:rPr>
        <w:t xml:space="preserve"> </w:t>
      </w:r>
      <w:r w:rsidR="004D47B0">
        <w:rPr>
          <w:lang w:val="en-US"/>
        </w:rPr>
        <w:t xml:space="preserve">a cut-off in advance </w:t>
      </w:r>
      <w:r w:rsidR="00392F9B">
        <w:rPr>
          <w:lang w:val="en-US"/>
        </w:rPr>
        <w:t xml:space="preserve">of 95% Syto9-positive cells within this gate to make Syto9 staining redundant. Vaginal swabs from five different participants showed an average of </w:t>
      </w:r>
      <w:r w:rsidR="00025C05">
        <w:rPr>
          <w:lang w:val="en-US"/>
        </w:rPr>
        <w:t>95.9% (Standard Deviation (SD) 0.8) Syto9-positive cells within the gate, compared to 92.8% (SD 1.3) Syto9-positive cells ungated. A</w:t>
      </w:r>
      <w:r w:rsidR="006A7207">
        <w:rPr>
          <w:lang w:val="en-US"/>
        </w:rPr>
        <w:t xml:space="preserve">n example is depicted in </w:t>
      </w:r>
      <w:r w:rsidR="006A7207">
        <w:rPr>
          <w:b/>
          <w:lang w:val="en-US"/>
        </w:rPr>
        <w:t>figure SM1</w:t>
      </w:r>
      <w:r w:rsidR="006A7207">
        <w:rPr>
          <w:lang w:val="en-US"/>
        </w:rPr>
        <w:t xml:space="preserve">. </w:t>
      </w:r>
      <w:r w:rsidR="00372ABC">
        <w:rPr>
          <w:lang w:val="en-US"/>
        </w:rPr>
        <w:t xml:space="preserve">The ‘bacteria’ gate as shown in figure SM1 B was applied to all samples. </w:t>
      </w:r>
    </w:p>
    <w:p w14:paraId="37971B46" w14:textId="77777777" w:rsidR="00753917" w:rsidRDefault="00753917" w:rsidP="00A42A02">
      <w:pPr>
        <w:pStyle w:val="NoSpacing"/>
        <w:spacing w:line="480" w:lineRule="auto"/>
        <w:jc w:val="both"/>
        <w:rPr>
          <w:lang w:val="en-US"/>
        </w:rPr>
      </w:pPr>
      <w:r>
        <w:rPr>
          <w:noProof/>
          <w:lang w:val="en-PH" w:eastAsia="en-PH"/>
        </w:rPr>
        <w:lastRenderedPageBreak/>
        <w:drawing>
          <wp:inline distT="0" distB="0" distL="0" distR="0" wp14:anchorId="68FE2D64" wp14:editId="7A205261">
            <wp:extent cx="5760720" cy="425005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yto supplemental materia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4250055"/>
                    </a:xfrm>
                    <a:prstGeom prst="rect">
                      <a:avLst/>
                    </a:prstGeom>
                  </pic:spPr>
                </pic:pic>
              </a:graphicData>
            </a:graphic>
          </wp:inline>
        </w:drawing>
      </w:r>
    </w:p>
    <w:p w14:paraId="3AFE126A" w14:textId="77FA490F" w:rsidR="00025C05" w:rsidRDefault="00B722D6" w:rsidP="00A42A02">
      <w:pPr>
        <w:pStyle w:val="NoSpacing"/>
        <w:spacing w:line="480" w:lineRule="auto"/>
        <w:jc w:val="both"/>
        <w:rPr>
          <w:lang w:val="en-US"/>
        </w:rPr>
      </w:pPr>
      <w:r w:rsidRPr="007421B2">
        <w:rPr>
          <w:b/>
          <w:lang w:val="en-US"/>
        </w:rPr>
        <w:t>Figure SM</w:t>
      </w:r>
      <w:r w:rsidR="00025C05" w:rsidRPr="007421B2">
        <w:rPr>
          <w:b/>
          <w:lang w:val="en-US"/>
        </w:rPr>
        <w:t xml:space="preserve">1. </w:t>
      </w:r>
      <w:proofErr w:type="gramStart"/>
      <w:r w:rsidR="00025C05" w:rsidRPr="007421B2">
        <w:rPr>
          <w:b/>
          <w:lang w:val="en-US"/>
        </w:rPr>
        <w:t>Syto9 staining of bacteria from vaginal swabs.</w:t>
      </w:r>
      <w:proofErr w:type="gramEnd"/>
      <w:r w:rsidR="00025C05">
        <w:rPr>
          <w:lang w:val="en-US"/>
        </w:rPr>
        <w:t xml:space="preserve"> </w:t>
      </w:r>
      <w:r w:rsidR="006A7207">
        <w:rPr>
          <w:b/>
          <w:lang w:val="en-US"/>
        </w:rPr>
        <w:t xml:space="preserve">(A) </w:t>
      </w:r>
      <w:r w:rsidR="006550C4">
        <w:rPr>
          <w:lang w:val="en-US"/>
        </w:rPr>
        <w:t>Unstained vaginal swab</w:t>
      </w:r>
      <w:r w:rsidR="006A7207">
        <w:rPr>
          <w:lang w:val="en-US"/>
        </w:rPr>
        <w:t xml:space="preserve"> to reveal auto-fluorescence</w:t>
      </w:r>
      <w:r w:rsidR="006550C4">
        <w:rPr>
          <w:lang w:val="en-US"/>
        </w:rPr>
        <w:t xml:space="preserve"> of vaginal bacteria</w:t>
      </w:r>
      <w:r w:rsidR="006A7207">
        <w:rPr>
          <w:lang w:val="en-US"/>
        </w:rPr>
        <w:t xml:space="preserve">. </w:t>
      </w:r>
      <w:r w:rsidR="006A7207" w:rsidRPr="006A7207">
        <w:rPr>
          <w:b/>
          <w:lang w:val="en-US"/>
        </w:rPr>
        <w:t>(</w:t>
      </w:r>
      <w:r w:rsidR="006A7207">
        <w:rPr>
          <w:b/>
          <w:lang w:val="en-US"/>
        </w:rPr>
        <w:t xml:space="preserve">B) </w:t>
      </w:r>
      <w:r w:rsidR="006550C4">
        <w:rPr>
          <w:lang w:val="en-US"/>
        </w:rPr>
        <w:t xml:space="preserve">Vaginal </w:t>
      </w:r>
      <w:r w:rsidR="00D00EB9">
        <w:rPr>
          <w:lang w:val="en-US"/>
        </w:rPr>
        <w:t>swab</w:t>
      </w:r>
      <w:r w:rsidR="006550C4">
        <w:rPr>
          <w:lang w:val="en-US"/>
        </w:rPr>
        <w:t xml:space="preserve"> stained with </w:t>
      </w:r>
      <w:proofErr w:type="gramStart"/>
      <w:r w:rsidR="006A7207">
        <w:rPr>
          <w:lang w:val="en-US"/>
        </w:rPr>
        <w:t>Syto9 .</w:t>
      </w:r>
      <w:proofErr w:type="gramEnd"/>
      <w:r w:rsidR="006A7207">
        <w:rPr>
          <w:lang w:val="en-US"/>
        </w:rPr>
        <w:t xml:space="preserve"> </w:t>
      </w:r>
      <w:r w:rsidR="006550C4">
        <w:rPr>
          <w:lang w:val="en-US"/>
        </w:rPr>
        <w:t>Data are representative for n=</w:t>
      </w:r>
      <w:proofErr w:type="gramStart"/>
      <w:r w:rsidR="006550C4">
        <w:rPr>
          <w:lang w:val="en-US"/>
        </w:rPr>
        <w:t>5</w:t>
      </w:r>
      <w:proofErr w:type="gramEnd"/>
      <w:r w:rsidR="006550C4">
        <w:rPr>
          <w:lang w:val="en-US"/>
        </w:rPr>
        <w:t>.</w:t>
      </w:r>
    </w:p>
    <w:p w14:paraId="40153903" w14:textId="77777777" w:rsidR="006A7207" w:rsidRDefault="006A7207" w:rsidP="00A42A02">
      <w:pPr>
        <w:pStyle w:val="NoSpacing"/>
        <w:spacing w:line="480" w:lineRule="auto"/>
        <w:jc w:val="both"/>
        <w:rPr>
          <w:lang w:val="en-US"/>
        </w:rPr>
      </w:pPr>
    </w:p>
    <w:p w14:paraId="0938ED07" w14:textId="77777777" w:rsidR="006A7207" w:rsidRDefault="006A7207" w:rsidP="00A42A02">
      <w:pPr>
        <w:pStyle w:val="NoSpacing"/>
        <w:spacing w:line="480" w:lineRule="auto"/>
        <w:jc w:val="both"/>
        <w:rPr>
          <w:u w:val="single"/>
          <w:lang w:val="en-US"/>
        </w:rPr>
      </w:pPr>
      <w:r>
        <w:rPr>
          <w:u w:val="single"/>
          <w:lang w:val="en-US"/>
        </w:rPr>
        <w:t>Gating strategy for bacteria bound immunoglobulins</w:t>
      </w:r>
    </w:p>
    <w:p w14:paraId="67E9DD36" w14:textId="5706D502" w:rsidR="006A7207" w:rsidRPr="00C03017" w:rsidRDefault="002A2C42" w:rsidP="00A42A02">
      <w:pPr>
        <w:pStyle w:val="NoSpacing"/>
        <w:spacing w:line="480" w:lineRule="auto"/>
        <w:jc w:val="both"/>
        <w:rPr>
          <w:lang w:val="en-US"/>
        </w:rPr>
      </w:pPr>
      <w:r>
        <w:rPr>
          <w:lang w:val="en-US"/>
        </w:rPr>
        <w:t>Gating for IgA and IgG measurements were set using samples without any staining. With these gates for bacteria with bound IgA and IgG, we distinguished bacteria without bound IgA and IgG</w:t>
      </w:r>
      <w:r w:rsidR="00C05AF3">
        <w:rPr>
          <w:lang w:val="en-US"/>
        </w:rPr>
        <w:t xml:space="preserve"> from bacteria with bound IgA and/or IgG</w:t>
      </w:r>
      <w:r w:rsidR="004C4040">
        <w:rPr>
          <w:lang w:val="en-US"/>
        </w:rPr>
        <w:t xml:space="preserve"> (total Ig bound bacteria)</w:t>
      </w:r>
      <w:r>
        <w:rPr>
          <w:lang w:val="en-US"/>
        </w:rPr>
        <w:t xml:space="preserve">. An example of the gating strategy used is shown in </w:t>
      </w:r>
      <w:r w:rsidRPr="00B722D6">
        <w:rPr>
          <w:b/>
          <w:lang w:val="en-US"/>
        </w:rPr>
        <w:t>figure SM2.</w:t>
      </w:r>
    </w:p>
    <w:p w14:paraId="11D85F40" w14:textId="77777777" w:rsidR="006A7207" w:rsidRDefault="006A7207" w:rsidP="00A42A02">
      <w:pPr>
        <w:pStyle w:val="NoSpacing"/>
        <w:spacing w:line="480" w:lineRule="auto"/>
        <w:jc w:val="both"/>
        <w:rPr>
          <w:u w:val="single"/>
          <w:lang w:val="en-US"/>
        </w:rPr>
      </w:pPr>
    </w:p>
    <w:p w14:paraId="34CACCAE" w14:textId="77777777" w:rsidR="00C03017" w:rsidRPr="00C03017" w:rsidRDefault="00C03017" w:rsidP="00A42A02">
      <w:pPr>
        <w:pStyle w:val="NoSpacing"/>
        <w:spacing w:line="480" w:lineRule="auto"/>
        <w:jc w:val="both"/>
        <w:rPr>
          <w:noProof/>
          <w:u w:val="single"/>
          <w:lang w:val="en-US" w:eastAsia="nl-NL"/>
        </w:rPr>
      </w:pPr>
    </w:p>
    <w:p w14:paraId="631AEC0D" w14:textId="017B5BF5" w:rsidR="006A7207" w:rsidRPr="002A2C42" w:rsidRDefault="00372ABC" w:rsidP="00A42A02">
      <w:pPr>
        <w:pStyle w:val="NoSpacing"/>
        <w:spacing w:line="480" w:lineRule="auto"/>
        <w:jc w:val="both"/>
        <w:rPr>
          <w:lang w:val="en-US"/>
        </w:rPr>
      </w:pPr>
      <w:r>
        <w:rPr>
          <w:noProof/>
          <w:lang w:val="en-PH" w:eastAsia="en-PH"/>
        </w:rPr>
        <w:lastRenderedPageBreak/>
        <w:drawing>
          <wp:inline distT="0" distB="0" distL="0" distR="0" wp14:anchorId="74837FC3" wp14:editId="7E666205">
            <wp:extent cx="5145024" cy="3974592"/>
            <wp:effectExtent l="0" t="0" r="0" b="698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M2 zonder 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145024" cy="3974592"/>
                    </a:xfrm>
                    <a:prstGeom prst="rect">
                      <a:avLst/>
                    </a:prstGeom>
                  </pic:spPr>
                </pic:pic>
              </a:graphicData>
            </a:graphic>
          </wp:inline>
        </w:drawing>
      </w:r>
    </w:p>
    <w:p w14:paraId="1ADE9B72" w14:textId="53022E70" w:rsidR="002A2C42" w:rsidRPr="002A2C42" w:rsidRDefault="002A2C42" w:rsidP="00A42A02">
      <w:pPr>
        <w:pStyle w:val="NoSpacing"/>
        <w:spacing w:line="480" w:lineRule="auto"/>
        <w:jc w:val="both"/>
        <w:rPr>
          <w:lang w:val="en-US"/>
        </w:rPr>
      </w:pPr>
      <w:r w:rsidRPr="007421B2">
        <w:rPr>
          <w:b/>
          <w:lang w:val="en-US"/>
        </w:rPr>
        <w:t xml:space="preserve">Figure SM2. </w:t>
      </w:r>
      <w:proofErr w:type="gramStart"/>
      <w:r w:rsidRPr="007421B2">
        <w:rPr>
          <w:b/>
          <w:lang w:val="en-US"/>
        </w:rPr>
        <w:t>Gating strategy.</w:t>
      </w:r>
      <w:proofErr w:type="gramEnd"/>
      <w:r>
        <w:rPr>
          <w:lang w:val="en-US"/>
        </w:rPr>
        <w:t xml:space="preserve"> </w:t>
      </w:r>
      <w:r w:rsidR="00372ABC">
        <w:rPr>
          <w:lang w:val="en-US"/>
        </w:rPr>
        <w:t xml:space="preserve">The gating strategy is shown for an example sample, from participant VH12, first time point (T=1). </w:t>
      </w:r>
      <w:r>
        <w:rPr>
          <w:b/>
          <w:lang w:val="en-US"/>
        </w:rPr>
        <w:t xml:space="preserve">(A) </w:t>
      </w:r>
      <w:r>
        <w:rPr>
          <w:lang w:val="en-US"/>
        </w:rPr>
        <w:t xml:space="preserve">samples without IgA or IgG staining were used to determine the gating limits for bacteria with bound IgA (left), bound IgG (middle) and without bound IgA or IgG (right, Q4). </w:t>
      </w:r>
      <w:r w:rsidR="00372ABC">
        <w:rPr>
          <w:b/>
          <w:lang w:val="en-US"/>
        </w:rPr>
        <w:t>(B</w:t>
      </w:r>
      <w:r>
        <w:rPr>
          <w:b/>
          <w:lang w:val="en-US"/>
        </w:rPr>
        <w:t xml:space="preserve">) </w:t>
      </w:r>
      <w:proofErr w:type="gramStart"/>
      <w:r>
        <w:rPr>
          <w:lang w:val="en-US"/>
        </w:rPr>
        <w:t>bacteria</w:t>
      </w:r>
      <w:proofErr w:type="gramEnd"/>
      <w:r>
        <w:rPr>
          <w:lang w:val="en-US"/>
        </w:rPr>
        <w:t xml:space="preserve"> with bound IgA (left), bound IgG (middle) and without bound IgA or IgG (right, Q4) of a sample with staining for IgA and IgG. </w:t>
      </w:r>
      <w:bookmarkEnd w:id="0"/>
    </w:p>
    <w:sectPr w:rsidR="002A2C42" w:rsidRPr="002A2C42" w:rsidSect="007432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A02"/>
    <w:rsid w:val="00025C05"/>
    <w:rsid w:val="00054062"/>
    <w:rsid w:val="002A2C42"/>
    <w:rsid w:val="00372ABC"/>
    <w:rsid w:val="00392F9B"/>
    <w:rsid w:val="004C4040"/>
    <w:rsid w:val="004D47B0"/>
    <w:rsid w:val="004E6159"/>
    <w:rsid w:val="006550C4"/>
    <w:rsid w:val="006A7207"/>
    <w:rsid w:val="007421B2"/>
    <w:rsid w:val="007432ED"/>
    <w:rsid w:val="00753917"/>
    <w:rsid w:val="00953353"/>
    <w:rsid w:val="00985E0E"/>
    <w:rsid w:val="00A42A02"/>
    <w:rsid w:val="00B5592D"/>
    <w:rsid w:val="00B722D6"/>
    <w:rsid w:val="00C01E6A"/>
    <w:rsid w:val="00C03017"/>
    <w:rsid w:val="00C05AF3"/>
    <w:rsid w:val="00C633D7"/>
    <w:rsid w:val="00CB1CE9"/>
    <w:rsid w:val="00D00EB9"/>
    <w:rsid w:val="00D33A58"/>
    <w:rsid w:val="00D6139F"/>
    <w:rsid w:val="00E847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3C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42A02"/>
    <w:pPr>
      <w:spacing w:after="0" w:line="240" w:lineRule="auto"/>
    </w:pPr>
  </w:style>
  <w:style w:type="character" w:customStyle="1" w:styleId="NoSpacingChar">
    <w:name w:val="No Spacing Char"/>
    <w:basedOn w:val="DefaultParagraphFont"/>
    <w:link w:val="NoSpacing"/>
    <w:uiPriority w:val="1"/>
    <w:rsid w:val="00A42A02"/>
  </w:style>
  <w:style w:type="character" w:styleId="LineNumber">
    <w:name w:val="line number"/>
    <w:basedOn w:val="DefaultParagraphFont"/>
    <w:uiPriority w:val="99"/>
    <w:semiHidden/>
    <w:unhideWhenUsed/>
    <w:rsid w:val="00A42A02"/>
  </w:style>
  <w:style w:type="character" w:styleId="CommentReference">
    <w:name w:val="annotation reference"/>
    <w:basedOn w:val="DefaultParagraphFont"/>
    <w:uiPriority w:val="99"/>
    <w:semiHidden/>
    <w:unhideWhenUsed/>
    <w:rsid w:val="00753917"/>
    <w:rPr>
      <w:sz w:val="16"/>
      <w:szCs w:val="16"/>
    </w:rPr>
  </w:style>
  <w:style w:type="paragraph" w:styleId="CommentText">
    <w:name w:val="annotation text"/>
    <w:basedOn w:val="Normal"/>
    <w:link w:val="CommentTextChar"/>
    <w:uiPriority w:val="99"/>
    <w:semiHidden/>
    <w:unhideWhenUsed/>
    <w:rsid w:val="00753917"/>
    <w:pPr>
      <w:spacing w:line="240" w:lineRule="auto"/>
    </w:pPr>
    <w:rPr>
      <w:sz w:val="20"/>
      <w:szCs w:val="20"/>
    </w:rPr>
  </w:style>
  <w:style w:type="character" w:customStyle="1" w:styleId="CommentTextChar">
    <w:name w:val="Comment Text Char"/>
    <w:basedOn w:val="DefaultParagraphFont"/>
    <w:link w:val="CommentText"/>
    <w:uiPriority w:val="99"/>
    <w:semiHidden/>
    <w:rsid w:val="00753917"/>
    <w:rPr>
      <w:sz w:val="20"/>
      <w:szCs w:val="20"/>
    </w:rPr>
  </w:style>
  <w:style w:type="paragraph" w:styleId="CommentSubject">
    <w:name w:val="annotation subject"/>
    <w:basedOn w:val="CommentText"/>
    <w:next w:val="CommentText"/>
    <w:link w:val="CommentSubjectChar"/>
    <w:uiPriority w:val="99"/>
    <w:semiHidden/>
    <w:unhideWhenUsed/>
    <w:rsid w:val="00753917"/>
    <w:rPr>
      <w:b/>
      <w:bCs/>
    </w:rPr>
  </w:style>
  <w:style w:type="character" w:customStyle="1" w:styleId="CommentSubjectChar">
    <w:name w:val="Comment Subject Char"/>
    <w:basedOn w:val="CommentTextChar"/>
    <w:link w:val="CommentSubject"/>
    <w:uiPriority w:val="99"/>
    <w:semiHidden/>
    <w:rsid w:val="00753917"/>
    <w:rPr>
      <w:b/>
      <w:bCs/>
      <w:sz w:val="20"/>
      <w:szCs w:val="20"/>
    </w:rPr>
  </w:style>
  <w:style w:type="paragraph" w:styleId="BalloonText">
    <w:name w:val="Balloon Text"/>
    <w:basedOn w:val="Normal"/>
    <w:link w:val="BalloonTextChar"/>
    <w:uiPriority w:val="99"/>
    <w:semiHidden/>
    <w:unhideWhenUsed/>
    <w:rsid w:val="00753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91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42A02"/>
    <w:pPr>
      <w:spacing w:after="0" w:line="240" w:lineRule="auto"/>
    </w:pPr>
  </w:style>
  <w:style w:type="character" w:customStyle="1" w:styleId="NoSpacingChar">
    <w:name w:val="No Spacing Char"/>
    <w:basedOn w:val="DefaultParagraphFont"/>
    <w:link w:val="NoSpacing"/>
    <w:uiPriority w:val="1"/>
    <w:rsid w:val="00A42A02"/>
  </w:style>
  <w:style w:type="character" w:styleId="LineNumber">
    <w:name w:val="line number"/>
    <w:basedOn w:val="DefaultParagraphFont"/>
    <w:uiPriority w:val="99"/>
    <w:semiHidden/>
    <w:unhideWhenUsed/>
    <w:rsid w:val="00A42A02"/>
  </w:style>
  <w:style w:type="character" w:styleId="CommentReference">
    <w:name w:val="annotation reference"/>
    <w:basedOn w:val="DefaultParagraphFont"/>
    <w:uiPriority w:val="99"/>
    <w:semiHidden/>
    <w:unhideWhenUsed/>
    <w:rsid w:val="00753917"/>
    <w:rPr>
      <w:sz w:val="16"/>
      <w:szCs w:val="16"/>
    </w:rPr>
  </w:style>
  <w:style w:type="paragraph" w:styleId="CommentText">
    <w:name w:val="annotation text"/>
    <w:basedOn w:val="Normal"/>
    <w:link w:val="CommentTextChar"/>
    <w:uiPriority w:val="99"/>
    <w:semiHidden/>
    <w:unhideWhenUsed/>
    <w:rsid w:val="00753917"/>
    <w:pPr>
      <w:spacing w:line="240" w:lineRule="auto"/>
    </w:pPr>
    <w:rPr>
      <w:sz w:val="20"/>
      <w:szCs w:val="20"/>
    </w:rPr>
  </w:style>
  <w:style w:type="character" w:customStyle="1" w:styleId="CommentTextChar">
    <w:name w:val="Comment Text Char"/>
    <w:basedOn w:val="DefaultParagraphFont"/>
    <w:link w:val="CommentText"/>
    <w:uiPriority w:val="99"/>
    <w:semiHidden/>
    <w:rsid w:val="00753917"/>
    <w:rPr>
      <w:sz w:val="20"/>
      <w:szCs w:val="20"/>
    </w:rPr>
  </w:style>
  <w:style w:type="paragraph" w:styleId="CommentSubject">
    <w:name w:val="annotation subject"/>
    <w:basedOn w:val="CommentText"/>
    <w:next w:val="CommentText"/>
    <w:link w:val="CommentSubjectChar"/>
    <w:uiPriority w:val="99"/>
    <w:semiHidden/>
    <w:unhideWhenUsed/>
    <w:rsid w:val="00753917"/>
    <w:rPr>
      <w:b/>
      <w:bCs/>
    </w:rPr>
  </w:style>
  <w:style w:type="character" w:customStyle="1" w:styleId="CommentSubjectChar">
    <w:name w:val="Comment Subject Char"/>
    <w:basedOn w:val="CommentTextChar"/>
    <w:link w:val="CommentSubject"/>
    <w:uiPriority w:val="99"/>
    <w:semiHidden/>
    <w:rsid w:val="00753917"/>
    <w:rPr>
      <w:b/>
      <w:bCs/>
      <w:sz w:val="20"/>
      <w:szCs w:val="20"/>
    </w:rPr>
  </w:style>
  <w:style w:type="paragraph" w:styleId="BalloonText">
    <w:name w:val="Balloon Text"/>
    <w:basedOn w:val="Normal"/>
    <w:link w:val="BalloonTextChar"/>
    <w:uiPriority w:val="99"/>
    <w:semiHidden/>
    <w:unhideWhenUsed/>
    <w:rsid w:val="00753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9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1977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VUmc</Company>
  <LinksUpToDate>false</LinksUpToDate>
  <CharactersWithSpaces>2319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H.J. (Heleen)</dc:creator>
  <cp:keywords/>
  <dc:description/>
  <cp:lastModifiedBy>MLAPINIG</cp:lastModifiedBy>
  <cp:revision>3</cp:revision>
  <dcterms:created xsi:type="dcterms:W3CDTF">2021-03-09T14:13:00Z</dcterms:created>
  <dcterms:modified xsi:type="dcterms:W3CDTF">2022-01-17T23:23:00Z</dcterms:modified>
</cp:coreProperties>
</file>