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BE0" w:rsidRDefault="002D1BE0" w:rsidP="002D1BE0">
      <w:bookmarkStart w:id="0" w:name="_GoBack"/>
      <w:bookmarkEnd w:id="0"/>
    </w:p>
    <w:p w:rsidR="002D1BE0" w:rsidRPr="00E11291" w:rsidRDefault="002D1BE0" w:rsidP="002D1BE0">
      <w:pPr>
        <w:spacing w:line="360" w:lineRule="auto"/>
        <w:ind w:left="57"/>
        <w:jc w:val="both"/>
        <w:rPr>
          <w:b/>
          <w:bCs/>
        </w:rPr>
      </w:pPr>
      <w:r>
        <w:rPr>
          <w:b/>
          <w:bCs/>
          <w:noProof/>
          <w:lang w:eastAsia="en-PH"/>
        </w:rPr>
        <w:drawing>
          <wp:inline distT="0" distB="0" distL="0" distR="0" wp14:anchorId="26417A23" wp14:editId="38F746F7">
            <wp:extent cx="3663663" cy="7145383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S1a.pd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3825" cy="7145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BE0" w:rsidRPr="00E11291" w:rsidRDefault="002D1BE0" w:rsidP="002D1BE0">
      <w:r w:rsidRPr="00E11291">
        <w:rPr>
          <w:b/>
          <w:bCs/>
        </w:rPr>
        <w:t>Figure S1</w:t>
      </w:r>
      <w:r w:rsidRPr="00E11291">
        <w:t xml:space="preserve">. Time-calibrated phylogenetic tree of termites inferred from mitochondrial genome sequences. </w:t>
      </w:r>
    </w:p>
    <w:p w:rsidR="002D1BE0" w:rsidRPr="00E11291" w:rsidRDefault="002D1BE0" w:rsidP="002D1BE0">
      <w:pPr>
        <w:spacing w:line="360" w:lineRule="auto"/>
        <w:ind w:left="57"/>
        <w:jc w:val="both"/>
        <w:rPr>
          <w:b/>
          <w:bCs/>
        </w:rPr>
      </w:pPr>
    </w:p>
    <w:p w:rsidR="002D1BE0" w:rsidRDefault="002D1BE0" w:rsidP="002D1BE0">
      <w:pPr>
        <w:spacing w:line="360" w:lineRule="auto"/>
        <w:ind w:left="57"/>
        <w:jc w:val="both"/>
        <w:rPr>
          <w:b/>
          <w:bCs/>
        </w:rPr>
      </w:pPr>
      <w:r>
        <w:rPr>
          <w:b/>
          <w:bCs/>
          <w:noProof/>
          <w:lang w:eastAsia="en-PH"/>
        </w:rPr>
        <w:drawing>
          <wp:inline distT="0" distB="0" distL="0" distR="0" wp14:anchorId="016A38B1" wp14:editId="630D924D">
            <wp:extent cx="5943600" cy="35623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S2New.pd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BE0" w:rsidRPr="00E11291" w:rsidRDefault="002D1BE0" w:rsidP="002D1BE0">
      <w:pPr>
        <w:spacing w:line="360" w:lineRule="auto"/>
        <w:ind w:left="57"/>
        <w:jc w:val="both"/>
      </w:pPr>
      <w:r w:rsidRPr="00E11291">
        <w:rPr>
          <w:b/>
          <w:bCs/>
        </w:rPr>
        <w:t>Figure S2</w:t>
      </w:r>
      <w:r w:rsidRPr="00E11291">
        <w:t>. Relative abundance of archaeal and bacterial phyla inferred from the termite gut metagenomes and the 16S rRNA amplicon data of 74 termite samples. </w:t>
      </w:r>
    </w:p>
    <w:p w:rsidR="002D1BE0" w:rsidRDefault="002D1BE0" w:rsidP="002D1BE0">
      <w:pPr>
        <w:rPr>
          <w:b/>
          <w:bCs/>
        </w:rPr>
      </w:pPr>
      <w:r>
        <w:rPr>
          <w:b/>
          <w:bCs/>
        </w:rPr>
        <w:br w:type="page"/>
      </w:r>
    </w:p>
    <w:p w:rsidR="002D1BE0" w:rsidRPr="00E11291" w:rsidRDefault="002D1BE0" w:rsidP="002D1BE0">
      <w:pPr>
        <w:spacing w:line="360" w:lineRule="auto"/>
        <w:ind w:left="57"/>
        <w:jc w:val="both"/>
        <w:rPr>
          <w:b/>
          <w:bCs/>
        </w:rPr>
      </w:pPr>
      <w:r>
        <w:rPr>
          <w:b/>
          <w:bCs/>
          <w:noProof/>
          <w:lang w:eastAsia="en-PH"/>
        </w:rPr>
        <w:lastRenderedPageBreak/>
        <w:drawing>
          <wp:inline distT="0" distB="0" distL="0" distR="0" wp14:anchorId="1AB27010" wp14:editId="4A81DDD1">
            <wp:extent cx="5943600" cy="419989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ureS3.pd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BE0" w:rsidRPr="00E11291" w:rsidRDefault="002D1BE0" w:rsidP="002D1BE0">
      <w:pPr>
        <w:spacing w:line="360" w:lineRule="auto"/>
        <w:ind w:left="57"/>
        <w:jc w:val="both"/>
      </w:pPr>
      <w:r w:rsidRPr="00E11291">
        <w:rPr>
          <w:b/>
          <w:bCs/>
        </w:rPr>
        <w:t>Figure S3</w:t>
      </w:r>
      <w:r w:rsidRPr="00E11291">
        <w:t xml:space="preserve">. Maximum likelihood phylogenetic tree inferred from 43 single-copy marker genes of 654 metagenome-assembled genomes (MAGs). The completeness and contamination of MAGs was inferred with </w:t>
      </w:r>
      <w:proofErr w:type="spellStart"/>
      <w:r w:rsidRPr="00E11291">
        <w:t>CheckM</w:t>
      </w:r>
      <w:proofErr w:type="spellEnd"/>
      <w:r w:rsidRPr="00E11291">
        <w:t xml:space="preserve"> (Park </w:t>
      </w:r>
      <w:r w:rsidRPr="00E11291">
        <w:rPr>
          <w:i/>
        </w:rPr>
        <w:t>et al.</w:t>
      </w:r>
      <w:r w:rsidRPr="00E11291">
        <w:t>, 2015). Detailed information about each MAG is available in Table S9.</w:t>
      </w:r>
    </w:p>
    <w:p w:rsidR="002D1BE0" w:rsidRDefault="002D1BE0" w:rsidP="002D1BE0">
      <w:pPr>
        <w:rPr>
          <w:b/>
          <w:bCs/>
        </w:rPr>
      </w:pPr>
      <w:r>
        <w:rPr>
          <w:b/>
          <w:bCs/>
        </w:rPr>
        <w:br w:type="page"/>
      </w:r>
    </w:p>
    <w:p w:rsidR="002D1BE0" w:rsidRPr="00E11291" w:rsidRDefault="002D1BE0" w:rsidP="002D1BE0">
      <w:pPr>
        <w:spacing w:line="360" w:lineRule="auto"/>
        <w:ind w:left="57"/>
        <w:jc w:val="both"/>
        <w:rPr>
          <w:b/>
          <w:bCs/>
        </w:rPr>
      </w:pPr>
      <w:r>
        <w:rPr>
          <w:b/>
          <w:bCs/>
          <w:noProof/>
          <w:lang w:eastAsia="en-PH"/>
        </w:rPr>
        <w:lastRenderedPageBreak/>
        <w:drawing>
          <wp:inline distT="0" distB="0" distL="0" distR="0" wp14:anchorId="73278A1E" wp14:editId="4EEA9004">
            <wp:extent cx="5943600" cy="6082030"/>
            <wp:effectExtent l="0" t="0" r="0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eS4.pd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8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BE0" w:rsidRPr="00E11291" w:rsidRDefault="002D1BE0" w:rsidP="002D1BE0">
      <w:pPr>
        <w:spacing w:line="360" w:lineRule="auto"/>
        <w:ind w:left="57"/>
        <w:jc w:val="both"/>
      </w:pPr>
      <w:r w:rsidRPr="00E11291">
        <w:rPr>
          <w:b/>
          <w:bCs/>
        </w:rPr>
        <w:t>Figure S4</w:t>
      </w:r>
      <w:r w:rsidRPr="00E11291">
        <w:t xml:space="preserve">. Protein sequence alignment of predicted </w:t>
      </w:r>
      <w:proofErr w:type="spellStart"/>
      <w:r w:rsidRPr="00E11291">
        <w:t>uricases</w:t>
      </w:r>
      <w:proofErr w:type="spellEnd"/>
      <w:r w:rsidRPr="00E11291">
        <w:t xml:space="preserve"> from 53 termite transcriptomes previously published in </w:t>
      </w:r>
      <w:proofErr w:type="spellStart"/>
      <w:r w:rsidRPr="00E11291">
        <w:t>Buček</w:t>
      </w:r>
      <w:proofErr w:type="spellEnd"/>
      <w:r w:rsidRPr="00E11291">
        <w:t xml:space="preserve"> et al. (2019).</w:t>
      </w:r>
    </w:p>
    <w:p w:rsidR="002D1BE0" w:rsidRPr="00E11291" w:rsidRDefault="002D1BE0" w:rsidP="002D1BE0">
      <w:pPr>
        <w:spacing w:line="360" w:lineRule="auto"/>
        <w:ind w:left="57"/>
        <w:jc w:val="both"/>
        <w:rPr>
          <w:b/>
          <w:bCs/>
        </w:rPr>
      </w:pPr>
    </w:p>
    <w:p w:rsidR="002D1BE0" w:rsidRDefault="002D1BE0"/>
    <w:sectPr w:rsidR="002D1B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BE0"/>
    <w:rsid w:val="00197B26"/>
    <w:rsid w:val="002D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1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B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1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B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</Words>
  <Characters>598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AJTUALA</dc:creator>
  <cp:lastModifiedBy>AJTUALA</cp:lastModifiedBy>
  <cp:revision>1</cp:revision>
  <dcterms:created xsi:type="dcterms:W3CDTF">2022-05-07T18:49:00Z</dcterms:created>
  <dcterms:modified xsi:type="dcterms:W3CDTF">2022-05-07T18:49:00Z</dcterms:modified>
</cp:coreProperties>
</file>