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A68E3" w14:textId="2ED40F97" w:rsidR="00966A9E" w:rsidRPr="00966A9E" w:rsidRDefault="00966A9E" w:rsidP="0018227A">
      <w:pPr>
        <w:pStyle w:val="Heading2"/>
        <w:rPr>
          <w:rFonts w:asciiTheme="minorHAnsi" w:hAnsiTheme="minorHAnsi" w:cstheme="minorHAnsi"/>
          <w:b/>
          <w:color w:val="auto"/>
          <w:sz w:val="24"/>
          <w:szCs w:val="24"/>
          <w:lang w:val="en-US"/>
        </w:rPr>
      </w:pPr>
      <w:r w:rsidRPr="00966A9E">
        <w:rPr>
          <w:rFonts w:asciiTheme="minorHAnsi" w:hAnsiTheme="minorHAnsi" w:cstheme="minorHAnsi"/>
          <w:b/>
          <w:color w:val="auto"/>
          <w:sz w:val="24"/>
          <w:szCs w:val="24"/>
          <w:lang w:val="en-US"/>
        </w:rPr>
        <w:t>Text S1</w:t>
      </w:r>
    </w:p>
    <w:p w14:paraId="1866D9FE" w14:textId="7D3FFF0F" w:rsidR="00966A9E" w:rsidRDefault="00966A9E" w:rsidP="00966A9E">
      <w:pPr>
        <w:rPr>
          <w:b/>
          <w:bCs/>
          <w:sz w:val="24"/>
          <w:szCs w:val="24"/>
          <w:lang w:val="en-US"/>
        </w:rPr>
      </w:pPr>
      <w:r w:rsidRPr="00966A9E">
        <w:rPr>
          <w:b/>
          <w:bCs/>
          <w:sz w:val="24"/>
          <w:szCs w:val="24"/>
          <w:lang w:val="en-US"/>
        </w:rPr>
        <w:t xml:space="preserve">Details on </w:t>
      </w:r>
      <w:r w:rsidR="008E526A">
        <w:rPr>
          <w:b/>
          <w:bCs/>
          <w:sz w:val="24"/>
          <w:szCs w:val="24"/>
          <w:lang w:val="en-US"/>
        </w:rPr>
        <w:t>16S rRNA quantification and total bacterial load</w:t>
      </w:r>
    </w:p>
    <w:p w14:paraId="3FD9D79C" w14:textId="06F57AC0" w:rsidR="00547C44" w:rsidRDefault="00547C44" w:rsidP="00547C44">
      <w:pPr>
        <w:rPr>
          <w:color w:val="000000"/>
          <w:sz w:val="24"/>
          <w:szCs w:val="24"/>
          <w:shd w:val="clear" w:color="auto" w:fill="FFFFFF"/>
        </w:rPr>
      </w:pPr>
      <w:r w:rsidRPr="00D83D6B">
        <w:rPr>
          <w:color w:val="000000"/>
          <w:sz w:val="24"/>
          <w:szCs w:val="24"/>
          <w:shd w:val="clear" w:color="auto" w:fill="FFFFFF"/>
        </w:rPr>
        <w:t>The bacterial load was quantified by quantitative PCR (StepOnePlus Real-Time PCR System, Thermo Fisher Scientific, the Netherlands) with universal primers and probe targeting the 16S rRNA gene, containing forward primer 16S-F1 (5′-CGA AAG CGT GGG GAG CAA A-3′), reverse primer 16S-R1 (5′-GTT CGT ACT CCC CAG GCG G-3′) and probe 16S-P1 (FAM-ATT AGA TAC CCT GGT AGT CCA-ZEN) (IDT, Leuven, Belgium). To optimize qPCR reproducibility and to allow comparisons of DNA concentrations reliably, we developed a standard curve by using a synthesized fragment of the 16S rRNA gene (gBlocks Gene Fragment, IDT, 5′-CGG TGC GAA AGC GTG GGG AGC AAA CAG GAT TAG ATA CCC TGG TAG TCC ACG CCG TAA ACG ATG TCT ACT AGC TGT TCG TGG TCT TGT ACT GTG AGT AGC GCA GCT AAC GCA CTA AGT AGA CCG CCT GGG GAG TAC GAA CGC AAG-3′). CT values were related to the standard curve ranging from 0.1 pg/µl to 1 ng/µl of bacterial DNA. </w:t>
      </w:r>
    </w:p>
    <w:p w14:paraId="1272BDBE" w14:textId="36273B1F" w:rsidR="004B1FCF" w:rsidRDefault="004B1FCF" w:rsidP="00547C44">
      <w:pPr>
        <w:rPr>
          <w:color w:val="000000"/>
          <w:sz w:val="24"/>
          <w:szCs w:val="24"/>
          <w:shd w:val="clear" w:color="auto" w:fill="FFFFFF"/>
        </w:rPr>
      </w:pPr>
    </w:p>
    <w:p w14:paraId="1A13E689" w14:textId="5AC8C457" w:rsidR="004B1FCF" w:rsidRPr="004B1FCF" w:rsidRDefault="004B1FCF" w:rsidP="00547C44">
      <w:pPr>
        <w:rPr>
          <w:b/>
          <w:bCs/>
          <w:color w:val="000000"/>
          <w:sz w:val="24"/>
          <w:szCs w:val="24"/>
          <w:shd w:val="clear" w:color="auto" w:fill="FFFFFF"/>
        </w:rPr>
      </w:pPr>
      <w:r w:rsidRPr="004B1FCF">
        <w:rPr>
          <w:b/>
          <w:bCs/>
          <w:color w:val="000000"/>
          <w:sz w:val="24"/>
          <w:szCs w:val="24"/>
          <w:shd w:val="clear" w:color="auto" w:fill="FFFFFF"/>
        </w:rPr>
        <w:t>Primers’ melting temperature</w:t>
      </w:r>
    </w:p>
    <w:p w14:paraId="4AC37B18" w14:textId="07699834" w:rsidR="004B1FCF" w:rsidRDefault="004B1FCF" w:rsidP="00547C44">
      <w:pPr>
        <w:rPr>
          <w:color w:val="000000"/>
          <w:sz w:val="24"/>
          <w:szCs w:val="24"/>
          <w:shd w:val="clear" w:color="auto" w:fill="FFFFFF"/>
        </w:rPr>
      </w:pPr>
      <w:r>
        <w:rPr>
          <w:color w:val="000000"/>
          <w:sz w:val="24"/>
          <w:szCs w:val="24"/>
          <w:shd w:val="clear" w:color="auto" w:fill="FFFFFF"/>
        </w:rPr>
        <w:t xml:space="preserve">As assesed </w:t>
      </w:r>
      <w:r w:rsidRPr="004B1FCF">
        <w:rPr>
          <w:color w:val="000000"/>
          <w:sz w:val="24"/>
          <w:szCs w:val="24"/>
          <w:shd w:val="clear" w:color="auto" w:fill="FFFFFF"/>
        </w:rPr>
        <w:t>with IDTdna (</w:t>
      </w:r>
      <w:r w:rsidRPr="004B1FCF">
        <w:rPr>
          <w:color w:val="000000"/>
          <w:sz w:val="24"/>
          <w:szCs w:val="24"/>
          <w:shd w:val="clear" w:color="auto" w:fill="FFFFFF"/>
        </w:rPr>
        <w:fldChar w:fldCharType="begin"/>
      </w:r>
      <w:r w:rsidRPr="004B1FCF">
        <w:rPr>
          <w:color w:val="000000"/>
          <w:sz w:val="24"/>
          <w:szCs w:val="24"/>
          <w:shd w:val="clear" w:color="auto" w:fill="FFFFFF"/>
        </w:rPr>
        <w:instrText xml:space="preserve"> HYPERLINK "https://www.idtdna.com/pages" </w:instrText>
      </w:r>
      <w:r w:rsidRPr="004B1FCF">
        <w:rPr>
          <w:color w:val="000000"/>
          <w:sz w:val="24"/>
          <w:szCs w:val="24"/>
          <w:shd w:val="clear" w:color="auto" w:fill="FFFFFF"/>
        </w:rPr>
        <w:fldChar w:fldCharType="separate"/>
      </w:r>
      <w:r w:rsidRPr="004B1FCF">
        <w:rPr>
          <w:rStyle w:val="Hyperlink"/>
          <w:sz w:val="24"/>
          <w:szCs w:val="24"/>
          <w:shd w:val="clear" w:color="auto" w:fill="FFFFFF"/>
        </w:rPr>
        <w:t>https://www.idtdna.com/pages</w:t>
      </w:r>
      <w:r w:rsidRPr="004B1FCF">
        <w:rPr>
          <w:color w:val="000000"/>
          <w:sz w:val="24"/>
          <w:szCs w:val="24"/>
          <w:shd w:val="clear" w:color="auto" w:fill="FFFFFF"/>
        </w:rPr>
        <w:fldChar w:fldCharType="end"/>
      </w:r>
      <w:r w:rsidRPr="004B1FCF">
        <w:rPr>
          <w:color w:val="000000"/>
          <w:sz w:val="24"/>
          <w:szCs w:val="24"/>
          <w:shd w:val="clear" w:color="auto" w:fill="FFFFFF"/>
        </w:rPr>
        <w:t>), melting temperature of the forward and reverse primers were 65.9°C and 66.9</w:t>
      </w:r>
      <w:r w:rsidRPr="004B1FCF">
        <w:rPr>
          <w:rFonts w:cstheme="minorHAnsi"/>
          <w:color w:val="222222"/>
          <w:sz w:val="24"/>
          <w:szCs w:val="24"/>
          <w:shd w:val="clear" w:color="auto" w:fill="FFFFFF"/>
        </w:rPr>
        <w:t>°C, respectively.</w:t>
      </w:r>
    </w:p>
    <w:p w14:paraId="074E04EF" w14:textId="77777777" w:rsidR="004B1FCF" w:rsidRPr="00D83D6B" w:rsidRDefault="004B1FCF" w:rsidP="00547C44">
      <w:pPr>
        <w:rPr>
          <w:color w:val="000000"/>
          <w:sz w:val="24"/>
          <w:szCs w:val="24"/>
          <w:shd w:val="clear" w:color="auto" w:fill="FFFFFF"/>
        </w:rPr>
      </w:pPr>
    </w:p>
    <w:p w14:paraId="23315883" w14:textId="13FC6DFB" w:rsidR="00547C44" w:rsidRPr="006826E4" w:rsidRDefault="00B02351" w:rsidP="00547C44">
      <w:pPr>
        <w:rPr>
          <w:b/>
          <w:bCs/>
          <w:sz w:val="24"/>
          <w:szCs w:val="24"/>
        </w:rPr>
      </w:pPr>
      <w:r>
        <w:rPr>
          <w:b/>
          <w:bCs/>
          <w:sz w:val="24"/>
          <w:szCs w:val="24"/>
        </w:rPr>
        <w:t>q</w:t>
      </w:r>
      <w:r w:rsidR="00547C44" w:rsidRPr="006826E4">
        <w:rPr>
          <w:b/>
          <w:bCs/>
          <w:sz w:val="24"/>
          <w:szCs w:val="24"/>
        </w:rPr>
        <w:t>PCR pr</w:t>
      </w:r>
      <w:r>
        <w:rPr>
          <w:b/>
          <w:bCs/>
          <w:sz w:val="24"/>
          <w:szCs w:val="24"/>
        </w:rPr>
        <w:t>otocol</w:t>
      </w:r>
      <w:r w:rsidR="00547C44" w:rsidRPr="006826E4">
        <w:rPr>
          <w:b/>
          <w:bCs/>
          <w:sz w:val="24"/>
          <w:szCs w:val="24"/>
        </w:rPr>
        <w:t xml:space="preserve"> </w:t>
      </w:r>
    </w:p>
    <w:p w14:paraId="371D4F17" w14:textId="77777777" w:rsidR="00547C44" w:rsidRPr="00D83D6B" w:rsidRDefault="00547C44" w:rsidP="00547C44">
      <w:pPr>
        <w:rPr>
          <w:sz w:val="24"/>
          <w:szCs w:val="24"/>
        </w:rPr>
      </w:pPr>
      <w:r w:rsidRPr="00D83D6B">
        <w:rPr>
          <w:sz w:val="24"/>
          <w:szCs w:val="24"/>
        </w:rPr>
        <w:t xml:space="preserve">PCR mix: 12,5 µl Diagnode universal Mastermix (Hotstart Taq NA polymerase, optimized reaction buffer, 4mM MgCl2 and dNTPs), 1 µl of each primer (10µM), 1 µl of the probe (5µM), 6,5 µl of DNA free water and 3 µl of template DNA. </w:t>
      </w:r>
    </w:p>
    <w:p w14:paraId="1B28DBC3" w14:textId="7007A7EF" w:rsidR="008E526A" w:rsidRPr="004B1FCF" w:rsidRDefault="00547C44" w:rsidP="00966A9E">
      <w:pPr>
        <w:rPr>
          <w:sz w:val="24"/>
          <w:szCs w:val="24"/>
        </w:rPr>
      </w:pPr>
      <w:r w:rsidRPr="00D83D6B">
        <w:rPr>
          <w:sz w:val="24"/>
          <w:szCs w:val="24"/>
        </w:rPr>
        <w:t>Thermal cycling conditions: initial DNA denaturation step 2 min 50 degrees Celsius and 10 min 95 degrees Celsius, followed by 4</w:t>
      </w:r>
      <w:r w:rsidR="00665D89">
        <w:rPr>
          <w:sz w:val="24"/>
          <w:szCs w:val="24"/>
        </w:rPr>
        <w:t>5</w:t>
      </w:r>
      <w:r w:rsidRPr="00D83D6B">
        <w:rPr>
          <w:sz w:val="24"/>
          <w:szCs w:val="24"/>
        </w:rPr>
        <w:t xml:space="preserve"> cycles of 15 sec 95 degrees Celsius, 1 minute 60 degrees Celsius.</w:t>
      </w:r>
    </w:p>
    <w:p w14:paraId="6D8AA7FA" w14:textId="7B5B2039" w:rsidR="004B1FCF" w:rsidRDefault="004B1FCF" w:rsidP="00744781">
      <w:pPr>
        <w:rPr>
          <w:sz w:val="24"/>
          <w:szCs w:val="24"/>
          <w:lang w:val="en-US"/>
        </w:rPr>
      </w:pPr>
    </w:p>
    <w:p w14:paraId="71F01507" w14:textId="27D1C960" w:rsidR="004B1FCF" w:rsidRPr="004B1FCF" w:rsidRDefault="004B1FCF" w:rsidP="00744781">
      <w:pPr>
        <w:rPr>
          <w:b/>
          <w:bCs/>
          <w:sz w:val="24"/>
          <w:szCs w:val="24"/>
          <w:lang w:val="en-US"/>
        </w:rPr>
      </w:pPr>
      <w:r w:rsidRPr="004B1FCF">
        <w:rPr>
          <w:b/>
          <w:bCs/>
          <w:sz w:val="24"/>
          <w:szCs w:val="24"/>
          <w:lang w:val="en-US"/>
        </w:rPr>
        <w:t>In silico primer performance</w:t>
      </w:r>
    </w:p>
    <w:p w14:paraId="480C3C6B" w14:textId="70C26ADE" w:rsidR="00744781" w:rsidRPr="00744781" w:rsidRDefault="00744781" w:rsidP="00744781">
      <w:pPr>
        <w:rPr>
          <w:sz w:val="24"/>
          <w:szCs w:val="24"/>
          <w:lang w:val="en-US"/>
        </w:rPr>
      </w:pPr>
      <w:r>
        <w:rPr>
          <w:sz w:val="24"/>
          <w:szCs w:val="24"/>
          <w:lang w:val="en-US"/>
        </w:rPr>
        <w:t xml:space="preserve">The results of </w:t>
      </w:r>
      <w:r w:rsidRPr="00744781">
        <w:rPr>
          <w:sz w:val="24"/>
          <w:szCs w:val="24"/>
          <w:lang w:val="en-US"/>
        </w:rPr>
        <w:t xml:space="preserve">in silico analysis in the Silva database </w:t>
      </w:r>
      <w:r w:rsidR="004B1FCF">
        <w:rPr>
          <w:sz w:val="24"/>
          <w:szCs w:val="24"/>
          <w:lang w:val="en-US"/>
        </w:rPr>
        <w:t>(</w:t>
      </w:r>
      <w:hyperlink r:id="rId4" w:history="1">
        <w:r w:rsidR="004B1FCF" w:rsidRPr="00C445B4">
          <w:rPr>
            <w:rStyle w:val="Hyperlink"/>
            <w:sz w:val="24"/>
            <w:szCs w:val="24"/>
            <w:lang w:val="en-US"/>
          </w:rPr>
          <w:t>https://www.arb-silva.de/search/testprime/</w:t>
        </w:r>
      </w:hyperlink>
      <w:r w:rsidR="004B1FCF">
        <w:rPr>
          <w:sz w:val="24"/>
          <w:szCs w:val="24"/>
          <w:lang w:val="en-US"/>
        </w:rPr>
        <w:t xml:space="preserve">) </w:t>
      </w:r>
      <w:r>
        <w:rPr>
          <w:sz w:val="24"/>
          <w:szCs w:val="24"/>
          <w:lang w:val="en-US"/>
        </w:rPr>
        <w:t>assessing</w:t>
      </w:r>
      <w:r w:rsidRPr="00744781">
        <w:rPr>
          <w:sz w:val="24"/>
          <w:szCs w:val="24"/>
          <w:lang w:val="en-US"/>
        </w:rPr>
        <w:t xml:space="preserve"> the performance of the set of primers used in this study for the </w:t>
      </w:r>
      <w:r>
        <w:rPr>
          <w:sz w:val="24"/>
          <w:szCs w:val="24"/>
          <w:lang w:val="en-US"/>
        </w:rPr>
        <w:t>bacterial quantification</w:t>
      </w:r>
      <w:r w:rsidRPr="00744781">
        <w:rPr>
          <w:sz w:val="24"/>
          <w:szCs w:val="24"/>
          <w:lang w:val="en-US"/>
        </w:rPr>
        <w:t xml:space="preserve"> approach (16S-F1 (5′-CGA AAG CGT GGG GAG CAA A -3′), reverse primer 16S-R1 (5′-GTT CGT ACT CCC CAG GCG G-3′)</w:t>
      </w:r>
      <w:r>
        <w:rPr>
          <w:sz w:val="24"/>
          <w:szCs w:val="24"/>
          <w:lang w:val="en-US"/>
        </w:rPr>
        <w:t>:</w:t>
      </w:r>
    </w:p>
    <w:p w14:paraId="1876B708" w14:textId="269A3ED2" w:rsidR="00744781" w:rsidRPr="00744781" w:rsidRDefault="00744781" w:rsidP="00744781">
      <w:pPr>
        <w:rPr>
          <w:sz w:val="24"/>
          <w:szCs w:val="24"/>
          <w:lang w:val="en-US"/>
        </w:rPr>
      </w:pPr>
      <w:r w:rsidRPr="00744781">
        <w:rPr>
          <w:sz w:val="24"/>
          <w:szCs w:val="24"/>
          <w:lang w:val="en-US"/>
        </w:rPr>
        <w:t>0 Mismatch: Bacteria 0%</w:t>
      </w:r>
    </w:p>
    <w:p w14:paraId="1D585F70" w14:textId="0D62E93B" w:rsidR="00744781" w:rsidRPr="00744781" w:rsidRDefault="00744781" w:rsidP="00744781">
      <w:pPr>
        <w:rPr>
          <w:sz w:val="24"/>
          <w:szCs w:val="24"/>
          <w:lang w:val="en-US"/>
        </w:rPr>
      </w:pPr>
      <w:r w:rsidRPr="00744781">
        <w:rPr>
          <w:sz w:val="24"/>
          <w:szCs w:val="24"/>
          <w:lang w:val="en-US"/>
        </w:rPr>
        <w:t>1 Mismatch: Bacteria (4.8%) and Archaea (0%)</w:t>
      </w:r>
    </w:p>
    <w:p w14:paraId="11D7EA45" w14:textId="251E1045" w:rsidR="00744781" w:rsidRPr="00744781" w:rsidRDefault="00744781" w:rsidP="00744781">
      <w:pPr>
        <w:rPr>
          <w:sz w:val="24"/>
          <w:szCs w:val="24"/>
          <w:lang w:val="en-US"/>
        </w:rPr>
      </w:pPr>
      <w:r w:rsidRPr="00744781">
        <w:rPr>
          <w:sz w:val="24"/>
          <w:szCs w:val="24"/>
          <w:lang w:val="en-US"/>
        </w:rPr>
        <w:t>2 Mismatches: Bacteria (58%) and Archaea (2.8%).</w:t>
      </w:r>
    </w:p>
    <w:p w14:paraId="227CA173" w14:textId="710AC93F" w:rsidR="00966A9E" w:rsidRPr="00744781" w:rsidRDefault="00744781" w:rsidP="00966A9E">
      <w:pPr>
        <w:rPr>
          <w:sz w:val="24"/>
          <w:szCs w:val="24"/>
          <w:lang w:val="en-US"/>
        </w:rPr>
      </w:pPr>
      <w:r w:rsidRPr="00744781">
        <w:rPr>
          <w:sz w:val="24"/>
          <w:szCs w:val="24"/>
          <w:lang w:val="en-US"/>
        </w:rPr>
        <w:t xml:space="preserve">3 Mismatches: </w:t>
      </w:r>
      <w:r w:rsidR="00DF02B2">
        <w:rPr>
          <w:sz w:val="24"/>
          <w:szCs w:val="24"/>
          <w:lang w:val="en-US"/>
        </w:rPr>
        <w:t>Bacteria (83.8%) and Archaea (35.9%)</w:t>
      </w:r>
    </w:p>
    <w:p w14:paraId="240B5BD1" w14:textId="4F45B8AB" w:rsidR="00D60856" w:rsidRPr="008B65FF" w:rsidRDefault="00D60856" w:rsidP="0018227A">
      <w:pPr>
        <w:pStyle w:val="Heading2"/>
        <w:rPr>
          <w:rFonts w:asciiTheme="minorHAnsi" w:hAnsiTheme="minorHAnsi" w:cstheme="minorHAnsi"/>
          <w:b/>
          <w:color w:val="auto"/>
          <w:sz w:val="24"/>
          <w:szCs w:val="24"/>
          <w:lang w:val="en-US"/>
        </w:rPr>
      </w:pPr>
      <w:r w:rsidRPr="008B65FF">
        <w:rPr>
          <w:rFonts w:asciiTheme="minorHAnsi" w:hAnsiTheme="minorHAnsi" w:cstheme="minorHAnsi"/>
          <w:b/>
          <w:color w:val="auto"/>
          <w:sz w:val="24"/>
          <w:szCs w:val="24"/>
          <w:lang w:val="en-US"/>
        </w:rPr>
        <w:lastRenderedPageBreak/>
        <w:t>Text S</w:t>
      </w:r>
      <w:r w:rsidR="00966A9E">
        <w:rPr>
          <w:rFonts w:asciiTheme="minorHAnsi" w:hAnsiTheme="minorHAnsi" w:cstheme="minorHAnsi"/>
          <w:b/>
          <w:color w:val="auto"/>
          <w:sz w:val="24"/>
          <w:szCs w:val="24"/>
          <w:lang w:val="en-US"/>
        </w:rPr>
        <w:t>2</w:t>
      </w:r>
    </w:p>
    <w:p w14:paraId="5AFBDEE4" w14:textId="77777777" w:rsidR="008B65FF" w:rsidRPr="008B65FF" w:rsidRDefault="008B65FF" w:rsidP="008B65FF">
      <w:pPr>
        <w:rPr>
          <w:rFonts w:eastAsiaTheme="majorEastAsia" w:cstheme="minorHAnsi"/>
          <w:b/>
          <w:sz w:val="24"/>
          <w:szCs w:val="24"/>
          <w:lang w:val="en-US"/>
        </w:rPr>
      </w:pPr>
      <w:r w:rsidRPr="008B65FF">
        <w:rPr>
          <w:rFonts w:eastAsiaTheme="majorEastAsia" w:cstheme="minorHAnsi"/>
          <w:b/>
          <w:sz w:val="24"/>
          <w:szCs w:val="24"/>
          <w:lang w:val="en-US"/>
        </w:rPr>
        <w:t>Details on models investigating effect of life stage on bacterial community variation.</w:t>
      </w:r>
    </w:p>
    <w:p w14:paraId="30D91F10" w14:textId="0BA2C68B" w:rsidR="0018227A" w:rsidRPr="008B65FF" w:rsidRDefault="008B65FF" w:rsidP="008B65FF">
      <w:pPr>
        <w:rPr>
          <w:rFonts w:cstheme="minorHAnsi"/>
          <w:bCs/>
          <w:sz w:val="24"/>
          <w:szCs w:val="24"/>
          <w:lang w:val="en-GB"/>
        </w:rPr>
      </w:pPr>
      <w:r w:rsidRPr="008B65FF">
        <w:rPr>
          <w:rFonts w:eastAsiaTheme="majorEastAsia" w:cstheme="minorHAnsi"/>
          <w:bCs/>
          <w:sz w:val="24"/>
          <w:szCs w:val="24"/>
          <w:lang w:val="en-US"/>
        </w:rPr>
        <w:t>To investigate correlations between OTUs and tick life stage, we fitted proportional odds models with OTU abundances scaled by absolute bacterial density as the dependent variable and used tick life stage as independent variables. The model is defined as logit[P(</w:t>
      </w:r>
      <w:proofErr w:type="spellStart"/>
      <w:r w:rsidRPr="008B65FF">
        <w:rPr>
          <w:rFonts w:eastAsiaTheme="majorEastAsia" w:cstheme="minorHAnsi"/>
          <w:bCs/>
          <w:sz w:val="24"/>
          <w:szCs w:val="24"/>
          <w:lang w:val="en-US"/>
        </w:rPr>
        <w:t>Y_ik≤j</w:t>
      </w:r>
      <w:proofErr w:type="spellEnd"/>
      <w:proofErr w:type="gramStart"/>
      <w:r w:rsidRPr="008B65FF">
        <w:rPr>
          <w:rFonts w:eastAsiaTheme="majorEastAsia" w:cstheme="minorHAnsi"/>
          <w:bCs/>
          <w:sz w:val="24"/>
          <w:szCs w:val="24"/>
          <w:lang w:val="en-US"/>
        </w:rPr>
        <w:t>)]=</w:t>
      </w:r>
      <w:proofErr w:type="gramEnd"/>
      <w:r w:rsidRPr="008B65FF">
        <w:rPr>
          <w:rFonts w:eastAsiaTheme="majorEastAsia" w:cstheme="minorHAnsi"/>
          <w:bCs/>
          <w:sz w:val="24"/>
          <w:szCs w:val="24"/>
          <w:lang w:val="en-US"/>
        </w:rPr>
        <w:t xml:space="preserve"> </w:t>
      </w:r>
      <w:proofErr w:type="spellStart"/>
      <w:r w:rsidRPr="008B65FF">
        <w:rPr>
          <w:rFonts w:eastAsiaTheme="majorEastAsia" w:cstheme="minorHAnsi"/>
          <w:bCs/>
          <w:sz w:val="24"/>
          <w:szCs w:val="24"/>
          <w:lang w:val="en-US"/>
        </w:rPr>
        <w:t>θ_j-x_i</w:t>
      </w:r>
      <w:proofErr w:type="spellEnd"/>
      <w:r w:rsidRPr="008B65FF">
        <w:rPr>
          <w:rFonts w:eastAsiaTheme="majorEastAsia" w:cstheme="minorHAnsi"/>
          <w:bCs/>
          <w:sz w:val="24"/>
          <w:szCs w:val="24"/>
          <w:lang w:val="en-US"/>
        </w:rPr>
        <w:t xml:space="preserve"> β_1 , where </w:t>
      </w:r>
      <w:proofErr w:type="spellStart"/>
      <w:r w:rsidRPr="008B65FF">
        <w:rPr>
          <w:rFonts w:eastAsiaTheme="majorEastAsia" w:cstheme="minorHAnsi"/>
          <w:bCs/>
          <w:sz w:val="24"/>
          <w:szCs w:val="24"/>
          <w:lang w:val="en-US"/>
        </w:rPr>
        <w:t>Yik</w:t>
      </w:r>
      <w:proofErr w:type="spellEnd"/>
      <w:r w:rsidRPr="008B65FF">
        <w:rPr>
          <w:rFonts w:eastAsiaTheme="majorEastAsia" w:cstheme="minorHAnsi"/>
          <w:bCs/>
          <w:sz w:val="24"/>
          <w:szCs w:val="24"/>
          <w:lang w:val="en-US"/>
        </w:rPr>
        <w:t xml:space="preserve"> is the OTU abundance that can fall in j categories, xi is a vector of life stage factors and β is the regression parameter for this factor. We used the </w:t>
      </w:r>
      <w:proofErr w:type="spellStart"/>
      <w:r w:rsidRPr="008B65FF">
        <w:rPr>
          <w:rFonts w:eastAsiaTheme="majorEastAsia" w:cstheme="minorHAnsi"/>
          <w:bCs/>
          <w:sz w:val="24"/>
          <w:szCs w:val="24"/>
          <w:lang w:val="en-US"/>
        </w:rPr>
        <w:t>clm</w:t>
      </w:r>
      <w:proofErr w:type="spellEnd"/>
      <w:r w:rsidRPr="008B65FF">
        <w:rPr>
          <w:rFonts w:eastAsiaTheme="majorEastAsia" w:cstheme="minorHAnsi"/>
          <w:bCs/>
          <w:sz w:val="24"/>
          <w:szCs w:val="24"/>
          <w:lang w:val="en-US"/>
        </w:rPr>
        <w:t xml:space="preserve"> function from the R package ordinal (version 2019.4-25) to fit these models (Christensen 2015). With the logit link function, coefficients can be interpreted as the effect that life stage factors have on the probability that a </w:t>
      </w:r>
      <w:proofErr w:type="spellStart"/>
      <w:r w:rsidRPr="008B65FF">
        <w:rPr>
          <w:rFonts w:eastAsiaTheme="majorEastAsia" w:cstheme="minorHAnsi"/>
          <w:bCs/>
          <w:sz w:val="24"/>
          <w:szCs w:val="24"/>
          <w:lang w:val="en-US"/>
        </w:rPr>
        <w:t>taxon</w:t>
      </w:r>
      <w:proofErr w:type="spellEnd"/>
      <w:r w:rsidRPr="008B65FF">
        <w:rPr>
          <w:rFonts w:eastAsiaTheme="majorEastAsia" w:cstheme="minorHAnsi"/>
          <w:bCs/>
          <w:sz w:val="24"/>
          <w:szCs w:val="24"/>
          <w:lang w:val="en-US"/>
        </w:rPr>
        <w:t xml:space="preserve"> reaches a certain level of abundance. We compared these models with the likelihood ratio test, using an implementation of </w:t>
      </w:r>
      <w:proofErr w:type="spellStart"/>
      <w:r w:rsidRPr="008B65FF">
        <w:rPr>
          <w:rFonts w:eastAsiaTheme="majorEastAsia" w:cstheme="minorHAnsi"/>
          <w:bCs/>
          <w:sz w:val="24"/>
          <w:szCs w:val="24"/>
          <w:lang w:val="en-US"/>
        </w:rPr>
        <w:t>Nagelkerke’s</w:t>
      </w:r>
      <w:proofErr w:type="spellEnd"/>
      <w:r w:rsidRPr="008B65FF">
        <w:rPr>
          <w:rFonts w:eastAsiaTheme="majorEastAsia" w:cstheme="minorHAnsi"/>
          <w:bCs/>
          <w:sz w:val="24"/>
          <w:szCs w:val="24"/>
          <w:lang w:val="en-US"/>
        </w:rPr>
        <w:t xml:space="preserve"> pseudo-R2 from the R package </w:t>
      </w:r>
      <w:proofErr w:type="spellStart"/>
      <w:r w:rsidRPr="008B65FF">
        <w:rPr>
          <w:rFonts w:eastAsiaTheme="majorEastAsia" w:cstheme="minorHAnsi"/>
          <w:bCs/>
          <w:sz w:val="24"/>
          <w:szCs w:val="24"/>
          <w:lang w:val="en-US"/>
        </w:rPr>
        <w:t>rcompanion</w:t>
      </w:r>
      <w:proofErr w:type="spellEnd"/>
      <w:r w:rsidRPr="008B65FF">
        <w:rPr>
          <w:rFonts w:eastAsiaTheme="majorEastAsia" w:cstheme="minorHAnsi"/>
          <w:bCs/>
          <w:sz w:val="24"/>
          <w:szCs w:val="24"/>
          <w:lang w:val="en-US"/>
        </w:rPr>
        <w:t xml:space="preserve"> (version 2.3.7) (</w:t>
      </w:r>
      <w:proofErr w:type="spellStart"/>
      <w:r w:rsidRPr="008B65FF">
        <w:rPr>
          <w:rFonts w:eastAsiaTheme="majorEastAsia" w:cstheme="minorHAnsi"/>
          <w:bCs/>
          <w:sz w:val="24"/>
          <w:szCs w:val="24"/>
          <w:lang w:val="en-US"/>
        </w:rPr>
        <w:t>Mangiafico</w:t>
      </w:r>
      <w:proofErr w:type="spellEnd"/>
      <w:r w:rsidRPr="008B65FF">
        <w:rPr>
          <w:rFonts w:eastAsiaTheme="majorEastAsia" w:cstheme="minorHAnsi"/>
          <w:bCs/>
          <w:sz w:val="24"/>
          <w:szCs w:val="24"/>
          <w:lang w:val="en-US"/>
        </w:rPr>
        <w:t xml:space="preserve"> and </w:t>
      </w:r>
      <w:proofErr w:type="spellStart"/>
      <w:r w:rsidRPr="008B65FF">
        <w:rPr>
          <w:rFonts w:eastAsiaTheme="majorEastAsia" w:cstheme="minorHAnsi"/>
          <w:bCs/>
          <w:sz w:val="24"/>
          <w:szCs w:val="24"/>
          <w:lang w:val="en-US"/>
        </w:rPr>
        <w:t>Mangiafico</w:t>
      </w:r>
      <w:proofErr w:type="spellEnd"/>
      <w:r w:rsidRPr="008B65FF">
        <w:rPr>
          <w:rFonts w:eastAsiaTheme="majorEastAsia" w:cstheme="minorHAnsi"/>
          <w:bCs/>
          <w:sz w:val="24"/>
          <w:szCs w:val="24"/>
          <w:lang w:val="en-US"/>
        </w:rPr>
        <w:t xml:space="preserve"> 2017).</w:t>
      </w:r>
    </w:p>
    <w:p w14:paraId="14896429" w14:textId="77777777" w:rsidR="0018227A" w:rsidRPr="008B65FF" w:rsidRDefault="0018227A" w:rsidP="0018227A">
      <w:pPr>
        <w:rPr>
          <w:rFonts w:cstheme="minorHAnsi"/>
          <w:sz w:val="24"/>
          <w:szCs w:val="24"/>
          <w:lang w:val="en-GB"/>
        </w:rPr>
      </w:pPr>
      <w:r w:rsidRPr="008B65FF">
        <w:rPr>
          <w:rFonts w:cstheme="minorHAnsi"/>
          <w:sz w:val="24"/>
          <w:szCs w:val="24"/>
          <w:lang w:val="en-GB"/>
        </w:rPr>
        <w:t>Christensen RHB. Analysis of ordinal data with cumulative link models—estimation with the R-package ordinal. R-package version 2015:1–31.</w:t>
      </w:r>
    </w:p>
    <w:p w14:paraId="75D426F9" w14:textId="77777777" w:rsidR="0018227A" w:rsidRPr="008B65FF" w:rsidRDefault="0018227A" w:rsidP="0018227A">
      <w:pPr>
        <w:rPr>
          <w:rFonts w:cstheme="minorHAnsi"/>
          <w:sz w:val="24"/>
          <w:szCs w:val="24"/>
          <w:lang w:val="en-GB"/>
        </w:rPr>
      </w:pPr>
      <w:proofErr w:type="spellStart"/>
      <w:r w:rsidRPr="008B65FF">
        <w:rPr>
          <w:rFonts w:cstheme="minorHAnsi"/>
          <w:sz w:val="24"/>
          <w:szCs w:val="24"/>
          <w:lang w:val="en-GB"/>
        </w:rPr>
        <w:t>Mangiafico</w:t>
      </w:r>
      <w:proofErr w:type="spellEnd"/>
      <w:r w:rsidRPr="008B65FF">
        <w:rPr>
          <w:rFonts w:cstheme="minorHAnsi"/>
          <w:sz w:val="24"/>
          <w:szCs w:val="24"/>
          <w:lang w:val="en-GB"/>
        </w:rPr>
        <w:t xml:space="preserve"> S, </w:t>
      </w:r>
      <w:proofErr w:type="spellStart"/>
      <w:r w:rsidRPr="008B65FF">
        <w:rPr>
          <w:rFonts w:cstheme="minorHAnsi"/>
          <w:sz w:val="24"/>
          <w:szCs w:val="24"/>
          <w:lang w:val="en-GB"/>
        </w:rPr>
        <w:t>Mangiafico</w:t>
      </w:r>
      <w:proofErr w:type="spellEnd"/>
      <w:r w:rsidRPr="008B65FF">
        <w:rPr>
          <w:rFonts w:cstheme="minorHAnsi"/>
          <w:sz w:val="24"/>
          <w:szCs w:val="24"/>
          <w:lang w:val="en-GB"/>
        </w:rPr>
        <w:t xml:space="preserve"> MS. Package ‘</w:t>
      </w:r>
      <w:proofErr w:type="spellStart"/>
      <w:r w:rsidRPr="008B65FF">
        <w:rPr>
          <w:rFonts w:cstheme="minorHAnsi"/>
          <w:sz w:val="24"/>
          <w:szCs w:val="24"/>
          <w:lang w:val="en-GB"/>
        </w:rPr>
        <w:t>rcompanion</w:t>
      </w:r>
      <w:proofErr w:type="spellEnd"/>
      <w:r w:rsidRPr="008B65FF">
        <w:rPr>
          <w:rFonts w:cstheme="minorHAnsi"/>
          <w:sz w:val="24"/>
          <w:szCs w:val="24"/>
          <w:lang w:val="en-GB"/>
        </w:rPr>
        <w:t xml:space="preserve">.’ </w:t>
      </w:r>
      <w:proofErr w:type="spellStart"/>
      <w:r w:rsidRPr="008B65FF">
        <w:rPr>
          <w:rFonts w:cstheme="minorHAnsi"/>
          <w:sz w:val="24"/>
          <w:szCs w:val="24"/>
          <w:lang w:val="en-GB"/>
        </w:rPr>
        <w:t>Cran</w:t>
      </w:r>
      <w:proofErr w:type="spellEnd"/>
      <w:r w:rsidRPr="008B65FF">
        <w:rPr>
          <w:rFonts w:cstheme="minorHAnsi"/>
          <w:sz w:val="24"/>
          <w:szCs w:val="24"/>
          <w:lang w:val="en-GB"/>
        </w:rPr>
        <w:t xml:space="preserve"> Repos 2017:1–71.</w:t>
      </w:r>
    </w:p>
    <w:p w14:paraId="66E8137E" w14:textId="77777777" w:rsidR="0018227A" w:rsidRPr="008B65FF" w:rsidRDefault="0018227A" w:rsidP="0018227A">
      <w:pPr>
        <w:rPr>
          <w:rFonts w:cstheme="minorHAnsi"/>
          <w:sz w:val="24"/>
          <w:szCs w:val="24"/>
          <w:lang w:val="en-GB"/>
        </w:rPr>
      </w:pPr>
    </w:p>
    <w:p w14:paraId="31C4E866" w14:textId="0398CE64" w:rsidR="008B65FF" w:rsidRPr="008B65FF" w:rsidRDefault="00D60856" w:rsidP="008B65FF">
      <w:pPr>
        <w:pStyle w:val="Heading2"/>
        <w:rPr>
          <w:rFonts w:asciiTheme="minorHAnsi" w:hAnsiTheme="minorHAnsi" w:cstheme="minorHAnsi"/>
          <w:b/>
          <w:color w:val="auto"/>
          <w:sz w:val="24"/>
          <w:szCs w:val="24"/>
          <w:lang w:val="en-US"/>
        </w:rPr>
      </w:pPr>
      <w:r w:rsidRPr="008B65FF">
        <w:rPr>
          <w:rFonts w:asciiTheme="minorHAnsi" w:hAnsiTheme="minorHAnsi" w:cstheme="minorHAnsi"/>
          <w:b/>
          <w:color w:val="auto"/>
          <w:sz w:val="24"/>
          <w:szCs w:val="24"/>
          <w:lang w:val="en-US"/>
        </w:rPr>
        <w:t>Text S</w:t>
      </w:r>
      <w:r w:rsidR="00966A9E">
        <w:rPr>
          <w:rFonts w:asciiTheme="minorHAnsi" w:hAnsiTheme="minorHAnsi" w:cstheme="minorHAnsi"/>
          <w:b/>
          <w:color w:val="auto"/>
          <w:sz w:val="24"/>
          <w:szCs w:val="24"/>
          <w:lang w:val="en-US"/>
        </w:rPr>
        <w:t>3</w:t>
      </w:r>
    </w:p>
    <w:p w14:paraId="61F864A0" w14:textId="45CEA1B0" w:rsidR="008B65FF" w:rsidRPr="008B65FF" w:rsidRDefault="008B65FF" w:rsidP="008B65FF">
      <w:pPr>
        <w:rPr>
          <w:rFonts w:cstheme="minorHAnsi"/>
          <w:b/>
          <w:bCs/>
          <w:sz w:val="24"/>
          <w:szCs w:val="24"/>
          <w:lang w:val="en-US"/>
        </w:rPr>
      </w:pPr>
      <w:r w:rsidRPr="008B65FF">
        <w:rPr>
          <w:rFonts w:cstheme="minorHAnsi"/>
          <w:b/>
          <w:bCs/>
          <w:sz w:val="24"/>
          <w:szCs w:val="24"/>
          <w:lang w:val="en-US"/>
        </w:rPr>
        <w:t xml:space="preserve">Primers and probes for the detection of </w:t>
      </w:r>
      <w:proofErr w:type="spellStart"/>
      <w:r w:rsidRPr="008B65FF">
        <w:rPr>
          <w:rFonts w:cstheme="minorHAnsi"/>
          <w:b/>
          <w:bCs/>
          <w:i/>
          <w:iCs/>
          <w:sz w:val="24"/>
          <w:szCs w:val="24"/>
          <w:lang w:val="en-US"/>
        </w:rPr>
        <w:t>Rickettsiella</w:t>
      </w:r>
      <w:proofErr w:type="spellEnd"/>
      <w:r w:rsidRPr="008B65FF">
        <w:rPr>
          <w:rFonts w:cstheme="minorHAnsi"/>
          <w:b/>
          <w:bCs/>
          <w:sz w:val="24"/>
          <w:szCs w:val="24"/>
          <w:lang w:val="en-US"/>
        </w:rPr>
        <w:t xml:space="preserve"> spp. and </w:t>
      </w:r>
      <w:r w:rsidRPr="008B65FF">
        <w:rPr>
          <w:rFonts w:cstheme="minorHAnsi"/>
          <w:b/>
          <w:bCs/>
          <w:i/>
          <w:iCs/>
          <w:sz w:val="24"/>
          <w:szCs w:val="24"/>
          <w:lang w:val="en-US"/>
        </w:rPr>
        <w:t xml:space="preserve">M. </w:t>
      </w:r>
      <w:proofErr w:type="spellStart"/>
      <w:r w:rsidRPr="008B65FF">
        <w:rPr>
          <w:rFonts w:cstheme="minorHAnsi"/>
          <w:b/>
          <w:bCs/>
          <w:i/>
          <w:iCs/>
          <w:sz w:val="24"/>
          <w:szCs w:val="24"/>
          <w:lang w:val="en-US"/>
        </w:rPr>
        <w:t>mitochondrii</w:t>
      </w:r>
      <w:proofErr w:type="spellEnd"/>
      <w:r w:rsidRPr="008B65FF">
        <w:rPr>
          <w:rFonts w:cstheme="minorHAnsi"/>
          <w:b/>
          <w:bCs/>
          <w:sz w:val="24"/>
          <w:szCs w:val="24"/>
          <w:lang w:val="en-US"/>
        </w:rPr>
        <w:t xml:space="preserve">, target genes for the remaining symbionts </w:t>
      </w:r>
      <w:r>
        <w:rPr>
          <w:rFonts w:cstheme="minorHAnsi"/>
          <w:b/>
          <w:bCs/>
          <w:sz w:val="24"/>
          <w:szCs w:val="24"/>
          <w:lang w:val="en-US"/>
        </w:rPr>
        <w:t xml:space="preserve">and pathogens, </w:t>
      </w:r>
      <w:r w:rsidRPr="008B65FF">
        <w:rPr>
          <w:rFonts w:cstheme="minorHAnsi"/>
          <w:b/>
          <w:bCs/>
          <w:sz w:val="24"/>
          <w:szCs w:val="24"/>
          <w:lang w:val="en-US"/>
        </w:rPr>
        <w:t>and a qPCR protocol.</w:t>
      </w:r>
    </w:p>
    <w:p w14:paraId="7ED88298" w14:textId="075EFC0E" w:rsidR="0018227A" w:rsidRPr="008B65FF" w:rsidRDefault="0018227A" w:rsidP="008B65FF">
      <w:pPr>
        <w:rPr>
          <w:rFonts w:cstheme="minorHAnsi"/>
          <w:b/>
          <w:bCs/>
          <w:sz w:val="24"/>
          <w:szCs w:val="24"/>
          <w:lang w:val="en-US"/>
        </w:rPr>
      </w:pPr>
      <w:r w:rsidRPr="008B65FF">
        <w:rPr>
          <w:rFonts w:cstheme="minorHAnsi"/>
          <w:b/>
          <w:sz w:val="24"/>
          <w:szCs w:val="24"/>
          <w:lang w:val="en-US"/>
        </w:rPr>
        <w:t>Detection of symbionts</w:t>
      </w:r>
    </w:p>
    <w:p w14:paraId="5317029E" w14:textId="7D294D66" w:rsidR="0018227A" w:rsidRPr="008B65FF" w:rsidRDefault="0018227A" w:rsidP="0018227A">
      <w:pPr>
        <w:rPr>
          <w:rFonts w:cstheme="minorHAnsi"/>
          <w:b/>
          <w:sz w:val="24"/>
          <w:szCs w:val="24"/>
          <w:lang w:val="en-US"/>
        </w:rPr>
      </w:pPr>
      <w:proofErr w:type="spellStart"/>
      <w:r w:rsidRPr="008B65FF">
        <w:rPr>
          <w:rFonts w:cstheme="minorHAnsi"/>
          <w:i/>
          <w:sz w:val="24"/>
          <w:szCs w:val="24"/>
          <w:lang w:val="en-US"/>
        </w:rPr>
        <w:t>Rickettsiella</w:t>
      </w:r>
      <w:proofErr w:type="spellEnd"/>
      <w:r w:rsidRPr="008B65FF">
        <w:rPr>
          <w:rFonts w:cstheme="minorHAnsi"/>
          <w:sz w:val="24"/>
          <w:szCs w:val="24"/>
          <w:lang w:val="en-US"/>
        </w:rPr>
        <w:t xml:space="preserve"> spp. qPCR</w:t>
      </w:r>
      <w:r w:rsidRPr="008B65FF">
        <w:rPr>
          <w:rFonts w:cstheme="minorHAnsi"/>
          <w:sz w:val="24"/>
          <w:szCs w:val="24"/>
          <w:lang w:val="en-US"/>
        </w:rPr>
        <w:br/>
        <w:t xml:space="preserve">To detect </w:t>
      </w:r>
      <w:proofErr w:type="spellStart"/>
      <w:r w:rsidRPr="008B65FF">
        <w:rPr>
          <w:rFonts w:cstheme="minorHAnsi"/>
          <w:sz w:val="24"/>
          <w:szCs w:val="24"/>
          <w:lang w:val="en-US"/>
        </w:rPr>
        <w:t>Rickettsiella</w:t>
      </w:r>
      <w:proofErr w:type="spellEnd"/>
      <w:r w:rsidRPr="008B65FF">
        <w:rPr>
          <w:rFonts w:cstheme="minorHAnsi"/>
          <w:sz w:val="24"/>
          <w:szCs w:val="24"/>
          <w:lang w:val="en-US"/>
        </w:rPr>
        <w:t xml:space="preserve"> spp., two regions were targeted: a 196-bp fragment of the glucose-inhibited division gene using primers 5’-TGT AAT CCT TGA GTC TGA TCG T-3’, 5’-CAA ACC GAT ATG AAT TTT TCC GG-3’ and a probe 5’-ATTO520-TAG TTG GTG TGG TAA CGC AAA TGG GGT-BHQ2-3’, and a 76-bp fragment of the dihydrolipoamide </w:t>
      </w:r>
      <w:proofErr w:type="spellStart"/>
      <w:r w:rsidRPr="008B65FF">
        <w:rPr>
          <w:rFonts w:cstheme="minorHAnsi"/>
          <w:sz w:val="24"/>
          <w:szCs w:val="24"/>
          <w:lang w:val="en-US"/>
        </w:rPr>
        <w:t>succinyltransferase</w:t>
      </w:r>
      <w:proofErr w:type="spellEnd"/>
      <w:r w:rsidRPr="008B65FF">
        <w:rPr>
          <w:rFonts w:cstheme="minorHAnsi"/>
          <w:sz w:val="24"/>
          <w:szCs w:val="24"/>
          <w:lang w:val="en-US"/>
        </w:rPr>
        <w:t xml:space="preserve"> gene using primers 5’- GAT CAA CCC TCT CAA TCA GC-3’, 5’- GCC AAA TGG GTG TCA CTA T’ and a probe 5’-ATTO647- CAC CCG TCG CAG AAA </w:t>
      </w:r>
      <w:proofErr w:type="spellStart"/>
      <w:r w:rsidRPr="008B65FF">
        <w:rPr>
          <w:rFonts w:cstheme="minorHAnsi"/>
          <w:sz w:val="24"/>
          <w:szCs w:val="24"/>
          <w:lang w:val="en-US"/>
        </w:rPr>
        <w:t>AAA</w:t>
      </w:r>
      <w:proofErr w:type="spellEnd"/>
      <w:r w:rsidRPr="008B65FF">
        <w:rPr>
          <w:rFonts w:cstheme="minorHAnsi"/>
          <w:sz w:val="24"/>
          <w:szCs w:val="24"/>
          <w:lang w:val="en-US"/>
        </w:rPr>
        <w:t xml:space="preserve"> CTA AAC CTG-BHQ2-3’. </w:t>
      </w:r>
      <w:r w:rsidR="007254D4">
        <w:rPr>
          <w:rFonts w:cstheme="minorHAnsi"/>
          <w:sz w:val="24"/>
          <w:szCs w:val="24"/>
          <w:lang w:val="en-US"/>
        </w:rPr>
        <w:t>S</w:t>
      </w:r>
      <w:r w:rsidRPr="008B65FF">
        <w:rPr>
          <w:rFonts w:cstheme="minorHAnsi"/>
          <w:sz w:val="24"/>
          <w:szCs w:val="24"/>
          <w:lang w:val="en-US"/>
        </w:rPr>
        <w:t xml:space="preserve">amples positive for at least one marker was considered positive for </w:t>
      </w:r>
      <w:proofErr w:type="spellStart"/>
      <w:r w:rsidRPr="008B65FF">
        <w:rPr>
          <w:rFonts w:cstheme="minorHAnsi"/>
          <w:sz w:val="24"/>
          <w:szCs w:val="24"/>
          <w:lang w:val="en-US"/>
        </w:rPr>
        <w:t>Rickettsiella</w:t>
      </w:r>
      <w:proofErr w:type="spellEnd"/>
      <w:r w:rsidRPr="008B65FF">
        <w:rPr>
          <w:rFonts w:cstheme="minorHAnsi"/>
          <w:sz w:val="24"/>
          <w:szCs w:val="24"/>
          <w:lang w:val="en-US"/>
        </w:rPr>
        <w:t xml:space="preserve"> spp.</w:t>
      </w:r>
    </w:p>
    <w:p w14:paraId="4A757FE4" w14:textId="54B22BA0" w:rsidR="008B65FF" w:rsidRDefault="0018227A" w:rsidP="008B65FF">
      <w:pPr>
        <w:rPr>
          <w:rFonts w:cstheme="minorHAnsi"/>
          <w:sz w:val="24"/>
          <w:szCs w:val="24"/>
          <w:lang w:val="en-US"/>
        </w:rPr>
      </w:pPr>
      <w:proofErr w:type="spellStart"/>
      <w:r w:rsidRPr="008B65FF">
        <w:rPr>
          <w:rFonts w:cstheme="minorHAnsi"/>
          <w:i/>
          <w:sz w:val="24"/>
          <w:szCs w:val="24"/>
          <w:lang w:val="en-US"/>
        </w:rPr>
        <w:t>Midichloria</w:t>
      </w:r>
      <w:proofErr w:type="spellEnd"/>
      <w:r w:rsidRPr="008B65FF">
        <w:rPr>
          <w:rFonts w:cstheme="minorHAnsi"/>
          <w:i/>
          <w:sz w:val="24"/>
          <w:szCs w:val="24"/>
          <w:lang w:val="en-US"/>
        </w:rPr>
        <w:t xml:space="preserve"> </w:t>
      </w:r>
      <w:proofErr w:type="spellStart"/>
      <w:r w:rsidRPr="008B65FF">
        <w:rPr>
          <w:rFonts w:cstheme="minorHAnsi"/>
          <w:i/>
          <w:sz w:val="24"/>
          <w:szCs w:val="24"/>
          <w:lang w:val="en-US"/>
        </w:rPr>
        <w:t>mitochondrii</w:t>
      </w:r>
      <w:proofErr w:type="spellEnd"/>
      <w:r w:rsidRPr="008B65FF">
        <w:rPr>
          <w:rFonts w:cstheme="minorHAnsi"/>
          <w:sz w:val="24"/>
          <w:szCs w:val="24"/>
          <w:lang w:val="en-US"/>
        </w:rPr>
        <w:t xml:space="preserve"> qPCR</w:t>
      </w:r>
      <w:r w:rsidRPr="008B65FF">
        <w:rPr>
          <w:rFonts w:cstheme="minorHAnsi"/>
          <w:b/>
          <w:sz w:val="24"/>
          <w:szCs w:val="24"/>
          <w:lang w:val="en-US"/>
        </w:rPr>
        <w:br/>
      </w:r>
      <w:r w:rsidRPr="008B65FF">
        <w:rPr>
          <w:rFonts w:cstheme="minorHAnsi"/>
          <w:sz w:val="24"/>
          <w:szCs w:val="24"/>
          <w:lang w:val="en-US"/>
        </w:rPr>
        <w:t xml:space="preserve">To detect M. </w:t>
      </w:r>
      <w:proofErr w:type="spellStart"/>
      <w:r w:rsidRPr="008B65FF">
        <w:rPr>
          <w:rFonts w:cstheme="minorHAnsi"/>
          <w:sz w:val="24"/>
          <w:szCs w:val="24"/>
          <w:lang w:val="en-US"/>
        </w:rPr>
        <w:t>mitochondrii</w:t>
      </w:r>
      <w:proofErr w:type="spellEnd"/>
      <w:r w:rsidRPr="008B65FF">
        <w:rPr>
          <w:rFonts w:cstheme="minorHAnsi"/>
          <w:sz w:val="24"/>
          <w:szCs w:val="24"/>
          <w:lang w:val="en-US"/>
        </w:rPr>
        <w:t xml:space="preserve">, one region was targeted: a 145-bp fragment of the gyrase subunit B gene using primers 5’- CTT GAG AGC AGA ACC </w:t>
      </w:r>
      <w:proofErr w:type="spellStart"/>
      <w:r w:rsidRPr="008B65FF">
        <w:rPr>
          <w:rFonts w:cstheme="minorHAnsi"/>
          <w:sz w:val="24"/>
          <w:szCs w:val="24"/>
          <w:lang w:val="en-US"/>
        </w:rPr>
        <w:t>ACC</w:t>
      </w:r>
      <w:proofErr w:type="spellEnd"/>
      <w:r w:rsidRPr="008B65FF">
        <w:rPr>
          <w:rFonts w:cstheme="minorHAnsi"/>
          <w:sz w:val="24"/>
          <w:szCs w:val="24"/>
          <w:lang w:val="en-US"/>
        </w:rPr>
        <w:t xml:space="preserve"> TA-3’, 5’- CAA GCT CTG CCG AAA TAT CTT-3’ and a probe 5’-ATTO424- GAG GGC GGA GTC AAA GAA TTT GTC CAC G-BHQ1-3’. </w:t>
      </w:r>
    </w:p>
    <w:p w14:paraId="4DCC0FD8" w14:textId="480D8A0A" w:rsidR="0018227A" w:rsidRPr="008B65FF" w:rsidRDefault="0018227A" w:rsidP="008B65FF">
      <w:pPr>
        <w:rPr>
          <w:rFonts w:cstheme="minorHAnsi"/>
          <w:b/>
          <w:sz w:val="24"/>
          <w:szCs w:val="24"/>
          <w:lang w:val="en-US"/>
        </w:rPr>
      </w:pPr>
      <w:r w:rsidRPr="008B65FF">
        <w:rPr>
          <w:rFonts w:cstheme="minorHAnsi"/>
          <w:sz w:val="24"/>
          <w:szCs w:val="24"/>
          <w:lang w:val="en-US"/>
        </w:rPr>
        <w:t xml:space="preserve">Targeted genes </w:t>
      </w:r>
      <w:r w:rsidR="00476560" w:rsidRPr="008B65FF">
        <w:rPr>
          <w:rFonts w:cstheme="minorHAnsi"/>
          <w:sz w:val="24"/>
          <w:szCs w:val="24"/>
          <w:lang w:val="en-US"/>
        </w:rPr>
        <w:t>for remaining symbionts</w:t>
      </w:r>
    </w:p>
    <w:tbl>
      <w:tblPr>
        <w:tblStyle w:val="TableGrid"/>
        <w:tblW w:w="0" w:type="auto"/>
        <w:tblLook w:val="04A0" w:firstRow="1" w:lastRow="0" w:firstColumn="1" w:lastColumn="0" w:noHBand="0" w:noVBand="1"/>
      </w:tblPr>
      <w:tblGrid>
        <w:gridCol w:w="3010"/>
        <w:gridCol w:w="3002"/>
        <w:gridCol w:w="3004"/>
      </w:tblGrid>
      <w:tr w:rsidR="00D60856" w:rsidRPr="008B65FF" w14:paraId="72532E30" w14:textId="77777777" w:rsidTr="00E3760A">
        <w:tc>
          <w:tcPr>
            <w:tcW w:w="3020" w:type="dxa"/>
          </w:tcPr>
          <w:p w14:paraId="2888B1FA" w14:textId="77777777" w:rsidR="0018227A" w:rsidRPr="008B65FF" w:rsidRDefault="0018227A" w:rsidP="00E3760A">
            <w:pPr>
              <w:rPr>
                <w:rFonts w:cstheme="minorHAnsi"/>
                <w:sz w:val="24"/>
                <w:szCs w:val="24"/>
                <w:lang w:val="en-US"/>
              </w:rPr>
            </w:pPr>
            <w:r w:rsidRPr="008B65FF">
              <w:rPr>
                <w:rFonts w:cstheme="minorHAnsi"/>
                <w:sz w:val="24"/>
                <w:szCs w:val="24"/>
                <w:lang w:val="en-US"/>
              </w:rPr>
              <w:t>Symbiont</w:t>
            </w:r>
          </w:p>
        </w:tc>
        <w:tc>
          <w:tcPr>
            <w:tcW w:w="3021" w:type="dxa"/>
          </w:tcPr>
          <w:p w14:paraId="1F209BDD" w14:textId="77777777" w:rsidR="0018227A" w:rsidRPr="008B65FF" w:rsidRDefault="0018227A" w:rsidP="00E3760A">
            <w:pPr>
              <w:rPr>
                <w:rFonts w:cstheme="minorHAnsi"/>
                <w:sz w:val="24"/>
                <w:szCs w:val="24"/>
                <w:lang w:val="en-US"/>
              </w:rPr>
            </w:pPr>
            <w:r w:rsidRPr="008B65FF">
              <w:rPr>
                <w:rFonts w:cstheme="minorHAnsi"/>
                <w:sz w:val="24"/>
                <w:szCs w:val="24"/>
                <w:lang w:val="en-US"/>
              </w:rPr>
              <w:t>Gene</w:t>
            </w:r>
          </w:p>
        </w:tc>
        <w:tc>
          <w:tcPr>
            <w:tcW w:w="3021" w:type="dxa"/>
          </w:tcPr>
          <w:p w14:paraId="4108312C" w14:textId="77777777" w:rsidR="0018227A" w:rsidRPr="008B65FF" w:rsidRDefault="0018227A" w:rsidP="00E3760A">
            <w:pPr>
              <w:rPr>
                <w:rFonts w:cstheme="minorHAnsi"/>
                <w:sz w:val="24"/>
                <w:szCs w:val="24"/>
                <w:lang w:val="en-US"/>
              </w:rPr>
            </w:pPr>
            <w:r w:rsidRPr="008B65FF">
              <w:rPr>
                <w:rFonts w:cstheme="minorHAnsi"/>
                <w:sz w:val="24"/>
                <w:szCs w:val="24"/>
                <w:lang w:val="en-US"/>
              </w:rPr>
              <w:t>Reference</w:t>
            </w:r>
          </w:p>
        </w:tc>
      </w:tr>
      <w:tr w:rsidR="00D60856" w:rsidRPr="008B65FF" w14:paraId="40F999FD" w14:textId="77777777" w:rsidTr="00E3760A">
        <w:tc>
          <w:tcPr>
            <w:tcW w:w="3020" w:type="dxa"/>
          </w:tcPr>
          <w:p w14:paraId="7C1FD308" w14:textId="77777777" w:rsidR="0018227A" w:rsidRPr="008B65FF" w:rsidRDefault="0018227A" w:rsidP="00E3760A">
            <w:pPr>
              <w:rPr>
                <w:rFonts w:cstheme="minorHAnsi"/>
                <w:i/>
                <w:sz w:val="24"/>
                <w:szCs w:val="24"/>
                <w:lang w:val="en-US"/>
              </w:rPr>
            </w:pPr>
            <w:r w:rsidRPr="008B65FF">
              <w:rPr>
                <w:rFonts w:cstheme="minorHAnsi"/>
                <w:i/>
                <w:sz w:val="24"/>
                <w:szCs w:val="24"/>
                <w:lang w:val="en-US"/>
              </w:rPr>
              <w:t xml:space="preserve">S. </w:t>
            </w:r>
            <w:proofErr w:type="spellStart"/>
            <w:r w:rsidRPr="008B65FF">
              <w:rPr>
                <w:rFonts w:cstheme="minorHAnsi"/>
                <w:i/>
                <w:sz w:val="24"/>
                <w:szCs w:val="24"/>
                <w:lang w:val="en-US"/>
              </w:rPr>
              <w:t>ixodetis</w:t>
            </w:r>
            <w:proofErr w:type="spellEnd"/>
          </w:p>
        </w:tc>
        <w:tc>
          <w:tcPr>
            <w:tcW w:w="3021" w:type="dxa"/>
          </w:tcPr>
          <w:p w14:paraId="6BEFD3D0" w14:textId="77777777" w:rsidR="0018227A" w:rsidRPr="008B65FF" w:rsidRDefault="0018227A" w:rsidP="00E3760A">
            <w:pPr>
              <w:rPr>
                <w:rFonts w:cstheme="minorHAnsi"/>
                <w:sz w:val="24"/>
                <w:szCs w:val="24"/>
                <w:lang w:val="en-US"/>
              </w:rPr>
            </w:pPr>
            <w:proofErr w:type="spellStart"/>
            <w:r w:rsidRPr="008B65FF">
              <w:rPr>
                <w:rFonts w:cstheme="minorHAnsi"/>
                <w:sz w:val="24"/>
                <w:szCs w:val="24"/>
                <w:lang w:val="en-US"/>
              </w:rPr>
              <w:t>rpoB</w:t>
            </w:r>
            <w:proofErr w:type="spellEnd"/>
          </w:p>
        </w:tc>
        <w:tc>
          <w:tcPr>
            <w:tcW w:w="3021" w:type="dxa"/>
          </w:tcPr>
          <w:p w14:paraId="6A9DC0C8" w14:textId="77777777" w:rsidR="0018227A" w:rsidRPr="008B65FF" w:rsidRDefault="0018227A" w:rsidP="00E3760A">
            <w:pPr>
              <w:rPr>
                <w:rFonts w:cstheme="minorHAnsi"/>
                <w:sz w:val="24"/>
                <w:szCs w:val="24"/>
                <w:lang w:val="en-US"/>
              </w:rPr>
            </w:pPr>
            <w:r w:rsidRPr="008B65FF">
              <w:rPr>
                <w:rFonts w:cstheme="minorHAnsi"/>
                <w:sz w:val="24"/>
                <w:szCs w:val="24"/>
                <w:lang w:val="en-US"/>
              </w:rPr>
              <w:t>Krawczyk et al., 2020</w:t>
            </w:r>
          </w:p>
        </w:tc>
      </w:tr>
      <w:tr w:rsidR="00D60856" w:rsidRPr="008B65FF" w14:paraId="243A2248" w14:textId="77777777" w:rsidTr="00E3760A">
        <w:tc>
          <w:tcPr>
            <w:tcW w:w="3020" w:type="dxa"/>
          </w:tcPr>
          <w:p w14:paraId="429556E0" w14:textId="77777777" w:rsidR="0018227A" w:rsidRPr="008B65FF" w:rsidRDefault="0018227A" w:rsidP="00E3760A">
            <w:pPr>
              <w:rPr>
                <w:rFonts w:cstheme="minorHAnsi"/>
                <w:i/>
                <w:sz w:val="24"/>
                <w:szCs w:val="24"/>
                <w:lang w:val="en-US"/>
              </w:rPr>
            </w:pPr>
            <w:r w:rsidRPr="008B65FF">
              <w:rPr>
                <w:rFonts w:cstheme="minorHAnsi"/>
                <w:i/>
                <w:sz w:val="24"/>
                <w:szCs w:val="24"/>
                <w:lang w:val="en-US"/>
              </w:rPr>
              <w:t xml:space="preserve">R. </w:t>
            </w:r>
            <w:proofErr w:type="spellStart"/>
            <w:r w:rsidRPr="008B65FF">
              <w:rPr>
                <w:rFonts w:cstheme="minorHAnsi"/>
                <w:i/>
                <w:sz w:val="24"/>
                <w:szCs w:val="24"/>
                <w:lang w:val="en-US"/>
              </w:rPr>
              <w:t>helvetica</w:t>
            </w:r>
            <w:proofErr w:type="spellEnd"/>
          </w:p>
        </w:tc>
        <w:tc>
          <w:tcPr>
            <w:tcW w:w="3021" w:type="dxa"/>
          </w:tcPr>
          <w:p w14:paraId="7632B2A7" w14:textId="77777777" w:rsidR="0018227A" w:rsidRPr="008B65FF" w:rsidRDefault="0018227A" w:rsidP="00E3760A">
            <w:pPr>
              <w:rPr>
                <w:rFonts w:cstheme="minorHAnsi"/>
                <w:sz w:val="24"/>
                <w:szCs w:val="24"/>
                <w:lang w:val="en-US"/>
              </w:rPr>
            </w:pPr>
            <w:proofErr w:type="spellStart"/>
            <w:r w:rsidRPr="008B65FF">
              <w:rPr>
                <w:rFonts w:cstheme="minorHAnsi"/>
                <w:sz w:val="24"/>
                <w:szCs w:val="24"/>
                <w:lang w:val="en-US"/>
              </w:rPr>
              <w:t>gltA</w:t>
            </w:r>
            <w:proofErr w:type="spellEnd"/>
          </w:p>
        </w:tc>
        <w:tc>
          <w:tcPr>
            <w:tcW w:w="3021" w:type="dxa"/>
          </w:tcPr>
          <w:p w14:paraId="11FCA45C" w14:textId="77777777" w:rsidR="0018227A" w:rsidRPr="008B65FF" w:rsidRDefault="0018227A" w:rsidP="00E3760A">
            <w:pPr>
              <w:rPr>
                <w:rFonts w:cstheme="minorHAnsi"/>
                <w:sz w:val="24"/>
                <w:szCs w:val="24"/>
                <w:lang w:val="en-US"/>
              </w:rPr>
            </w:pPr>
            <w:r w:rsidRPr="008B65FF">
              <w:rPr>
                <w:rFonts w:cstheme="minorHAnsi"/>
                <w:sz w:val="24"/>
                <w:szCs w:val="24"/>
              </w:rPr>
              <w:t>de Bruin et al., 2015</w:t>
            </w:r>
          </w:p>
        </w:tc>
      </w:tr>
      <w:tr w:rsidR="00D60856" w:rsidRPr="008B65FF" w14:paraId="320BD214" w14:textId="77777777" w:rsidTr="00E3760A">
        <w:tc>
          <w:tcPr>
            <w:tcW w:w="3020" w:type="dxa"/>
          </w:tcPr>
          <w:p w14:paraId="6541FB39" w14:textId="18B83B00" w:rsidR="0018227A" w:rsidRPr="008B65FF" w:rsidRDefault="0018227A" w:rsidP="00E3760A">
            <w:pPr>
              <w:rPr>
                <w:rFonts w:cstheme="minorHAnsi"/>
                <w:sz w:val="24"/>
                <w:szCs w:val="24"/>
                <w:lang w:val="en-US"/>
              </w:rPr>
            </w:pPr>
            <w:r w:rsidRPr="008B65FF">
              <w:rPr>
                <w:rFonts w:cstheme="minorHAnsi"/>
                <w:i/>
                <w:sz w:val="24"/>
                <w:szCs w:val="24"/>
                <w:lang w:val="en-US"/>
              </w:rPr>
              <w:t>B. burgdorferi</w:t>
            </w:r>
            <w:r w:rsidRPr="008B65FF">
              <w:rPr>
                <w:rFonts w:cstheme="minorHAnsi"/>
                <w:sz w:val="24"/>
                <w:szCs w:val="24"/>
                <w:lang w:val="en-US"/>
              </w:rPr>
              <w:t xml:space="preserve"> </w:t>
            </w:r>
            <w:proofErr w:type="spellStart"/>
            <w:r w:rsidRPr="008B65FF">
              <w:rPr>
                <w:rFonts w:cstheme="minorHAnsi"/>
                <w:sz w:val="24"/>
                <w:szCs w:val="24"/>
                <w:lang w:val="en-US"/>
              </w:rPr>
              <w:t>s.l</w:t>
            </w:r>
            <w:r w:rsidR="008B65FF">
              <w:rPr>
                <w:rFonts w:cstheme="minorHAnsi"/>
                <w:sz w:val="24"/>
                <w:szCs w:val="24"/>
                <w:lang w:val="en-US"/>
              </w:rPr>
              <w:t>.</w:t>
            </w:r>
            <w:proofErr w:type="spellEnd"/>
          </w:p>
        </w:tc>
        <w:tc>
          <w:tcPr>
            <w:tcW w:w="3021" w:type="dxa"/>
          </w:tcPr>
          <w:p w14:paraId="2F4F9618" w14:textId="77777777" w:rsidR="0018227A" w:rsidRPr="008B65FF" w:rsidRDefault="0018227A" w:rsidP="00E3760A">
            <w:pPr>
              <w:rPr>
                <w:rFonts w:cstheme="minorHAnsi"/>
                <w:sz w:val="24"/>
                <w:szCs w:val="24"/>
                <w:lang w:val="en-US"/>
              </w:rPr>
            </w:pPr>
            <w:proofErr w:type="spellStart"/>
            <w:r w:rsidRPr="008B65FF">
              <w:rPr>
                <w:rFonts w:cstheme="minorHAnsi"/>
                <w:sz w:val="24"/>
                <w:szCs w:val="24"/>
                <w:lang w:val="en-US"/>
              </w:rPr>
              <w:t>ospA</w:t>
            </w:r>
            <w:proofErr w:type="spellEnd"/>
            <w:r w:rsidRPr="008B65FF">
              <w:rPr>
                <w:rFonts w:cstheme="minorHAnsi"/>
                <w:sz w:val="24"/>
                <w:szCs w:val="24"/>
                <w:lang w:val="en-US"/>
              </w:rPr>
              <w:t xml:space="preserve"> and </w:t>
            </w:r>
            <w:proofErr w:type="spellStart"/>
            <w:r w:rsidRPr="008B65FF">
              <w:rPr>
                <w:rFonts w:cstheme="minorHAnsi"/>
                <w:sz w:val="24"/>
                <w:szCs w:val="24"/>
                <w:lang w:val="en-US"/>
              </w:rPr>
              <w:t>flaB</w:t>
            </w:r>
            <w:proofErr w:type="spellEnd"/>
          </w:p>
        </w:tc>
        <w:tc>
          <w:tcPr>
            <w:tcW w:w="3021" w:type="dxa"/>
          </w:tcPr>
          <w:p w14:paraId="1B3DEF23" w14:textId="77777777" w:rsidR="0018227A" w:rsidRPr="008B65FF" w:rsidRDefault="0018227A" w:rsidP="00E3760A">
            <w:pPr>
              <w:rPr>
                <w:rFonts w:cstheme="minorHAnsi"/>
                <w:sz w:val="24"/>
                <w:szCs w:val="24"/>
                <w:lang w:val="en-US"/>
              </w:rPr>
            </w:pPr>
            <w:proofErr w:type="spellStart"/>
            <w:r w:rsidRPr="008B65FF">
              <w:rPr>
                <w:rFonts w:cstheme="minorHAnsi"/>
                <w:sz w:val="24"/>
                <w:szCs w:val="24"/>
                <w:lang w:val="en-US"/>
              </w:rPr>
              <w:t>Heylen</w:t>
            </w:r>
            <w:proofErr w:type="spellEnd"/>
            <w:r w:rsidRPr="008B65FF">
              <w:rPr>
                <w:rFonts w:cstheme="minorHAnsi"/>
                <w:sz w:val="24"/>
                <w:szCs w:val="24"/>
                <w:lang w:val="en-US"/>
              </w:rPr>
              <w:t xml:space="preserve"> et al., 2013</w:t>
            </w:r>
          </w:p>
        </w:tc>
      </w:tr>
      <w:tr w:rsidR="00D60856" w:rsidRPr="008B65FF" w14:paraId="02F7B62C" w14:textId="77777777" w:rsidTr="00E3760A">
        <w:tc>
          <w:tcPr>
            <w:tcW w:w="3020" w:type="dxa"/>
          </w:tcPr>
          <w:p w14:paraId="0A87243B" w14:textId="77777777" w:rsidR="0018227A" w:rsidRPr="008B65FF" w:rsidRDefault="0018227A" w:rsidP="00E3760A">
            <w:pPr>
              <w:rPr>
                <w:rFonts w:cstheme="minorHAnsi"/>
                <w:i/>
                <w:sz w:val="24"/>
                <w:szCs w:val="24"/>
                <w:lang w:val="en-US"/>
              </w:rPr>
            </w:pPr>
            <w:r w:rsidRPr="008B65FF">
              <w:rPr>
                <w:rFonts w:cstheme="minorHAnsi"/>
                <w:i/>
                <w:sz w:val="24"/>
                <w:szCs w:val="24"/>
                <w:lang w:val="en-US"/>
              </w:rPr>
              <w:lastRenderedPageBreak/>
              <w:t>A. phagocytophilum</w:t>
            </w:r>
          </w:p>
        </w:tc>
        <w:tc>
          <w:tcPr>
            <w:tcW w:w="3021" w:type="dxa"/>
          </w:tcPr>
          <w:p w14:paraId="7D85B28A" w14:textId="77777777" w:rsidR="0018227A" w:rsidRPr="008B65FF" w:rsidRDefault="0018227A" w:rsidP="00E3760A">
            <w:pPr>
              <w:rPr>
                <w:rFonts w:cstheme="minorHAnsi"/>
                <w:sz w:val="24"/>
                <w:szCs w:val="24"/>
                <w:lang w:val="en-US"/>
              </w:rPr>
            </w:pPr>
            <w:r w:rsidRPr="008B65FF">
              <w:rPr>
                <w:rFonts w:cstheme="minorHAnsi"/>
                <w:sz w:val="24"/>
                <w:szCs w:val="24"/>
                <w:lang w:val="en-US"/>
              </w:rPr>
              <w:t>ApMSP2</w:t>
            </w:r>
          </w:p>
        </w:tc>
        <w:tc>
          <w:tcPr>
            <w:tcW w:w="3021" w:type="dxa"/>
          </w:tcPr>
          <w:p w14:paraId="0D1F4070" w14:textId="77777777" w:rsidR="0018227A" w:rsidRPr="008B65FF" w:rsidRDefault="0018227A" w:rsidP="00E3760A">
            <w:pPr>
              <w:rPr>
                <w:rFonts w:cstheme="minorHAnsi"/>
                <w:sz w:val="24"/>
                <w:szCs w:val="24"/>
                <w:lang w:val="en-US"/>
              </w:rPr>
            </w:pPr>
            <w:r w:rsidRPr="008B65FF">
              <w:rPr>
                <w:rFonts w:cstheme="minorHAnsi"/>
                <w:sz w:val="24"/>
                <w:szCs w:val="24"/>
                <w:lang w:val="en-US"/>
              </w:rPr>
              <w:t>Courtney et al., 2004</w:t>
            </w:r>
          </w:p>
        </w:tc>
      </w:tr>
      <w:tr w:rsidR="00D60856" w:rsidRPr="008B65FF" w14:paraId="34B8FDC4" w14:textId="77777777" w:rsidTr="00E3760A">
        <w:tc>
          <w:tcPr>
            <w:tcW w:w="3020" w:type="dxa"/>
          </w:tcPr>
          <w:p w14:paraId="74147346" w14:textId="77777777" w:rsidR="0018227A" w:rsidRPr="008B65FF" w:rsidRDefault="0018227A" w:rsidP="00E3760A">
            <w:pPr>
              <w:rPr>
                <w:rFonts w:cstheme="minorHAnsi"/>
                <w:i/>
                <w:sz w:val="24"/>
                <w:szCs w:val="24"/>
                <w:lang w:val="en-US"/>
              </w:rPr>
            </w:pPr>
            <w:r w:rsidRPr="008B65FF">
              <w:rPr>
                <w:rFonts w:cstheme="minorHAnsi"/>
                <w:i/>
                <w:sz w:val="24"/>
                <w:szCs w:val="24"/>
                <w:lang w:val="en-US"/>
              </w:rPr>
              <w:t xml:space="preserve">N. </w:t>
            </w:r>
            <w:proofErr w:type="spellStart"/>
            <w:r w:rsidRPr="008B65FF">
              <w:rPr>
                <w:rFonts w:cstheme="minorHAnsi"/>
                <w:i/>
                <w:sz w:val="24"/>
                <w:szCs w:val="24"/>
                <w:lang w:val="en-US"/>
              </w:rPr>
              <w:t>mikurensis</w:t>
            </w:r>
            <w:proofErr w:type="spellEnd"/>
          </w:p>
        </w:tc>
        <w:tc>
          <w:tcPr>
            <w:tcW w:w="3021" w:type="dxa"/>
          </w:tcPr>
          <w:p w14:paraId="4F973499" w14:textId="77777777" w:rsidR="0018227A" w:rsidRPr="008B65FF" w:rsidRDefault="0018227A" w:rsidP="00E3760A">
            <w:pPr>
              <w:rPr>
                <w:rFonts w:cstheme="minorHAnsi"/>
                <w:sz w:val="24"/>
                <w:szCs w:val="24"/>
                <w:lang w:val="en-US"/>
              </w:rPr>
            </w:pPr>
            <w:proofErr w:type="spellStart"/>
            <w:r w:rsidRPr="008B65FF">
              <w:rPr>
                <w:rFonts w:cstheme="minorHAnsi"/>
                <w:sz w:val="24"/>
                <w:szCs w:val="24"/>
                <w:lang w:val="en-US"/>
              </w:rPr>
              <w:t>GroEL</w:t>
            </w:r>
            <w:proofErr w:type="spellEnd"/>
          </w:p>
        </w:tc>
        <w:tc>
          <w:tcPr>
            <w:tcW w:w="3021" w:type="dxa"/>
          </w:tcPr>
          <w:p w14:paraId="76C9BF33" w14:textId="77777777" w:rsidR="0018227A" w:rsidRPr="008B65FF" w:rsidRDefault="0018227A" w:rsidP="00E3760A">
            <w:pPr>
              <w:rPr>
                <w:rFonts w:cstheme="minorHAnsi"/>
                <w:sz w:val="24"/>
                <w:szCs w:val="24"/>
                <w:lang w:val="en-US"/>
              </w:rPr>
            </w:pPr>
            <w:proofErr w:type="spellStart"/>
            <w:r w:rsidRPr="008B65FF">
              <w:rPr>
                <w:rFonts w:cstheme="minorHAnsi"/>
                <w:sz w:val="24"/>
                <w:szCs w:val="24"/>
                <w:lang w:val="en-US"/>
              </w:rPr>
              <w:t>Jahfari</w:t>
            </w:r>
            <w:proofErr w:type="spellEnd"/>
            <w:r w:rsidRPr="008B65FF">
              <w:rPr>
                <w:rFonts w:cstheme="minorHAnsi"/>
                <w:sz w:val="24"/>
                <w:szCs w:val="24"/>
                <w:lang w:val="en-US"/>
              </w:rPr>
              <w:t xml:space="preserve"> et al., 2012</w:t>
            </w:r>
          </w:p>
        </w:tc>
      </w:tr>
    </w:tbl>
    <w:p w14:paraId="37EC13F5" w14:textId="77777777" w:rsidR="0018227A" w:rsidRPr="008B65FF" w:rsidRDefault="0018227A" w:rsidP="0018227A">
      <w:pPr>
        <w:rPr>
          <w:rFonts w:cstheme="minorHAnsi"/>
          <w:sz w:val="24"/>
          <w:szCs w:val="24"/>
          <w:lang w:val="en-US"/>
        </w:rPr>
      </w:pPr>
    </w:p>
    <w:p w14:paraId="76C669FA" w14:textId="6EBC3B6D" w:rsidR="0018227A" w:rsidRPr="008B65FF" w:rsidRDefault="0018227A" w:rsidP="0018227A">
      <w:pPr>
        <w:rPr>
          <w:rFonts w:cstheme="minorHAnsi"/>
          <w:sz w:val="24"/>
          <w:szCs w:val="24"/>
          <w:lang w:val="en-US"/>
        </w:rPr>
      </w:pPr>
      <w:r w:rsidRPr="008B65FF">
        <w:rPr>
          <w:rFonts w:cstheme="minorHAnsi"/>
          <w:b/>
          <w:bCs/>
          <w:sz w:val="24"/>
          <w:szCs w:val="24"/>
          <w:lang w:val="en-US"/>
        </w:rPr>
        <w:t>qPCR protocol</w:t>
      </w:r>
      <w:r w:rsidRPr="008B65FF">
        <w:rPr>
          <w:rFonts w:cstheme="minorHAnsi"/>
          <w:b/>
          <w:sz w:val="24"/>
          <w:szCs w:val="24"/>
          <w:lang w:val="en-US"/>
        </w:rPr>
        <w:br/>
      </w:r>
      <w:r w:rsidRPr="008B65FF">
        <w:rPr>
          <w:rFonts w:cstheme="minorHAnsi"/>
          <w:sz w:val="24"/>
          <w:szCs w:val="24"/>
          <w:lang w:val="en-US"/>
        </w:rPr>
        <w:t xml:space="preserve">All qPCRs were carried out on a </w:t>
      </w:r>
      <w:proofErr w:type="spellStart"/>
      <w:r w:rsidRPr="008B65FF">
        <w:rPr>
          <w:rFonts w:cstheme="minorHAnsi"/>
          <w:sz w:val="24"/>
          <w:szCs w:val="24"/>
          <w:lang w:val="en-US"/>
        </w:rPr>
        <w:t>LightCycler</w:t>
      </w:r>
      <w:proofErr w:type="spellEnd"/>
      <w:r w:rsidRPr="008B65FF">
        <w:rPr>
          <w:rFonts w:cstheme="minorHAnsi"/>
          <w:sz w:val="24"/>
          <w:szCs w:val="24"/>
          <w:lang w:val="en-US"/>
        </w:rPr>
        <w:t xml:space="preserve"> 480 (Roche Diagnostics Nederland B.V, Almere, the Netherlands) in a final volume of 20 </w:t>
      </w:r>
      <w:proofErr w:type="spellStart"/>
      <w:r w:rsidRPr="008B65FF">
        <w:rPr>
          <w:rFonts w:cstheme="minorHAnsi"/>
          <w:sz w:val="24"/>
          <w:szCs w:val="24"/>
          <w:lang w:val="en-US"/>
        </w:rPr>
        <w:t>μl</w:t>
      </w:r>
      <w:proofErr w:type="spellEnd"/>
      <w:r w:rsidRPr="008B65FF">
        <w:rPr>
          <w:rFonts w:cstheme="minorHAnsi"/>
          <w:sz w:val="24"/>
          <w:szCs w:val="24"/>
          <w:lang w:val="en-US"/>
        </w:rPr>
        <w:t xml:space="preserve"> with </w:t>
      </w:r>
      <w:proofErr w:type="spellStart"/>
      <w:r w:rsidRPr="008B65FF">
        <w:rPr>
          <w:rFonts w:cstheme="minorHAnsi"/>
          <w:sz w:val="24"/>
          <w:szCs w:val="24"/>
          <w:lang w:val="en-US"/>
        </w:rPr>
        <w:t>iQ</w:t>
      </w:r>
      <w:proofErr w:type="spellEnd"/>
      <w:r w:rsidRPr="008B65FF">
        <w:rPr>
          <w:rFonts w:cstheme="minorHAnsi"/>
          <w:sz w:val="24"/>
          <w:szCs w:val="24"/>
          <w:lang w:val="en-US"/>
        </w:rPr>
        <w:t xml:space="preserve"> multiplex </w:t>
      </w:r>
      <w:proofErr w:type="spellStart"/>
      <w:r w:rsidRPr="008B65FF">
        <w:rPr>
          <w:rFonts w:cstheme="minorHAnsi"/>
          <w:sz w:val="24"/>
          <w:szCs w:val="24"/>
          <w:lang w:val="en-US"/>
        </w:rPr>
        <w:t>Powermix</w:t>
      </w:r>
      <w:proofErr w:type="spellEnd"/>
      <w:r w:rsidRPr="008B65FF">
        <w:rPr>
          <w:rFonts w:cstheme="minorHAnsi"/>
          <w:sz w:val="24"/>
          <w:szCs w:val="24"/>
          <w:lang w:val="en-US"/>
        </w:rPr>
        <w:t xml:space="preserve">, 3 </w:t>
      </w:r>
      <w:proofErr w:type="spellStart"/>
      <w:r w:rsidRPr="008B65FF">
        <w:rPr>
          <w:rFonts w:cstheme="minorHAnsi"/>
          <w:sz w:val="24"/>
          <w:szCs w:val="24"/>
          <w:lang w:val="en-US"/>
        </w:rPr>
        <w:t>μl</w:t>
      </w:r>
      <w:proofErr w:type="spellEnd"/>
      <w:r w:rsidRPr="008B65FF">
        <w:rPr>
          <w:rFonts w:cstheme="minorHAnsi"/>
          <w:sz w:val="24"/>
          <w:szCs w:val="24"/>
          <w:lang w:val="en-US"/>
        </w:rPr>
        <w:t xml:space="preserve"> of sample, primers with end concentration of 0.2 </w:t>
      </w:r>
      <w:proofErr w:type="spellStart"/>
      <w:r w:rsidRPr="008B65FF">
        <w:rPr>
          <w:rFonts w:cstheme="minorHAnsi"/>
          <w:sz w:val="24"/>
          <w:szCs w:val="24"/>
          <w:lang w:val="en-US"/>
        </w:rPr>
        <w:t>μM</w:t>
      </w:r>
      <w:proofErr w:type="spellEnd"/>
      <w:r w:rsidRPr="008B65FF">
        <w:rPr>
          <w:rFonts w:cstheme="minorHAnsi"/>
          <w:sz w:val="24"/>
          <w:szCs w:val="24"/>
          <w:lang w:val="en-US"/>
        </w:rPr>
        <w:t xml:space="preserve">, and probes. Positive plasmid controls and negative water controls were used on every plate tested. Cycling conditions included an initial activation of the </w:t>
      </w:r>
      <w:proofErr w:type="spellStart"/>
      <w:r w:rsidRPr="008B65FF">
        <w:rPr>
          <w:rFonts w:cstheme="minorHAnsi"/>
          <w:sz w:val="24"/>
          <w:szCs w:val="24"/>
          <w:lang w:val="en-US"/>
        </w:rPr>
        <w:t>iTaq</w:t>
      </w:r>
      <w:proofErr w:type="spellEnd"/>
      <w:r w:rsidRPr="008B65FF">
        <w:rPr>
          <w:rFonts w:cstheme="minorHAnsi"/>
          <w:sz w:val="24"/>
          <w:szCs w:val="24"/>
          <w:lang w:val="en-US"/>
        </w:rPr>
        <w:t xml:space="preserve"> DNA polymerase at 95°C for 5 min, followed by 60 cycles of a 5 s denaturation at 95°C followed by a 35 s annealing‐extension step at 60°C (Ramp rate 2.2°C s−1 and a single point measurement at 60°C) and a final cooling cycle of 37°C for 20 s.</w:t>
      </w:r>
    </w:p>
    <w:p w14:paraId="34DCA311" w14:textId="77777777" w:rsidR="0018227A" w:rsidRPr="008B65FF" w:rsidRDefault="0018227A" w:rsidP="0018227A">
      <w:pPr>
        <w:rPr>
          <w:rFonts w:cstheme="minorHAnsi"/>
          <w:sz w:val="24"/>
          <w:szCs w:val="24"/>
          <w:lang w:val="en-US"/>
        </w:rPr>
      </w:pPr>
    </w:p>
    <w:p w14:paraId="0F6897C6" w14:textId="77777777" w:rsidR="0018227A" w:rsidRPr="008B65FF" w:rsidRDefault="0018227A" w:rsidP="0018227A">
      <w:pPr>
        <w:spacing w:after="0"/>
        <w:rPr>
          <w:rFonts w:cstheme="minorHAnsi"/>
          <w:noProof/>
          <w:sz w:val="24"/>
          <w:szCs w:val="24"/>
        </w:rPr>
      </w:pPr>
      <w:r w:rsidRPr="008B65FF">
        <w:rPr>
          <w:rFonts w:cstheme="minorHAnsi"/>
          <w:noProof/>
          <w:sz w:val="24"/>
          <w:szCs w:val="24"/>
        </w:rPr>
        <w:t xml:space="preserve">Krawczyk AI, Van Duijvendijk GL, Swart A, Heylen D, Jaarsma RI, Jacobs FH, et al. </w:t>
      </w:r>
      <w:r w:rsidRPr="008B65FF">
        <w:rPr>
          <w:rFonts w:cstheme="minorHAnsi"/>
          <w:noProof/>
          <w:sz w:val="24"/>
          <w:szCs w:val="24"/>
          <w:lang w:val="en-US"/>
        </w:rPr>
        <w:t xml:space="preserve">Effect of rodent density on tick and tick-borne pathogen populations: consequences for infectious disease risk. </w:t>
      </w:r>
      <w:r w:rsidRPr="008B65FF">
        <w:rPr>
          <w:rFonts w:cstheme="minorHAnsi"/>
          <w:noProof/>
          <w:sz w:val="24"/>
          <w:szCs w:val="24"/>
        </w:rPr>
        <w:t>Parasites &amp; Vectors. 2020;13(1):1-17.</w:t>
      </w:r>
    </w:p>
    <w:p w14:paraId="3A933D2E" w14:textId="77777777" w:rsidR="0018227A" w:rsidRPr="008B65FF" w:rsidRDefault="0018227A" w:rsidP="0018227A">
      <w:pPr>
        <w:spacing w:after="0"/>
        <w:rPr>
          <w:rFonts w:cstheme="minorHAnsi"/>
          <w:noProof/>
          <w:sz w:val="24"/>
          <w:szCs w:val="24"/>
        </w:rPr>
      </w:pPr>
    </w:p>
    <w:p w14:paraId="3D9ED4AB" w14:textId="77777777" w:rsidR="0018227A" w:rsidRPr="008B65FF" w:rsidRDefault="0018227A" w:rsidP="0018227A">
      <w:pPr>
        <w:pStyle w:val="EndNoteBibliography"/>
        <w:spacing w:after="0"/>
        <w:rPr>
          <w:rFonts w:asciiTheme="minorHAnsi" w:hAnsiTheme="minorHAnsi" w:cstheme="minorHAnsi"/>
          <w:sz w:val="24"/>
          <w:szCs w:val="24"/>
        </w:rPr>
      </w:pPr>
      <w:r w:rsidRPr="008B65FF">
        <w:rPr>
          <w:rFonts w:asciiTheme="minorHAnsi" w:hAnsiTheme="minorHAnsi" w:cstheme="minorHAnsi"/>
          <w:sz w:val="24"/>
          <w:szCs w:val="24"/>
          <w:lang w:val="nl-NL"/>
        </w:rPr>
        <w:t xml:space="preserve">de Bruin A, van Leeuwen AD, Jahfari S, Takken W, Foldvari M, Dremmel L, et al. </w:t>
      </w:r>
      <w:r w:rsidRPr="008B65FF">
        <w:rPr>
          <w:rFonts w:asciiTheme="minorHAnsi" w:hAnsiTheme="minorHAnsi" w:cstheme="minorHAnsi"/>
          <w:sz w:val="24"/>
          <w:szCs w:val="24"/>
        </w:rPr>
        <w:t>Vertical transmission of Bartonella schoenbuchensis in Lipoptena cervi. Parasit Vectors. 2015;8:176.</w:t>
      </w:r>
    </w:p>
    <w:p w14:paraId="11517E7D" w14:textId="77777777" w:rsidR="0018227A" w:rsidRPr="008B65FF" w:rsidRDefault="0018227A" w:rsidP="0018227A">
      <w:pPr>
        <w:pStyle w:val="EndNoteBibliography"/>
        <w:spacing w:after="0"/>
        <w:rPr>
          <w:rFonts w:asciiTheme="minorHAnsi" w:hAnsiTheme="minorHAnsi" w:cstheme="minorHAnsi"/>
          <w:sz w:val="24"/>
          <w:szCs w:val="24"/>
        </w:rPr>
      </w:pPr>
    </w:p>
    <w:p w14:paraId="7E6E3721" w14:textId="77777777" w:rsidR="0018227A" w:rsidRPr="008B65FF" w:rsidRDefault="0018227A" w:rsidP="0018227A">
      <w:pPr>
        <w:pStyle w:val="EndNoteBibliography"/>
        <w:spacing w:after="0"/>
        <w:rPr>
          <w:rFonts w:asciiTheme="minorHAnsi" w:hAnsiTheme="minorHAnsi" w:cstheme="minorHAnsi"/>
          <w:sz w:val="24"/>
          <w:szCs w:val="24"/>
        </w:rPr>
      </w:pPr>
      <w:r w:rsidRPr="008B65FF">
        <w:rPr>
          <w:rFonts w:asciiTheme="minorHAnsi" w:hAnsiTheme="minorHAnsi" w:cstheme="minorHAnsi"/>
          <w:sz w:val="24"/>
          <w:szCs w:val="24"/>
        </w:rPr>
        <w:t>Heylen D, Tijsse E, Fonville M, Matthysen E, Sprong H. Transmission dynamics of Borrelia burgdorferi s.l. in a bird tick community. Environ Microbiol. 2013;15(2):663-73.</w:t>
      </w:r>
    </w:p>
    <w:p w14:paraId="6545F641" w14:textId="77777777" w:rsidR="0018227A" w:rsidRPr="008B65FF" w:rsidRDefault="0018227A" w:rsidP="0018227A">
      <w:pPr>
        <w:pStyle w:val="EndNoteBibliography"/>
        <w:spacing w:after="0"/>
        <w:rPr>
          <w:rFonts w:asciiTheme="minorHAnsi" w:hAnsiTheme="minorHAnsi" w:cstheme="minorHAnsi"/>
          <w:sz w:val="24"/>
          <w:szCs w:val="24"/>
        </w:rPr>
      </w:pPr>
    </w:p>
    <w:p w14:paraId="480512D3" w14:textId="77777777" w:rsidR="0018227A" w:rsidRPr="008B65FF" w:rsidRDefault="0018227A" w:rsidP="0018227A">
      <w:pPr>
        <w:pStyle w:val="EndNoteBibliography"/>
        <w:spacing w:after="0"/>
        <w:rPr>
          <w:rFonts w:asciiTheme="minorHAnsi" w:hAnsiTheme="minorHAnsi" w:cstheme="minorHAnsi"/>
          <w:sz w:val="24"/>
          <w:szCs w:val="24"/>
          <w:lang w:val="nl-NL"/>
        </w:rPr>
      </w:pPr>
      <w:r w:rsidRPr="008B65FF">
        <w:rPr>
          <w:rFonts w:asciiTheme="minorHAnsi" w:hAnsiTheme="minorHAnsi" w:cstheme="minorHAnsi"/>
          <w:sz w:val="24"/>
          <w:szCs w:val="24"/>
        </w:rPr>
        <w:t xml:space="preserve">Courtney JW, Kostelnik LM, Zeidner NS, Massung RF. Multiplex real-time PCR for detection of anaplasma phagocytophilum and Borrelia burgdorferi. </w:t>
      </w:r>
      <w:r w:rsidRPr="008B65FF">
        <w:rPr>
          <w:rFonts w:asciiTheme="minorHAnsi" w:hAnsiTheme="minorHAnsi" w:cstheme="minorHAnsi"/>
          <w:sz w:val="24"/>
          <w:szCs w:val="24"/>
          <w:lang w:val="nl-NL"/>
        </w:rPr>
        <w:t>J Clin Microbiol. 2004;42(7):3164-8.</w:t>
      </w:r>
    </w:p>
    <w:p w14:paraId="05B0021F" w14:textId="77777777" w:rsidR="0018227A" w:rsidRPr="008B65FF" w:rsidRDefault="0018227A" w:rsidP="0018227A">
      <w:pPr>
        <w:pStyle w:val="EndNoteBibliography"/>
        <w:spacing w:after="0"/>
        <w:rPr>
          <w:rFonts w:asciiTheme="minorHAnsi" w:hAnsiTheme="minorHAnsi" w:cstheme="minorHAnsi"/>
          <w:sz w:val="24"/>
          <w:szCs w:val="24"/>
          <w:lang w:val="nl-NL"/>
        </w:rPr>
      </w:pPr>
    </w:p>
    <w:p w14:paraId="4C4E0E17" w14:textId="77777777" w:rsidR="0018227A" w:rsidRPr="008B65FF" w:rsidRDefault="0018227A" w:rsidP="0018227A">
      <w:pPr>
        <w:pStyle w:val="EndNoteBibliography"/>
        <w:spacing w:after="0"/>
        <w:rPr>
          <w:rFonts w:asciiTheme="minorHAnsi" w:hAnsiTheme="minorHAnsi" w:cstheme="minorHAnsi"/>
          <w:sz w:val="24"/>
          <w:szCs w:val="24"/>
        </w:rPr>
      </w:pPr>
      <w:r w:rsidRPr="008B65FF">
        <w:rPr>
          <w:rFonts w:asciiTheme="minorHAnsi" w:hAnsiTheme="minorHAnsi" w:cstheme="minorHAnsi"/>
          <w:sz w:val="24"/>
          <w:szCs w:val="24"/>
          <w:lang w:val="nl-NL"/>
        </w:rPr>
        <w:t xml:space="preserve">Jahfari S, Fonville M, Hengeveld P, Reusken C, Scholte EJ, Takken W, et al. </w:t>
      </w:r>
      <w:r w:rsidRPr="008B65FF">
        <w:rPr>
          <w:rFonts w:asciiTheme="minorHAnsi" w:hAnsiTheme="minorHAnsi" w:cstheme="minorHAnsi"/>
          <w:sz w:val="24"/>
          <w:szCs w:val="24"/>
        </w:rPr>
        <w:t>Prevalence of Neoehrlichia mikurensis in ticks and rodents from North-west Europe. Parasit Vectors. 2012;5:74.</w:t>
      </w:r>
    </w:p>
    <w:p w14:paraId="697F7659" w14:textId="77777777" w:rsidR="0018227A" w:rsidRPr="008B65FF" w:rsidRDefault="0018227A" w:rsidP="0018227A">
      <w:pPr>
        <w:rPr>
          <w:rFonts w:cstheme="minorHAnsi"/>
          <w:sz w:val="24"/>
          <w:szCs w:val="24"/>
          <w:lang w:val="en-US"/>
        </w:rPr>
      </w:pPr>
    </w:p>
    <w:p w14:paraId="59EC270C" w14:textId="77777777" w:rsidR="0018227A" w:rsidRPr="008B65FF" w:rsidRDefault="0018227A" w:rsidP="0018227A">
      <w:pPr>
        <w:rPr>
          <w:rFonts w:cstheme="minorHAnsi"/>
          <w:sz w:val="24"/>
          <w:szCs w:val="24"/>
          <w:lang w:val="en-US"/>
        </w:rPr>
      </w:pPr>
    </w:p>
    <w:p w14:paraId="53A2D4B8" w14:textId="77777777" w:rsidR="000E278C" w:rsidRPr="008B65FF" w:rsidRDefault="00FC7031">
      <w:pPr>
        <w:rPr>
          <w:rFonts w:cstheme="minorHAnsi"/>
          <w:b/>
          <w:sz w:val="24"/>
          <w:szCs w:val="24"/>
          <w:lang w:val="en-US"/>
        </w:rPr>
      </w:pPr>
    </w:p>
    <w:sectPr w:rsidR="000E278C" w:rsidRPr="008B65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7A"/>
    <w:rsid w:val="00005B14"/>
    <w:rsid w:val="0018227A"/>
    <w:rsid w:val="003A4BED"/>
    <w:rsid w:val="0047348F"/>
    <w:rsid w:val="00476560"/>
    <w:rsid w:val="004B1FCF"/>
    <w:rsid w:val="00547C44"/>
    <w:rsid w:val="00665D89"/>
    <w:rsid w:val="006826E4"/>
    <w:rsid w:val="007254D4"/>
    <w:rsid w:val="00744781"/>
    <w:rsid w:val="008B65FF"/>
    <w:rsid w:val="008E526A"/>
    <w:rsid w:val="00966A9E"/>
    <w:rsid w:val="00B02351"/>
    <w:rsid w:val="00D60856"/>
    <w:rsid w:val="00D83D6B"/>
    <w:rsid w:val="00DD2C9F"/>
    <w:rsid w:val="00DF02B2"/>
    <w:rsid w:val="00E94927"/>
    <w:rsid w:val="00F00FF4"/>
    <w:rsid w:val="00FC70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E5C8"/>
  <w15:chartTrackingRefBased/>
  <w15:docId w15:val="{5F27DFD5-6019-44E3-ADF5-68D970EB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27A"/>
    <w:rPr>
      <w:lang w:val="nl-BE"/>
    </w:rPr>
  </w:style>
  <w:style w:type="paragraph" w:styleId="Heading2">
    <w:name w:val="heading 2"/>
    <w:basedOn w:val="Normal"/>
    <w:next w:val="Normal"/>
    <w:link w:val="Heading2Char"/>
    <w:uiPriority w:val="9"/>
    <w:unhideWhenUsed/>
    <w:qFormat/>
    <w:rsid w:val="001822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227A"/>
    <w:rPr>
      <w:rFonts w:asciiTheme="majorHAnsi" w:eastAsiaTheme="majorEastAsia" w:hAnsiTheme="majorHAnsi" w:cstheme="majorBidi"/>
      <w:color w:val="2F5496" w:themeColor="accent1" w:themeShade="BF"/>
      <w:sz w:val="26"/>
      <w:szCs w:val="26"/>
      <w:lang w:val="nl-BE"/>
    </w:rPr>
  </w:style>
  <w:style w:type="table" w:styleId="TableGrid">
    <w:name w:val="Table Grid"/>
    <w:basedOn w:val="TableNormal"/>
    <w:uiPriority w:val="39"/>
    <w:rsid w:val="0018227A"/>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18227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8227A"/>
    <w:rPr>
      <w:rFonts w:ascii="Calibri" w:hAnsi="Calibri" w:cs="Calibri"/>
      <w:noProof/>
      <w:lang w:val="en-US"/>
    </w:rPr>
  </w:style>
  <w:style w:type="character" w:styleId="Hyperlink">
    <w:name w:val="Hyperlink"/>
    <w:basedOn w:val="DefaultParagraphFont"/>
    <w:uiPriority w:val="99"/>
    <w:unhideWhenUsed/>
    <w:rsid w:val="004B1FCF"/>
    <w:rPr>
      <w:color w:val="0563C1" w:themeColor="hyperlink"/>
      <w:u w:val="single"/>
    </w:rPr>
  </w:style>
  <w:style w:type="character" w:styleId="UnresolvedMention">
    <w:name w:val="Unresolved Mention"/>
    <w:basedOn w:val="DefaultParagraphFont"/>
    <w:uiPriority w:val="99"/>
    <w:semiHidden/>
    <w:unhideWhenUsed/>
    <w:rsid w:val="004B1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rb-silva.de/search/testpr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Krawczyk</dc:creator>
  <cp:keywords/>
  <dc:description/>
  <cp:lastModifiedBy>Aleksandra Krawczyk (Excerpta Medica)</cp:lastModifiedBy>
  <cp:revision>2</cp:revision>
  <dcterms:created xsi:type="dcterms:W3CDTF">2022-03-07T22:57:00Z</dcterms:created>
  <dcterms:modified xsi:type="dcterms:W3CDTF">2022-03-07T22:57:00Z</dcterms:modified>
</cp:coreProperties>
</file>