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478E3" w14:textId="77777777" w:rsidR="00062CF4" w:rsidRDefault="00062CF4" w:rsidP="00953F11">
      <w:pPr>
        <w:pStyle w:val="NoSpacing"/>
        <w:spacing w:line="480" w:lineRule="auto"/>
        <w:rPr>
          <w:b/>
          <w:color w:val="000000" w:themeColor="text1"/>
          <w:sz w:val="28"/>
          <w:szCs w:val="28"/>
        </w:rPr>
      </w:pPr>
      <w:r w:rsidRPr="00062CF4">
        <w:rPr>
          <w:b/>
          <w:color w:val="000000" w:themeColor="text1"/>
          <w:sz w:val="28"/>
          <w:szCs w:val="28"/>
        </w:rPr>
        <w:t>Microbial functional genes are driven by gradients in sediment stoichiometry, oxygen, and salinity across the Baltic benthic ecosystem</w:t>
      </w:r>
    </w:p>
    <w:p w14:paraId="70F02AFE" w14:textId="2A490869" w:rsidR="00BD3E2C" w:rsidRPr="009A0E2F" w:rsidRDefault="000F09F3" w:rsidP="00953F11">
      <w:pPr>
        <w:pStyle w:val="NoSpacing"/>
        <w:spacing w:line="480" w:lineRule="auto"/>
        <w:rPr>
          <w:b/>
          <w:color w:val="000000" w:themeColor="text1"/>
          <w:sz w:val="28"/>
          <w:szCs w:val="28"/>
        </w:rPr>
      </w:pPr>
      <w:r w:rsidRPr="000F09F3">
        <w:rPr>
          <w:rFonts w:eastAsia="Times New Roman"/>
          <w:color w:val="000000" w:themeColor="text1"/>
          <w:szCs w:val="24"/>
          <w:lang w:eastAsia="sv-SE"/>
        </w:rPr>
        <w:t>Elias Broman, Dandan</w:t>
      </w:r>
      <w:r w:rsidR="00753AAA">
        <w:rPr>
          <w:rFonts w:eastAsia="Times New Roman"/>
          <w:color w:val="000000" w:themeColor="text1"/>
          <w:szCs w:val="24"/>
          <w:lang w:eastAsia="sv-SE"/>
        </w:rPr>
        <w:t xml:space="preserve"> </w:t>
      </w:r>
      <w:r w:rsidRPr="000F09F3">
        <w:rPr>
          <w:rFonts w:eastAsia="Times New Roman"/>
          <w:color w:val="000000" w:themeColor="text1"/>
          <w:szCs w:val="24"/>
          <w:lang w:eastAsia="sv-SE"/>
        </w:rPr>
        <w:t>Izabel</w:t>
      </w:r>
      <w:r w:rsidR="00753AAA">
        <w:rPr>
          <w:rFonts w:eastAsia="Times New Roman"/>
          <w:color w:val="000000" w:themeColor="text1"/>
          <w:szCs w:val="24"/>
          <w:lang w:eastAsia="sv-SE"/>
        </w:rPr>
        <w:t>-</w:t>
      </w:r>
      <w:r w:rsidRPr="000F09F3">
        <w:rPr>
          <w:rFonts w:eastAsia="Times New Roman"/>
          <w:color w:val="000000" w:themeColor="text1"/>
          <w:szCs w:val="24"/>
          <w:lang w:eastAsia="sv-SE"/>
        </w:rPr>
        <w:t>Shen, Alejandro Rodríguez</w:t>
      </w:r>
      <w:r w:rsidR="009A0E2F">
        <w:rPr>
          <w:rFonts w:eastAsia="Times New Roman"/>
          <w:color w:val="000000" w:themeColor="text1"/>
          <w:szCs w:val="24"/>
          <w:lang w:eastAsia="sv-SE"/>
        </w:rPr>
        <w:t>-</w:t>
      </w:r>
      <w:r w:rsidRPr="000F09F3">
        <w:rPr>
          <w:rFonts w:eastAsia="Times New Roman"/>
          <w:color w:val="000000" w:themeColor="text1"/>
          <w:szCs w:val="24"/>
          <w:lang w:eastAsia="sv-SE"/>
        </w:rPr>
        <w:t xml:space="preserve">Gijón, Stefano Bonaglia, Sarahi L. Garcia, Francisco J.A. Nascimento </w:t>
      </w:r>
    </w:p>
    <w:p w14:paraId="1AD5EDAA" w14:textId="77777777" w:rsidR="000F09F3" w:rsidRPr="00E03DAB" w:rsidRDefault="000F09F3" w:rsidP="00953F11">
      <w:pPr>
        <w:pStyle w:val="NoSpacing"/>
        <w:spacing w:line="480" w:lineRule="auto"/>
        <w:rPr>
          <w:rFonts w:eastAsia="Times New Roman"/>
          <w:color w:val="000000" w:themeColor="text1"/>
          <w:szCs w:val="24"/>
          <w:lang w:eastAsia="sv-SE"/>
        </w:rPr>
      </w:pPr>
    </w:p>
    <w:p w14:paraId="29978B77" w14:textId="35CE1BDD" w:rsidR="005254C2" w:rsidRPr="00850836" w:rsidRDefault="005254C2" w:rsidP="00953F11">
      <w:pPr>
        <w:spacing w:after="0" w:line="480" w:lineRule="auto"/>
        <w:rPr>
          <w:rFonts w:cs="Times New Roman"/>
          <w:b/>
          <w:szCs w:val="24"/>
        </w:rPr>
      </w:pPr>
      <w:r w:rsidRPr="00850836">
        <w:rPr>
          <w:rFonts w:cs="Times New Roman"/>
          <w:b/>
          <w:szCs w:val="24"/>
        </w:rPr>
        <w:t>Supplementary Information</w:t>
      </w:r>
    </w:p>
    <w:p w14:paraId="26A7310D" w14:textId="04CFCA64" w:rsidR="005254C2" w:rsidRDefault="005254C2" w:rsidP="00A64A85">
      <w:pPr>
        <w:pStyle w:val="EndNoteBibliography"/>
        <w:spacing w:after="0" w:line="480" w:lineRule="auto"/>
        <w:jc w:val="both"/>
        <w:rPr>
          <w:b/>
          <w:noProof w:val="0"/>
          <w:color w:val="000000" w:themeColor="text1"/>
          <w:szCs w:val="24"/>
        </w:rPr>
      </w:pPr>
    </w:p>
    <w:p w14:paraId="32941C72" w14:textId="35CF37B9" w:rsidR="005254C2" w:rsidRPr="00850836" w:rsidRDefault="005254C2" w:rsidP="00A64A85">
      <w:pPr>
        <w:pStyle w:val="EndNoteBibliography"/>
        <w:spacing w:after="0" w:line="480" w:lineRule="auto"/>
        <w:jc w:val="both"/>
        <w:rPr>
          <w:i/>
          <w:noProof w:val="0"/>
          <w:color w:val="000000" w:themeColor="text1"/>
          <w:szCs w:val="24"/>
        </w:rPr>
      </w:pPr>
      <w:r w:rsidRPr="00850836">
        <w:rPr>
          <w:i/>
          <w:noProof w:val="0"/>
          <w:color w:val="000000" w:themeColor="text1"/>
          <w:szCs w:val="24"/>
        </w:rPr>
        <w:t>Data file</w:t>
      </w:r>
      <w:r w:rsidR="00056F51" w:rsidRPr="00850836">
        <w:rPr>
          <w:i/>
          <w:noProof w:val="0"/>
          <w:color w:val="000000" w:themeColor="text1"/>
          <w:szCs w:val="24"/>
        </w:rPr>
        <w:t xml:space="preserve"> captions</w:t>
      </w:r>
    </w:p>
    <w:p w14:paraId="22CB2F08" w14:textId="656192D9" w:rsidR="00A64A85" w:rsidRPr="00E03DAB" w:rsidRDefault="00A64A85" w:rsidP="00A64A85">
      <w:pPr>
        <w:pStyle w:val="EndNoteBibliography"/>
        <w:spacing w:after="0" w:line="480" w:lineRule="auto"/>
        <w:jc w:val="both"/>
        <w:rPr>
          <w:noProof w:val="0"/>
          <w:color w:val="000000" w:themeColor="text1"/>
          <w:szCs w:val="24"/>
        </w:rPr>
      </w:pPr>
      <w:r w:rsidRPr="00E03DAB">
        <w:rPr>
          <w:b/>
          <w:noProof w:val="0"/>
          <w:color w:val="000000" w:themeColor="text1"/>
          <w:szCs w:val="24"/>
        </w:rPr>
        <w:t>Data S</w:t>
      </w:r>
      <w:r>
        <w:rPr>
          <w:b/>
          <w:noProof w:val="0"/>
          <w:color w:val="000000" w:themeColor="text1"/>
          <w:szCs w:val="24"/>
        </w:rPr>
        <w:t>1</w:t>
      </w:r>
      <w:r w:rsidRPr="00E03DAB">
        <w:rPr>
          <w:noProof w:val="0"/>
          <w:color w:val="000000" w:themeColor="text1"/>
          <w:szCs w:val="24"/>
        </w:rPr>
        <w:t xml:space="preserve"> </w:t>
      </w:r>
      <w:r w:rsidR="00CC10B0">
        <w:rPr>
          <w:noProof w:val="0"/>
          <w:color w:val="000000" w:themeColor="text1"/>
          <w:szCs w:val="24"/>
        </w:rPr>
        <w:t>S</w:t>
      </w:r>
      <w:r>
        <w:rPr>
          <w:noProof w:val="0"/>
          <w:color w:val="000000" w:themeColor="text1"/>
          <w:szCs w:val="24"/>
        </w:rPr>
        <w:t>tation numbers</w:t>
      </w:r>
      <w:r w:rsidRPr="00E03DAB">
        <w:rPr>
          <w:noProof w:val="0"/>
          <w:color w:val="000000" w:themeColor="text1"/>
          <w:szCs w:val="24"/>
        </w:rPr>
        <w:t xml:space="preserve"> with corresponding region, stations, sampling date, WGS84 coordinates, and measured values for the abiotic variables.</w:t>
      </w:r>
      <w:r w:rsidR="005254C2">
        <w:rPr>
          <w:noProof w:val="0"/>
          <w:color w:val="000000" w:themeColor="text1"/>
          <w:szCs w:val="24"/>
        </w:rPr>
        <w:t xml:space="preserve"> xlsx</w:t>
      </w:r>
    </w:p>
    <w:p w14:paraId="67D7FF99" w14:textId="77777777" w:rsidR="00FE6195" w:rsidRPr="00E03DAB" w:rsidRDefault="00FE6195" w:rsidP="00FE6195">
      <w:pPr>
        <w:pStyle w:val="EndNoteBibliography"/>
        <w:spacing w:after="0" w:line="480" w:lineRule="auto"/>
        <w:jc w:val="both"/>
        <w:rPr>
          <w:noProof w:val="0"/>
          <w:szCs w:val="24"/>
        </w:rPr>
      </w:pPr>
    </w:p>
    <w:p w14:paraId="64758B8A" w14:textId="1E162901" w:rsidR="00FB3A1A" w:rsidRPr="00E03DAB" w:rsidRDefault="00FE6195" w:rsidP="00FE6195">
      <w:pPr>
        <w:pStyle w:val="EndNoteBibliography"/>
        <w:spacing w:after="0" w:line="480" w:lineRule="auto"/>
        <w:jc w:val="both"/>
        <w:rPr>
          <w:noProof w:val="0"/>
          <w:szCs w:val="24"/>
        </w:rPr>
      </w:pPr>
      <w:r w:rsidRPr="00E03DAB">
        <w:rPr>
          <w:b/>
          <w:noProof w:val="0"/>
          <w:szCs w:val="24"/>
        </w:rPr>
        <w:t>Data S</w:t>
      </w:r>
      <w:r w:rsidR="00A64A85">
        <w:rPr>
          <w:b/>
          <w:noProof w:val="0"/>
          <w:szCs w:val="24"/>
        </w:rPr>
        <w:t>2</w:t>
      </w:r>
      <w:r w:rsidRPr="00E03DAB">
        <w:rPr>
          <w:noProof w:val="0"/>
          <w:szCs w:val="24"/>
        </w:rPr>
        <w:t xml:space="preserve"> </w:t>
      </w:r>
      <w:r w:rsidR="0041263F">
        <w:rPr>
          <w:noProof w:val="0"/>
          <w:szCs w:val="24"/>
        </w:rPr>
        <w:t>B</w:t>
      </w:r>
      <w:r w:rsidR="0041263F" w:rsidRPr="00E03DAB">
        <w:rPr>
          <w:noProof w:val="0"/>
          <w:szCs w:val="24"/>
        </w:rPr>
        <w:t>ioinformatic</w:t>
      </w:r>
      <w:r w:rsidR="00FB3A1A" w:rsidRPr="00E03DAB">
        <w:rPr>
          <w:noProof w:val="0"/>
          <w:szCs w:val="24"/>
        </w:rPr>
        <w:t xml:space="preserve"> information such as Sequencing </w:t>
      </w:r>
      <w:r w:rsidR="005C1139" w:rsidRPr="00E03DAB">
        <w:rPr>
          <w:noProof w:val="0"/>
          <w:szCs w:val="24"/>
        </w:rPr>
        <w:t>facility</w:t>
      </w:r>
      <w:r w:rsidR="00D862AE">
        <w:rPr>
          <w:noProof w:val="0"/>
          <w:szCs w:val="24"/>
        </w:rPr>
        <w:t xml:space="preserve"> sample</w:t>
      </w:r>
      <w:r w:rsidR="00FB3A1A" w:rsidRPr="00E03DAB">
        <w:rPr>
          <w:noProof w:val="0"/>
          <w:szCs w:val="24"/>
        </w:rPr>
        <w:t xml:space="preserve"> IDs, </w:t>
      </w:r>
      <w:r w:rsidR="004902A7">
        <w:rPr>
          <w:noProof w:val="0"/>
          <w:szCs w:val="24"/>
        </w:rPr>
        <w:t>station number</w:t>
      </w:r>
      <w:r w:rsidR="00FB3A1A" w:rsidRPr="00E03DAB">
        <w:rPr>
          <w:noProof w:val="0"/>
          <w:szCs w:val="24"/>
        </w:rPr>
        <w:t>, region</w:t>
      </w:r>
      <w:r w:rsidR="00F64D3F">
        <w:rPr>
          <w:noProof w:val="0"/>
          <w:szCs w:val="24"/>
        </w:rPr>
        <w:t>,</w:t>
      </w:r>
      <w:r w:rsidR="00FB3A1A" w:rsidRPr="00E03DAB">
        <w:rPr>
          <w:noProof w:val="0"/>
          <w:szCs w:val="24"/>
        </w:rPr>
        <w:t xml:space="preserve"> and station </w:t>
      </w:r>
      <w:r w:rsidR="00F64D3F">
        <w:rPr>
          <w:noProof w:val="0"/>
          <w:szCs w:val="24"/>
        </w:rPr>
        <w:t>label according to the yearly monitoring programme</w:t>
      </w:r>
      <w:r w:rsidR="00FB3A1A" w:rsidRPr="00E03DAB">
        <w:rPr>
          <w:noProof w:val="0"/>
          <w:szCs w:val="24"/>
        </w:rPr>
        <w:t>, number of sequences yielded before and after quality trimming, average read lengths, Phred33 quality scores, sequences classified with kraken2+bracken2</w:t>
      </w:r>
      <w:r w:rsidR="006C2ED1">
        <w:rPr>
          <w:noProof w:val="0"/>
          <w:szCs w:val="24"/>
        </w:rPr>
        <w:t xml:space="preserve"> against NCBI RefSeq</w:t>
      </w:r>
      <w:r w:rsidR="00FB3A1A" w:rsidRPr="00E03DAB">
        <w:rPr>
          <w:noProof w:val="0"/>
          <w:szCs w:val="24"/>
        </w:rPr>
        <w:t>, and the number of KEGG classified reads with DIAMOND+MEGAN.</w:t>
      </w:r>
      <w:r w:rsidR="005254C2">
        <w:rPr>
          <w:noProof w:val="0"/>
          <w:szCs w:val="24"/>
        </w:rPr>
        <w:t xml:space="preserve"> </w:t>
      </w:r>
      <w:r w:rsidR="005254C2">
        <w:rPr>
          <w:noProof w:val="0"/>
          <w:color w:val="000000" w:themeColor="text1"/>
          <w:szCs w:val="24"/>
        </w:rPr>
        <w:t>xlsx</w:t>
      </w:r>
    </w:p>
    <w:p w14:paraId="0C7709BF" w14:textId="77777777" w:rsidR="00FB3A1A" w:rsidRPr="00E03DAB" w:rsidRDefault="00FB3A1A" w:rsidP="00FE6195">
      <w:pPr>
        <w:pStyle w:val="EndNoteBibliography"/>
        <w:spacing w:after="0" w:line="480" w:lineRule="auto"/>
        <w:jc w:val="both"/>
        <w:rPr>
          <w:noProof w:val="0"/>
          <w:szCs w:val="24"/>
        </w:rPr>
      </w:pPr>
    </w:p>
    <w:p w14:paraId="4DBDAB58" w14:textId="100DDB0D" w:rsidR="00FB3A1A" w:rsidRDefault="00FB3A1A" w:rsidP="00FB3A1A">
      <w:pPr>
        <w:pStyle w:val="EndNoteBibliography"/>
        <w:spacing w:after="0" w:line="480" w:lineRule="auto"/>
        <w:jc w:val="both"/>
        <w:rPr>
          <w:noProof w:val="0"/>
          <w:color w:val="000000" w:themeColor="text1"/>
          <w:szCs w:val="24"/>
        </w:rPr>
      </w:pPr>
      <w:r w:rsidRPr="00E03DAB">
        <w:rPr>
          <w:b/>
          <w:noProof w:val="0"/>
          <w:szCs w:val="24"/>
        </w:rPr>
        <w:t>Data S3</w:t>
      </w:r>
      <w:r w:rsidRPr="00E03DAB">
        <w:rPr>
          <w:noProof w:val="0"/>
          <w:szCs w:val="24"/>
        </w:rPr>
        <w:t xml:space="preserve"> </w:t>
      </w:r>
      <w:r w:rsidR="00B56BCC" w:rsidRPr="00E03DAB">
        <w:rPr>
          <w:noProof w:val="0"/>
          <w:szCs w:val="24"/>
        </w:rPr>
        <w:t xml:space="preserve">KEGG classifications with </w:t>
      </w:r>
      <w:r w:rsidR="004902A7">
        <w:rPr>
          <w:noProof w:val="0"/>
          <w:szCs w:val="24"/>
        </w:rPr>
        <w:t>station numbers</w:t>
      </w:r>
      <w:r w:rsidR="00B56BCC" w:rsidRPr="00E03DAB">
        <w:rPr>
          <w:noProof w:val="0"/>
          <w:szCs w:val="24"/>
        </w:rPr>
        <w:t xml:space="preserve"> (1 to 59) corresponding to eac</w:t>
      </w:r>
      <w:r w:rsidR="00C721D3" w:rsidRPr="00E03DAB">
        <w:rPr>
          <w:noProof w:val="0"/>
          <w:szCs w:val="24"/>
        </w:rPr>
        <w:t>h</w:t>
      </w:r>
      <w:r w:rsidR="00B56BCC" w:rsidRPr="00E03DAB">
        <w:rPr>
          <w:noProof w:val="0"/>
          <w:szCs w:val="24"/>
        </w:rPr>
        <w:t xml:space="preserve"> sample as listed in Table 1. The first sheet shows normalized read coun</w:t>
      </w:r>
      <w:r w:rsidR="00C721D3" w:rsidRPr="00E03DAB">
        <w:rPr>
          <w:noProof w:val="0"/>
          <w:szCs w:val="24"/>
        </w:rPr>
        <w:t>t</w:t>
      </w:r>
      <w:r w:rsidR="00B56BCC" w:rsidRPr="00E03DAB">
        <w:rPr>
          <w:noProof w:val="0"/>
          <w:szCs w:val="24"/>
        </w:rPr>
        <w:t>s as CPM values, while the second sheet shows absolute counts.</w:t>
      </w:r>
      <w:r w:rsidR="005254C2">
        <w:rPr>
          <w:noProof w:val="0"/>
          <w:szCs w:val="24"/>
        </w:rPr>
        <w:t xml:space="preserve"> </w:t>
      </w:r>
      <w:r w:rsidR="00221B25">
        <w:rPr>
          <w:noProof w:val="0"/>
          <w:color w:val="000000" w:themeColor="text1"/>
          <w:szCs w:val="24"/>
        </w:rPr>
        <w:t>X</w:t>
      </w:r>
      <w:r w:rsidR="005254C2">
        <w:rPr>
          <w:noProof w:val="0"/>
          <w:color w:val="000000" w:themeColor="text1"/>
          <w:szCs w:val="24"/>
        </w:rPr>
        <w:t>lsx</w:t>
      </w:r>
    </w:p>
    <w:p w14:paraId="6FC8C337" w14:textId="7E99465A" w:rsidR="00221B25" w:rsidRDefault="00221B25" w:rsidP="00FB3A1A">
      <w:pPr>
        <w:pStyle w:val="EndNoteBibliography"/>
        <w:spacing w:after="0" w:line="480" w:lineRule="auto"/>
        <w:jc w:val="both"/>
        <w:rPr>
          <w:noProof w:val="0"/>
          <w:szCs w:val="24"/>
        </w:rPr>
      </w:pPr>
    </w:p>
    <w:p w14:paraId="592CF995" w14:textId="359BC7CB" w:rsidR="00221B25" w:rsidRDefault="00221B25" w:rsidP="00FB3A1A">
      <w:pPr>
        <w:pStyle w:val="EndNoteBibliography"/>
        <w:spacing w:after="0" w:line="480" w:lineRule="auto"/>
        <w:jc w:val="both"/>
        <w:rPr>
          <w:noProof w:val="0"/>
          <w:szCs w:val="24"/>
        </w:rPr>
      </w:pPr>
      <w:r w:rsidRPr="00E03DAB">
        <w:rPr>
          <w:b/>
          <w:noProof w:val="0"/>
          <w:szCs w:val="24"/>
        </w:rPr>
        <w:t>Data S</w:t>
      </w:r>
      <w:r>
        <w:rPr>
          <w:b/>
          <w:noProof w:val="0"/>
          <w:szCs w:val="24"/>
        </w:rPr>
        <w:t>4</w:t>
      </w:r>
      <w:r w:rsidRPr="00E03DAB">
        <w:rPr>
          <w:noProof w:val="0"/>
          <w:szCs w:val="24"/>
        </w:rPr>
        <w:t xml:space="preserve"> </w:t>
      </w:r>
      <w:r w:rsidR="00EF6897">
        <w:rPr>
          <w:noProof w:val="0"/>
          <w:szCs w:val="24"/>
        </w:rPr>
        <w:t>Sheet 1 shows the</w:t>
      </w:r>
      <w:r w:rsidR="000A6B90">
        <w:rPr>
          <w:noProof w:val="0"/>
          <w:szCs w:val="24"/>
        </w:rPr>
        <w:t xml:space="preserve"> % metagenome read</w:t>
      </w:r>
      <w:r w:rsidR="00634B9C">
        <w:rPr>
          <w:noProof w:val="0"/>
          <w:szCs w:val="24"/>
        </w:rPr>
        <w:t>s</w:t>
      </w:r>
      <w:r w:rsidR="000A6B90">
        <w:rPr>
          <w:noProof w:val="0"/>
          <w:szCs w:val="24"/>
        </w:rPr>
        <w:t xml:space="preserve"> mapped to each MAG for each sample (i.e. station in the y-axis). Red cells denote the samples where the MAG was detected.</w:t>
      </w:r>
      <w:r w:rsidR="00172E25">
        <w:rPr>
          <w:noProof w:val="0"/>
          <w:szCs w:val="24"/>
        </w:rPr>
        <w:t xml:space="preserve"> Sheet 2 shows the </w:t>
      </w:r>
      <w:r w:rsidR="00172E25">
        <w:rPr>
          <w:noProof w:val="0"/>
          <w:szCs w:val="24"/>
        </w:rPr>
        <w:lastRenderedPageBreak/>
        <w:t xml:space="preserve">KEGG classifications </w:t>
      </w:r>
      <w:r w:rsidR="008A0772">
        <w:rPr>
          <w:noProof w:val="0"/>
          <w:szCs w:val="24"/>
        </w:rPr>
        <w:t xml:space="preserve">(using MEGAN) </w:t>
      </w:r>
      <w:r w:rsidR="00172E25">
        <w:rPr>
          <w:noProof w:val="0"/>
          <w:szCs w:val="24"/>
        </w:rPr>
        <w:t>for each MAG.</w:t>
      </w:r>
      <w:r w:rsidR="00991319">
        <w:rPr>
          <w:noProof w:val="0"/>
          <w:szCs w:val="24"/>
        </w:rPr>
        <w:t xml:space="preserve"> </w:t>
      </w:r>
      <w:r w:rsidR="008A0772">
        <w:rPr>
          <w:noProof w:val="0"/>
          <w:szCs w:val="24"/>
        </w:rPr>
        <w:t xml:space="preserve">Sheet 3 shows the NCBI NR </w:t>
      </w:r>
      <w:r w:rsidR="00066F39">
        <w:rPr>
          <w:noProof w:val="0"/>
          <w:szCs w:val="24"/>
        </w:rPr>
        <w:t>classifications</w:t>
      </w:r>
      <w:r w:rsidR="008A0772">
        <w:rPr>
          <w:noProof w:val="0"/>
          <w:szCs w:val="24"/>
        </w:rPr>
        <w:t xml:space="preserve"> (using BLASTP) for each MAG. </w:t>
      </w:r>
      <w:r w:rsidR="00991319">
        <w:rPr>
          <w:noProof w:val="0"/>
          <w:szCs w:val="24"/>
        </w:rPr>
        <w:t xml:space="preserve">Sheet </w:t>
      </w:r>
      <w:r w:rsidR="008A0772">
        <w:rPr>
          <w:noProof w:val="0"/>
          <w:szCs w:val="24"/>
        </w:rPr>
        <w:t>4</w:t>
      </w:r>
      <w:r w:rsidR="00991319">
        <w:rPr>
          <w:noProof w:val="0"/>
          <w:szCs w:val="24"/>
        </w:rPr>
        <w:t xml:space="preserve"> shows the % metagenome read</w:t>
      </w:r>
      <w:r w:rsidR="00634B9C">
        <w:rPr>
          <w:noProof w:val="0"/>
          <w:szCs w:val="24"/>
        </w:rPr>
        <w:t>s</w:t>
      </w:r>
      <w:r w:rsidR="00991319">
        <w:rPr>
          <w:noProof w:val="0"/>
          <w:szCs w:val="24"/>
        </w:rPr>
        <w:t xml:space="preserve"> mapped to </w:t>
      </w:r>
      <w:r w:rsidR="00634B9C">
        <w:rPr>
          <w:noProof w:val="0"/>
          <w:szCs w:val="24"/>
        </w:rPr>
        <w:t>the MAGs</w:t>
      </w:r>
      <w:r w:rsidR="00991319">
        <w:rPr>
          <w:noProof w:val="0"/>
          <w:szCs w:val="24"/>
        </w:rPr>
        <w:t xml:space="preserve"> averaged per region.</w:t>
      </w:r>
      <w:r w:rsidR="0047498B">
        <w:rPr>
          <w:noProof w:val="0"/>
          <w:szCs w:val="24"/>
        </w:rPr>
        <w:t xml:space="preserve"> Sheet </w:t>
      </w:r>
      <w:r w:rsidR="008A0772">
        <w:rPr>
          <w:noProof w:val="0"/>
          <w:szCs w:val="24"/>
        </w:rPr>
        <w:t>5</w:t>
      </w:r>
      <w:r w:rsidR="0047498B">
        <w:rPr>
          <w:noProof w:val="0"/>
          <w:szCs w:val="24"/>
        </w:rPr>
        <w:t xml:space="preserve"> shows the % </w:t>
      </w:r>
      <w:r w:rsidR="00553A97">
        <w:rPr>
          <w:noProof w:val="0"/>
          <w:szCs w:val="24"/>
        </w:rPr>
        <w:t xml:space="preserve">average </w:t>
      </w:r>
      <w:r w:rsidR="0047498B">
        <w:rPr>
          <w:noProof w:val="0"/>
          <w:szCs w:val="24"/>
        </w:rPr>
        <w:t xml:space="preserve">metagenome reads mapped </w:t>
      </w:r>
      <w:r w:rsidR="00553A97">
        <w:rPr>
          <w:noProof w:val="0"/>
          <w:szCs w:val="24"/>
        </w:rPr>
        <w:t>for</w:t>
      </w:r>
      <w:r w:rsidR="0047498B">
        <w:rPr>
          <w:noProof w:val="0"/>
          <w:szCs w:val="24"/>
        </w:rPr>
        <w:t xml:space="preserve"> each MAG </w:t>
      </w:r>
      <w:r w:rsidR="00553A97">
        <w:rPr>
          <w:noProof w:val="0"/>
          <w:szCs w:val="24"/>
        </w:rPr>
        <w:t>based on the salinity</w:t>
      </w:r>
      <w:r w:rsidR="00B354A9">
        <w:rPr>
          <w:noProof w:val="0"/>
          <w:szCs w:val="24"/>
        </w:rPr>
        <w:t xml:space="preserve"> and dead zones</w:t>
      </w:r>
      <w:r w:rsidR="00553A97">
        <w:rPr>
          <w:noProof w:val="0"/>
          <w:szCs w:val="24"/>
        </w:rPr>
        <w:t xml:space="preserve">. The grouping of each MAG into a salinity group was based on </w:t>
      </w:r>
      <w:r w:rsidR="005C4EF9">
        <w:rPr>
          <w:noProof w:val="0"/>
          <w:szCs w:val="24"/>
        </w:rPr>
        <w:t>the salinity range where they</w:t>
      </w:r>
      <w:r w:rsidR="00553A97">
        <w:rPr>
          <w:noProof w:val="0"/>
          <w:szCs w:val="24"/>
        </w:rPr>
        <w:t xml:space="preserve"> had the highest %</w:t>
      </w:r>
      <w:bookmarkStart w:id="0" w:name="_GoBack"/>
      <w:bookmarkEnd w:id="0"/>
      <w:r w:rsidR="00553A97">
        <w:rPr>
          <w:noProof w:val="0"/>
          <w:szCs w:val="24"/>
        </w:rPr>
        <w:t xml:space="preserve"> mapped reads</w:t>
      </w:r>
      <w:r w:rsidR="003B4019">
        <w:rPr>
          <w:noProof w:val="0"/>
          <w:szCs w:val="24"/>
        </w:rPr>
        <w:t>.</w:t>
      </w:r>
      <w:r w:rsidR="00553A97">
        <w:rPr>
          <w:noProof w:val="0"/>
          <w:szCs w:val="24"/>
        </w:rPr>
        <w:t xml:space="preserve"> </w:t>
      </w:r>
      <w:r w:rsidR="00B354A9">
        <w:rPr>
          <w:noProof w:val="0"/>
          <w:szCs w:val="24"/>
        </w:rPr>
        <w:t>Sheet 6 shows the Jaccard distances calculated from the metabolic distances between MAGs in each group shown in Sheet 5.</w:t>
      </w:r>
    </w:p>
    <w:p w14:paraId="43062332" w14:textId="77777777" w:rsidR="00991319" w:rsidRPr="00E03DAB" w:rsidRDefault="00991319" w:rsidP="00FB3A1A">
      <w:pPr>
        <w:pStyle w:val="EndNoteBibliography"/>
        <w:spacing w:after="0" w:line="480" w:lineRule="auto"/>
        <w:jc w:val="both"/>
        <w:rPr>
          <w:noProof w:val="0"/>
          <w:szCs w:val="24"/>
        </w:rPr>
      </w:pPr>
    </w:p>
    <w:p w14:paraId="09CA3127" w14:textId="2641785B" w:rsidR="00EF0FB1" w:rsidRDefault="0041263F" w:rsidP="004A04C3">
      <w:pPr>
        <w:pStyle w:val="EndNoteBibliography"/>
        <w:spacing w:after="0" w:line="480" w:lineRule="auto"/>
        <w:jc w:val="both"/>
        <w:rPr>
          <w:noProof w:val="0"/>
          <w:color w:val="000000" w:themeColor="text1"/>
          <w:szCs w:val="24"/>
        </w:rPr>
      </w:pPr>
      <w:r w:rsidRPr="00E03DAB">
        <w:rPr>
          <w:b/>
          <w:noProof w:val="0"/>
          <w:color w:val="000000" w:themeColor="text1"/>
          <w:szCs w:val="24"/>
        </w:rPr>
        <w:t>Data S</w:t>
      </w:r>
      <w:r w:rsidR="00206C6F">
        <w:rPr>
          <w:b/>
          <w:noProof w:val="0"/>
          <w:color w:val="000000" w:themeColor="text1"/>
          <w:szCs w:val="24"/>
        </w:rPr>
        <w:t>5</w:t>
      </w:r>
      <w:r w:rsidRPr="00E03DAB">
        <w:rPr>
          <w:noProof w:val="0"/>
          <w:color w:val="000000" w:themeColor="text1"/>
          <w:szCs w:val="24"/>
        </w:rPr>
        <w:t xml:space="preserve"> </w:t>
      </w:r>
      <w:r w:rsidR="00123378">
        <w:rPr>
          <w:noProof w:val="0"/>
          <w:color w:val="000000" w:themeColor="text1"/>
          <w:szCs w:val="24"/>
        </w:rPr>
        <w:t>SIMPER</w:t>
      </w:r>
      <w:r>
        <w:rPr>
          <w:noProof w:val="0"/>
          <w:color w:val="000000" w:themeColor="text1"/>
          <w:szCs w:val="24"/>
        </w:rPr>
        <w:t xml:space="preserve"> analysis results of all KEGG KO identifiers for all regions tested against each other. Sheet 1 shows the top 10 output results for each</w:t>
      </w:r>
      <w:r w:rsidR="005A0EF1">
        <w:rPr>
          <w:noProof w:val="0"/>
          <w:color w:val="000000" w:themeColor="text1"/>
          <w:szCs w:val="24"/>
        </w:rPr>
        <w:t xml:space="preserve"> pairwise</w:t>
      </w:r>
      <w:r>
        <w:rPr>
          <w:noProof w:val="0"/>
          <w:color w:val="000000" w:themeColor="text1"/>
          <w:szCs w:val="24"/>
        </w:rPr>
        <w:t xml:space="preserve"> test</w:t>
      </w:r>
      <w:r w:rsidR="00761A09">
        <w:rPr>
          <w:noProof w:val="0"/>
          <w:color w:val="000000" w:themeColor="text1"/>
          <w:szCs w:val="24"/>
        </w:rPr>
        <w:t>,</w:t>
      </w:r>
      <w:r>
        <w:rPr>
          <w:noProof w:val="0"/>
          <w:color w:val="000000" w:themeColor="text1"/>
          <w:szCs w:val="24"/>
        </w:rPr>
        <w:t xml:space="preserve"> with red text denoting KEGG KO identifiers with a significant dissimilarity between the tested regions</w:t>
      </w:r>
      <w:r w:rsidR="004D0C69">
        <w:rPr>
          <w:noProof w:val="0"/>
          <w:color w:val="000000" w:themeColor="text1"/>
          <w:szCs w:val="24"/>
        </w:rPr>
        <w:t xml:space="preserve"> (</w:t>
      </w:r>
      <w:r w:rsidR="004D0C69" w:rsidRPr="004D0C69">
        <w:rPr>
          <w:i/>
          <w:noProof w:val="0"/>
          <w:color w:val="000000" w:themeColor="text1"/>
          <w:szCs w:val="24"/>
        </w:rPr>
        <w:t>P</w:t>
      </w:r>
      <w:r w:rsidR="004D0C69">
        <w:rPr>
          <w:noProof w:val="0"/>
          <w:color w:val="000000" w:themeColor="text1"/>
          <w:szCs w:val="24"/>
        </w:rPr>
        <w:t xml:space="preserve"> &lt; 0.05)</w:t>
      </w:r>
      <w:r>
        <w:rPr>
          <w:noProof w:val="0"/>
          <w:color w:val="000000" w:themeColor="text1"/>
          <w:szCs w:val="24"/>
        </w:rPr>
        <w:t xml:space="preserve">. Sheet 2 shows the </w:t>
      </w:r>
      <w:r w:rsidRPr="0041263F">
        <w:rPr>
          <w:noProof w:val="0"/>
          <w:color w:val="000000" w:themeColor="text1"/>
          <w:szCs w:val="24"/>
        </w:rPr>
        <w:t xml:space="preserve">group dissimilarity </w:t>
      </w:r>
      <w:r>
        <w:rPr>
          <w:noProof w:val="0"/>
          <w:color w:val="000000" w:themeColor="text1"/>
          <w:szCs w:val="24"/>
        </w:rPr>
        <w:t>(%) for each region compared to their distance (km) between each other.</w:t>
      </w:r>
      <w:r w:rsidR="005254C2">
        <w:rPr>
          <w:noProof w:val="0"/>
          <w:szCs w:val="24"/>
        </w:rPr>
        <w:t xml:space="preserve"> </w:t>
      </w:r>
      <w:r w:rsidR="00206C6F">
        <w:rPr>
          <w:noProof w:val="0"/>
          <w:color w:val="000000" w:themeColor="text1"/>
          <w:szCs w:val="24"/>
        </w:rPr>
        <w:t>X</w:t>
      </w:r>
      <w:r w:rsidR="005254C2">
        <w:rPr>
          <w:noProof w:val="0"/>
          <w:color w:val="000000" w:themeColor="text1"/>
          <w:szCs w:val="24"/>
        </w:rPr>
        <w:t>lsx</w:t>
      </w:r>
    </w:p>
    <w:p w14:paraId="4697E57A" w14:textId="554804CE" w:rsidR="00206C6F" w:rsidRDefault="00206C6F" w:rsidP="004A04C3">
      <w:pPr>
        <w:pStyle w:val="EndNoteBibliography"/>
        <w:spacing w:after="0" w:line="480" w:lineRule="auto"/>
        <w:jc w:val="both"/>
        <w:rPr>
          <w:noProof w:val="0"/>
          <w:color w:val="000000" w:themeColor="text1"/>
          <w:szCs w:val="24"/>
        </w:rPr>
      </w:pPr>
    </w:p>
    <w:p w14:paraId="46ED3824" w14:textId="629F7FAC" w:rsidR="00404EE4" w:rsidRDefault="00404EE4" w:rsidP="004A04C3">
      <w:pPr>
        <w:pStyle w:val="EndNoteBibliography"/>
        <w:spacing w:after="0" w:line="480" w:lineRule="auto"/>
        <w:jc w:val="both"/>
        <w:rPr>
          <w:noProof w:val="0"/>
          <w:color w:val="000000" w:themeColor="text1"/>
          <w:szCs w:val="24"/>
        </w:rPr>
      </w:pPr>
      <w:r w:rsidRPr="00E03DAB">
        <w:rPr>
          <w:b/>
          <w:noProof w:val="0"/>
          <w:color w:val="000000" w:themeColor="text1"/>
          <w:szCs w:val="24"/>
        </w:rPr>
        <w:t>Data S</w:t>
      </w:r>
      <w:r>
        <w:rPr>
          <w:b/>
          <w:noProof w:val="0"/>
          <w:color w:val="000000" w:themeColor="text1"/>
          <w:szCs w:val="24"/>
        </w:rPr>
        <w:t xml:space="preserve">6 </w:t>
      </w:r>
      <w:r w:rsidRPr="00404EE4">
        <w:rPr>
          <w:noProof w:val="0"/>
          <w:color w:val="000000" w:themeColor="text1"/>
          <w:szCs w:val="24"/>
        </w:rPr>
        <w:t xml:space="preserve">Full </w:t>
      </w:r>
      <w:r>
        <w:rPr>
          <w:noProof w:val="0"/>
          <w:color w:val="000000" w:themeColor="text1"/>
          <w:szCs w:val="24"/>
        </w:rPr>
        <w:t>statistical results from the</w:t>
      </w:r>
      <w:r w:rsidRPr="00404EE4">
        <w:rPr>
          <w:noProof w:val="0"/>
          <w:color w:val="000000" w:themeColor="text1"/>
          <w:szCs w:val="24"/>
        </w:rPr>
        <w:t xml:space="preserve"> dbRDA</w:t>
      </w:r>
      <w:r>
        <w:rPr>
          <w:noProof w:val="0"/>
          <w:color w:val="000000" w:themeColor="text1"/>
          <w:szCs w:val="24"/>
        </w:rPr>
        <w:t xml:space="preserve"> analyses in R of the KEGG functional gene data and high-quality MAGs.</w:t>
      </w:r>
    </w:p>
    <w:p w14:paraId="6AE93200" w14:textId="77777777" w:rsidR="00404EE4" w:rsidRDefault="00404EE4" w:rsidP="004A04C3">
      <w:pPr>
        <w:pStyle w:val="EndNoteBibliography"/>
        <w:spacing w:after="0" w:line="480" w:lineRule="auto"/>
        <w:jc w:val="both"/>
        <w:rPr>
          <w:noProof w:val="0"/>
          <w:color w:val="000000" w:themeColor="text1"/>
          <w:szCs w:val="24"/>
        </w:rPr>
      </w:pPr>
    </w:p>
    <w:p w14:paraId="5F3FAF1A" w14:textId="13DDD7E1" w:rsidR="006A7530" w:rsidRDefault="006A7530" w:rsidP="004A04C3">
      <w:pPr>
        <w:pStyle w:val="EndNoteBibliography"/>
        <w:spacing w:after="0" w:line="480" w:lineRule="auto"/>
        <w:jc w:val="both"/>
        <w:rPr>
          <w:noProof w:val="0"/>
          <w:color w:val="000000" w:themeColor="text1"/>
          <w:szCs w:val="24"/>
        </w:rPr>
      </w:pPr>
      <w:r w:rsidRPr="00E03DAB">
        <w:rPr>
          <w:b/>
          <w:noProof w:val="0"/>
          <w:color w:val="000000" w:themeColor="text1"/>
          <w:szCs w:val="24"/>
        </w:rPr>
        <w:t>Data S</w:t>
      </w:r>
      <w:r w:rsidR="008C2932">
        <w:rPr>
          <w:b/>
          <w:noProof w:val="0"/>
          <w:color w:val="000000" w:themeColor="text1"/>
          <w:szCs w:val="24"/>
        </w:rPr>
        <w:t>7</w:t>
      </w:r>
      <w:r>
        <w:rPr>
          <w:b/>
          <w:noProof w:val="0"/>
          <w:color w:val="000000" w:themeColor="text1"/>
          <w:szCs w:val="24"/>
        </w:rPr>
        <w:t xml:space="preserve"> </w:t>
      </w:r>
      <w:r w:rsidRPr="006A7530">
        <w:rPr>
          <w:noProof w:val="0"/>
          <w:color w:val="000000" w:themeColor="text1"/>
          <w:szCs w:val="24"/>
        </w:rPr>
        <w:t>Pairwise PERMANOVA</w:t>
      </w:r>
      <w:r>
        <w:rPr>
          <w:noProof w:val="0"/>
          <w:color w:val="000000" w:themeColor="text1"/>
          <w:szCs w:val="24"/>
        </w:rPr>
        <w:t xml:space="preserve"> (9999 permutation) test between regions based on the Bray-Curtis dissimilarity index. The data was tested for the top 10 pathways. The p-values shown are</w:t>
      </w:r>
      <w:r w:rsidR="00D7728D">
        <w:t xml:space="preserve"> </w:t>
      </w:r>
      <w:r>
        <w:rPr>
          <w:noProof w:val="0"/>
          <w:color w:val="000000" w:themeColor="text1"/>
          <w:szCs w:val="24"/>
        </w:rPr>
        <w:t>B</w:t>
      </w:r>
      <w:r w:rsidRPr="006A7530">
        <w:rPr>
          <w:noProof w:val="0"/>
          <w:color w:val="000000" w:themeColor="text1"/>
          <w:szCs w:val="24"/>
        </w:rPr>
        <w:t>onferroni</w:t>
      </w:r>
      <w:r>
        <w:rPr>
          <w:noProof w:val="0"/>
          <w:color w:val="000000" w:themeColor="text1"/>
          <w:szCs w:val="24"/>
        </w:rPr>
        <w:t xml:space="preserve"> corrected for multiple comparisons.</w:t>
      </w:r>
    </w:p>
    <w:p w14:paraId="18E2018A" w14:textId="77777777" w:rsidR="006A7530" w:rsidRDefault="006A7530" w:rsidP="004A04C3">
      <w:pPr>
        <w:pStyle w:val="EndNoteBibliography"/>
        <w:spacing w:after="0" w:line="480" w:lineRule="auto"/>
        <w:jc w:val="both"/>
        <w:rPr>
          <w:noProof w:val="0"/>
          <w:color w:val="000000" w:themeColor="text1"/>
          <w:szCs w:val="24"/>
        </w:rPr>
      </w:pPr>
    </w:p>
    <w:p w14:paraId="028A5006" w14:textId="2C013805" w:rsidR="00206C6F" w:rsidRPr="00EF0FB1" w:rsidRDefault="00206C6F" w:rsidP="00206C6F">
      <w:pPr>
        <w:pStyle w:val="EndNoteBibliography"/>
        <w:spacing w:after="0" w:line="480" w:lineRule="auto"/>
        <w:jc w:val="both"/>
        <w:rPr>
          <w:noProof w:val="0"/>
          <w:color w:val="000000" w:themeColor="text1"/>
          <w:szCs w:val="24"/>
        </w:rPr>
      </w:pPr>
      <w:r w:rsidRPr="00E03DAB">
        <w:rPr>
          <w:b/>
          <w:noProof w:val="0"/>
          <w:color w:val="000000" w:themeColor="text1"/>
          <w:szCs w:val="24"/>
        </w:rPr>
        <w:t>Data S</w:t>
      </w:r>
      <w:r w:rsidR="008C2932">
        <w:rPr>
          <w:b/>
          <w:noProof w:val="0"/>
          <w:color w:val="000000" w:themeColor="text1"/>
          <w:szCs w:val="24"/>
        </w:rPr>
        <w:t>8</w:t>
      </w:r>
      <w:r w:rsidRPr="00E03DAB">
        <w:rPr>
          <w:noProof w:val="0"/>
          <w:color w:val="000000" w:themeColor="text1"/>
          <w:szCs w:val="24"/>
        </w:rPr>
        <w:t xml:space="preserve"> </w:t>
      </w:r>
      <w:r>
        <w:rPr>
          <w:noProof w:val="0"/>
          <w:color w:val="000000" w:themeColor="text1"/>
          <w:szCs w:val="24"/>
        </w:rPr>
        <w:t>Full statistical results from linear model analyses in R of the top 10 KEGG pathways plus abiotic variables (collinear variables removed, see methods for more details).</w:t>
      </w:r>
      <w:r>
        <w:rPr>
          <w:noProof w:val="0"/>
          <w:szCs w:val="24"/>
        </w:rPr>
        <w:t xml:space="preserve"> </w:t>
      </w:r>
      <w:r w:rsidR="00B77FA0">
        <w:rPr>
          <w:noProof w:val="0"/>
          <w:szCs w:val="24"/>
        </w:rPr>
        <w:t xml:space="preserve">The second shows the results from the linear model analysis of the </w:t>
      </w:r>
      <w:r w:rsidR="00B77FA0" w:rsidRPr="00B77FA0">
        <w:rPr>
          <w:i/>
          <w:noProof w:val="0"/>
          <w:szCs w:val="24"/>
        </w:rPr>
        <w:t>nrtABCD</w:t>
      </w:r>
      <w:r w:rsidR="00B77FA0">
        <w:rPr>
          <w:noProof w:val="0"/>
          <w:szCs w:val="24"/>
        </w:rPr>
        <w:t xml:space="preserve"> genes. </w:t>
      </w:r>
      <w:r>
        <w:rPr>
          <w:noProof w:val="0"/>
          <w:color w:val="000000" w:themeColor="text1"/>
          <w:szCs w:val="24"/>
        </w:rPr>
        <w:t>xlsx</w:t>
      </w:r>
    </w:p>
    <w:p w14:paraId="7917BE6F" w14:textId="77777777" w:rsidR="00EF0FB1" w:rsidRPr="00E03DAB" w:rsidRDefault="00EF0FB1" w:rsidP="00EF0FB1">
      <w:pPr>
        <w:pStyle w:val="EndNoteBibliography"/>
        <w:spacing w:after="0" w:line="480" w:lineRule="auto"/>
        <w:jc w:val="both"/>
        <w:rPr>
          <w:noProof w:val="0"/>
          <w:color w:val="000000" w:themeColor="text1"/>
          <w:szCs w:val="24"/>
        </w:rPr>
      </w:pPr>
    </w:p>
    <w:p w14:paraId="351B7301" w14:textId="2D89FDAE" w:rsidR="00EF0FB1" w:rsidRDefault="00EF0FB1" w:rsidP="004A04C3">
      <w:pPr>
        <w:pStyle w:val="EndNoteBibliography"/>
        <w:spacing w:after="0" w:line="480" w:lineRule="auto"/>
        <w:jc w:val="both"/>
        <w:rPr>
          <w:noProof w:val="0"/>
          <w:szCs w:val="24"/>
        </w:rPr>
      </w:pPr>
      <w:r w:rsidRPr="00E03DAB">
        <w:rPr>
          <w:b/>
          <w:noProof w:val="0"/>
          <w:color w:val="000000" w:themeColor="text1"/>
          <w:szCs w:val="24"/>
        </w:rPr>
        <w:t>Data S</w:t>
      </w:r>
      <w:r w:rsidR="008C2932">
        <w:rPr>
          <w:b/>
          <w:noProof w:val="0"/>
          <w:color w:val="000000" w:themeColor="text1"/>
          <w:szCs w:val="24"/>
        </w:rPr>
        <w:t>9</w:t>
      </w:r>
      <w:r w:rsidRPr="00E03DAB">
        <w:rPr>
          <w:noProof w:val="0"/>
          <w:color w:val="000000" w:themeColor="text1"/>
          <w:szCs w:val="24"/>
        </w:rPr>
        <w:t xml:space="preserve"> NCB</w:t>
      </w:r>
      <w:r>
        <w:rPr>
          <w:noProof w:val="0"/>
          <w:color w:val="000000" w:themeColor="text1"/>
          <w:szCs w:val="24"/>
        </w:rPr>
        <w:t>I</w:t>
      </w:r>
      <w:r w:rsidRPr="00E03DAB">
        <w:rPr>
          <w:noProof w:val="0"/>
          <w:color w:val="000000" w:themeColor="text1"/>
          <w:szCs w:val="24"/>
        </w:rPr>
        <w:t xml:space="preserve"> RefSeq prokaryotic taxonomic classifications with </w:t>
      </w:r>
      <w:r>
        <w:rPr>
          <w:noProof w:val="0"/>
          <w:color w:val="000000" w:themeColor="text1"/>
          <w:szCs w:val="24"/>
        </w:rPr>
        <w:t xml:space="preserve">station numbers </w:t>
      </w:r>
      <w:r w:rsidRPr="00E03DAB">
        <w:rPr>
          <w:noProof w:val="0"/>
          <w:szCs w:val="24"/>
        </w:rPr>
        <w:t xml:space="preserve">(1 to 59) corresponding to each </w:t>
      </w:r>
      <w:r>
        <w:rPr>
          <w:noProof w:val="0"/>
          <w:szCs w:val="24"/>
        </w:rPr>
        <w:t>station</w:t>
      </w:r>
      <w:r w:rsidRPr="00E03DAB">
        <w:rPr>
          <w:noProof w:val="0"/>
          <w:szCs w:val="24"/>
        </w:rPr>
        <w:t xml:space="preserve"> as listed in Table 1. The first sheet shows normalized read counts as relative abundance (%), while the second sheet shows absolute counts.</w:t>
      </w:r>
      <w:r w:rsidR="005254C2">
        <w:rPr>
          <w:noProof w:val="0"/>
          <w:szCs w:val="24"/>
        </w:rPr>
        <w:t xml:space="preserve"> </w:t>
      </w:r>
      <w:r w:rsidR="005254C2">
        <w:rPr>
          <w:noProof w:val="0"/>
          <w:color w:val="000000" w:themeColor="text1"/>
          <w:szCs w:val="24"/>
        </w:rPr>
        <w:t>xlsx</w:t>
      </w:r>
    </w:p>
    <w:p w14:paraId="32C4BABA" w14:textId="5AE16729" w:rsidR="005254C2" w:rsidRDefault="005254C2" w:rsidP="004A04C3">
      <w:pPr>
        <w:pStyle w:val="EndNoteBibliography"/>
        <w:spacing w:after="0" w:line="480" w:lineRule="auto"/>
        <w:jc w:val="both"/>
        <w:rPr>
          <w:noProof w:val="0"/>
          <w:szCs w:val="24"/>
        </w:rPr>
      </w:pPr>
    </w:p>
    <w:p w14:paraId="56E98481" w14:textId="1B9650FA" w:rsidR="005254C2" w:rsidRDefault="005254C2">
      <w:pPr>
        <w:spacing w:after="160" w:line="259" w:lineRule="auto"/>
        <w:rPr>
          <w:rFonts w:cs="Times New Roman"/>
          <w:szCs w:val="24"/>
        </w:rPr>
      </w:pPr>
      <w:r>
        <w:rPr>
          <w:szCs w:val="24"/>
        </w:rPr>
        <w:br w:type="page"/>
      </w:r>
    </w:p>
    <w:p w14:paraId="56E824BE" w14:textId="1F246459" w:rsidR="005254C2" w:rsidRPr="00850836" w:rsidRDefault="003817C6" w:rsidP="004A04C3">
      <w:pPr>
        <w:pStyle w:val="EndNoteBibliography"/>
        <w:spacing w:after="0" w:line="480" w:lineRule="auto"/>
        <w:jc w:val="both"/>
        <w:rPr>
          <w:i/>
          <w:noProof w:val="0"/>
          <w:szCs w:val="24"/>
        </w:rPr>
      </w:pPr>
      <w:r>
        <w:rPr>
          <w:i/>
          <w:noProof w:val="0"/>
          <w:szCs w:val="24"/>
        </w:rPr>
        <w:lastRenderedPageBreak/>
        <w:t>Supplementary f</w:t>
      </w:r>
      <w:r w:rsidR="005254C2" w:rsidRPr="00850836">
        <w:rPr>
          <w:i/>
          <w:noProof w:val="0"/>
          <w:szCs w:val="24"/>
        </w:rPr>
        <w:t>igures</w:t>
      </w:r>
    </w:p>
    <w:p w14:paraId="579DDFF3" w14:textId="0E32480F" w:rsidR="00CD0D84" w:rsidRDefault="00CD0D84">
      <w:pPr>
        <w:spacing w:after="160" w:line="259" w:lineRule="auto"/>
        <w:rPr>
          <w:color w:val="000000" w:themeColor="text1"/>
          <w:szCs w:val="24"/>
        </w:rPr>
      </w:pPr>
    </w:p>
    <w:p w14:paraId="04E2A45E" w14:textId="6F2635F0" w:rsidR="00CD0D84" w:rsidRDefault="00CD0D84" w:rsidP="00DA0BB2">
      <w:pPr>
        <w:spacing w:after="0" w:line="480" w:lineRule="auto"/>
        <w:jc w:val="center"/>
        <w:rPr>
          <w:color w:val="000000" w:themeColor="text1"/>
          <w:szCs w:val="24"/>
        </w:rPr>
      </w:pPr>
      <w:r>
        <w:rPr>
          <w:noProof/>
          <w:color w:val="000000" w:themeColor="text1"/>
          <w:szCs w:val="24"/>
        </w:rPr>
        <w:drawing>
          <wp:inline distT="0" distB="0" distL="0" distR="0" wp14:anchorId="64738F11" wp14:editId="551F35AA">
            <wp:extent cx="4457700" cy="2774167"/>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a:ext>
                      </a:extLst>
                    </a:blip>
                    <a:srcRect/>
                    <a:stretch>
                      <a:fillRect/>
                    </a:stretch>
                  </pic:blipFill>
                  <pic:spPr bwMode="auto">
                    <a:xfrm>
                      <a:off x="0" y="0"/>
                      <a:ext cx="4461673" cy="2776639"/>
                    </a:xfrm>
                    <a:prstGeom prst="rect">
                      <a:avLst/>
                    </a:prstGeom>
                    <a:noFill/>
                  </pic:spPr>
                </pic:pic>
              </a:graphicData>
            </a:graphic>
          </wp:inline>
        </w:drawing>
      </w:r>
    </w:p>
    <w:p w14:paraId="4E068B90" w14:textId="3A03287D" w:rsidR="00E601DA" w:rsidRDefault="00CD0D84" w:rsidP="005A0392">
      <w:pPr>
        <w:spacing w:line="480" w:lineRule="auto"/>
        <w:jc w:val="both"/>
        <w:rPr>
          <w:color w:val="000000" w:themeColor="text1"/>
          <w:szCs w:val="24"/>
        </w:rPr>
      </w:pPr>
      <w:r w:rsidRPr="00CD0D84">
        <w:rPr>
          <w:b/>
          <w:color w:val="000000" w:themeColor="text1"/>
          <w:szCs w:val="24"/>
        </w:rPr>
        <w:t>Figure S</w:t>
      </w:r>
      <w:r w:rsidR="004D3DBD">
        <w:rPr>
          <w:b/>
          <w:color w:val="000000" w:themeColor="text1"/>
          <w:szCs w:val="24"/>
        </w:rPr>
        <w:t>1</w:t>
      </w:r>
      <w:r>
        <w:rPr>
          <w:color w:val="000000" w:themeColor="text1"/>
          <w:szCs w:val="24"/>
        </w:rPr>
        <w:t xml:space="preserve"> </w:t>
      </w:r>
      <w:r w:rsidR="002F19C6">
        <w:rPr>
          <w:color w:val="000000" w:themeColor="text1"/>
          <w:szCs w:val="24"/>
        </w:rPr>
        <w:t>Shannon’s H of all KEGG KOs for each station. The data was normalized by sub-sampling to the lowest read count (</w:t>
      </w:r>
      <w:r w:rsidR="005227A5" w:rsidRPr="005227A5">
        <w:rPr>
          <w:color w:val="000000" w:themeColor="text1"/>
          <w:szCs w:val="24"/>
        </w:rPr>
        <w:t>982,326</w:t>
      </w:r>
      <w:r w:rsidR="002F19C6">
        <w:rPr>
          <w:color w:val="000000" w:themeColor="text1"/>
          <w:szCs w:val="24"/>
        </w:rPr>
        <w:t xml:space="preserve">). Each dot in the graphs shows the mean after bootstrap </w:t>
      </w:r>
      <w:r w:rsidR="002F19C6">
        <w:rPr>
          <w:rFonts w:cs="Times New Roman"/>
          <w:color w:val="000000" w:themeColor="text1"/>
          <w:szCs w:val="24"/>
        </w:rPr>
        <w:t>×</w:t>
      </w:r>
      <w:r w:rsidR="002F19C6">
        <w:rPr>
          <w:color w:val="000000" w:themeColor="text1"/>
          <w:szCs w:val="24"/>
        </w:rPr>
        <w:t xml:space="preserve"> 100.</w:t>
      </w:r>
    </w:p>
    <w:p w14:paraId="2635105D" w14:textId="5CC1882A" w:rsidR="004D3DBD" w:rsidRDefault="004D3DBD" w:rsidP="005A0392">
      <w:pPr>
        <w:spacing w:line="480" w:lineRule="auto"/>
        <w:jc w:val="both"/>
        <w:rPr>
          <w:color w:val="000000" w:themeColor="text1"/>
          <w:szCs w:val="24"/>
        </w:rPr>
      </w:pPr>
    </w:p>
    <w:p w14:paraId="788AEAF9" w14:textId="77777777" w:rsidR="004D3DBD" w:rsidRDefault="004D3DBD" w:rsidP="004D3DBD">
      <w:pPr>
        <w:pStyle w:val="EndNoteBibliography"/>
        <w:spacing w:line="480" w:lineRule="auto"/>
        <w:jc w:val="both"/>
        <w:rPr>
          <w:noProof w:val="0"/>
          <w:szCs w:val="24"/>
        </w:rPr>
      </w:pPr>
      <w:r>
        <w:rPr>
          <w:szCs w:val="24"/>
        </w:rPr>
        <w:lastRenderedPageBreak/>
        <w:drawing>
          <wp:inline distT="0" distB="0" distL="0" distR="0" wp14:anchorId="3ACE156C" wp14:editId="0F18A8CE">
            <wp:extent cx="6088701" cy="4010890"/>
            <wp:effectExtent l="0" t="0" r="762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6094251" cy="4014546"/>
                    </a:xfrm>
                    <a:prstGeom prst="rect">
                      <a:avLst/>
                    </a:prstGeom>
                    <a:noFill/>
                    <a:ln>
                      <a:noFill/>
                    </a:ln>
                  </pic:spPr>
                </pic:pic>
              </a:graphicData>
            </a:graphic>
          </wp:inline>
        </w:drawing>
      </w:r>
    </w:p>
    <w:p w14:paraId="04653C7C" w14:textId="7E547169" w:rsidR="004D3DBD" w:rsidRDefault="004D3DBD" w:rsidP="004D3DBD">
      <w:pPr>
        <w:spacing w:line="480" w:lineRule="auto"/>
        <w:jc w:val="both"/>
        <w:rPr>
          <w:color w:val="000000" w:themeColor="text1"/>
          <w:szCs w:val="24"/>
        </w:rPr>
      </w:pPr>
      <w:r w:rsidRPr="00E3088B">
        <w:rPr>
          <w:b/>
          <w:color w:val="000000" w:themeColor="text1"/>
          <w:szCs w:val="24"/>
        </w:rPr>
        <w:t xml:space="preserve">Figure </w:t>
      </w:r>
      <w:r>
        <w:rPr>
          <w:b/>
          <w:color w:val="000000" w:themeColor="text1"/>
          <w:szCs w:val="24"/>
        </w:rPr>
        <w:t>S</w:t>
      </w:r>
      <w:r w:rsidR="00823A96">
        <w:rPr>
          <w:b/>
          <w:color w:val="000000" w:themeColor="text1"/>
          <w:szCs w:val="24"/>
        </w:rPr>
        <w:t>2</w:t>
      </w:r>
      <w:r w:rsidRPr="00E3088B">
        <w:rPr>
          <w:color w:val="000000" w:themeColor="text1"/>
          <w:szCs w:val="24"/>
        </w:rPr>
        <w:t xml:space="preserve"> </w:t>
      </w:r>
      <w:r>
        <w:rPr>
          <w:color w:val="000000" w:themeColor="text1"/>
          <w:szCs w:val="24"/>
        </w:rPr>
        <w:t>A) Top ten metabolic pathways, and B) functional genes in the Baltic Sea sediment samples (KEGG KO hits with their respective KEGG pathway shown in parenthesis). KEGG KO identifiers classified to the “F</w:t>
      </w:r>
      <w:r w:rsidRPr="005F725A">
        <w:rPr>
          <w:color w:val="000000" w:themeColor="text1"/>
          <w:szCs w:val="24"/>
        </w:rPr>
        <w:t>unction unknown</w:t>
      </w:r>
      <w:r>
        <w:rPr>
          <w:color w:val="000000" w:themeColor="text1"/>
          <w:szCs w:val="24"/>
        </w:rPr>
        <w:t>” pathway or unclassified metabolism in the “</w:t>
      </w:r>
      <w:r w:rsidRPr="005F725A">
        <w:rPr>
          <w:color w:val="000000" w:themeColor="text1"/>
          <w:szCs w:val="24"/>
        </w:rPr>
        <w:t>Enzymes with EC numbers</w:t>
      </w:r>
      <w:r>
        <w:rPr>
          <w:color w:val="000000" w:themeColor="text1"/>
          <w:szCs w:val="24"/>
        </w:rPr>
        <w:t>”</w:t>
      </w:r>
      <w:r w:rsidRPr="005F725A">
        <w:rPr>
          <w:color w:val="000000" w:themeColor="text1"/>
          <w:szCs w:val="24"/>
        </w:rPr>
        <w:t xml:space="preserve"> </w:t>
      </w:r>
      <w:r>
        <w:rPr>
          <w:color w:val="000000" w:themeColor="text1"/>
          <w:szCs w:val="24"/>
        </w:rPr>
        <w:t>pathway was not included in subpanel (A). The data shown is based on the average CPM-values for all 59 stations (</w:t>
      </w:r>
      <w:r w:rsidRPr="00162C1D">
        <w:rPr>
          <w:color w:val="000000" w:themeColor="text1"/>
          <w:szCs w:val="24"/>
        </w:rPr>
        <w:t>±</w:t>
      </w:r>
      <w:r>
        <w:rPr>
          <w:color w:val="000000" w:themeColor="text1"/>
          <w:szCs w:val="24"/>
        </w:rPr>
        <w:t xml:space="preserve"> SE).</w:t>
      </w:r>
    </w:p>
    <w:p w14:paraId="07919EEF" w14:textId="77777777" w:rsidR="004D3DBD" w:rsidRDefault="004D3DBD" w:rsidP="005A0392">
      <w:pPr>
        <w:spacing w:line="480" w:lineRule="auto"/>
        <w:jc w:val="both"/>
        <w:rPr>
          <w:color w:val="000000" w:themeColor="text1"/>
          <w:szCs w:val="24"/>
        </w:rPr>
      </w:pPr>
    </w:p>
    <w:p w14:paraId="3C7DFEB8" w14:textId="48A1AF9C" w:rsidR="00E601DA" w:rsidRDefault="00E601DA">
      <w:pPr>
        <w:spacing w:after="160" w:line="259" w:lineRule="auto"/>
        <w:rPr>
          <w:color w:val="000000" w:themeColor="text1"/>
          <w:szCs w:val="24"/>
        </w:rPr>
      </w:pPr>
      <w:r>
        <w:rPr>
          <w:color w:val="000000" w:themeColor="text1"/>
          <w:szCs w:val="24"/>
        </w:rPr>
        <w:br w:type="page"/>
      </w:r>
    </w:p>
    <w:p w14:paraId="3763E501" w14:textId="57D424F4" w:rsidR="00E601DA" w:rsidRDefault="00E601DA" w:rsidP="00DA0BB2">
      <w:pPr>
        <w:spacing w:after="0" w:line="480" w:lineRule="auto"/>
        <w:jc w:val="center"/>
        <w:rPr>
          <w:b/>
          <w:color w:val="000000" w:themeColor="text1"/>
          <w:szCs w:val="24"/>
        </w:rPr>
      </w:pPr>
      <w:r>
        <w:rPr>
          <w:b/>
          <w:noProof/>
          <w:color w:val="000000" w:themeColor="text1"/>
          <w:szCs w:val="24"/>
        </w:rPr>
        <w:lastRenderedPageBreak/>
        <w:drawing>
          <wp:inline distT="0" distB="0" distL="0" distR="0" wp14:anchorId="6855429E" wp14:editId="32A9B813">
            <wp:extent cx="4594860" cy="2928873"/>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2807" cy="2933938"/>
                    </a:xfrm>
                    <a:prstGeom prst="rect">
                      <a:avLst/>
                    </a:prstGeom>
                    <a:noFill/>
                  </pic:spPr>
                </pic:pic>
              </a:graphicData>
            </a:graphic>
          </wp:inline>
        </w:drawing>
      </w:r>
    </w:p>
    <w:p w14:paraId="67FEEFD6" w14:textId="34274F00" w:rsidR="00E601DA" w:rsidRDefault="00E601DA" w:rsidP="007F4293">
      <w:pPr>
        <w:spacing w:line="480" w:lineRule="auto"/>
        <w:jc w:val="both"/>
        <w:rPr>
          <w:color w:val="000000" w:themeColor="text1"/>
          <w:szCs w:val="24"/>
        </w:rPr>
      </w:pPr>
      <w:r w:rsidRPr="00CD0D84">
        <w:rPr>
          <w:b/>
          <w:color w:val="000000" w:themeColor="text1"/>
          <w:szCs w:val="24"/>
        </w:rPr>
        <w:t>Figure S</w:t>
      </w:r>
      <w:r>
        <w:rPr>
          <w:b/>
          <w:color w:val="000000" w:themeColor="text1"/>
          <w:szCs w:val="24"/>
        </w:rPr>
        <w:t>3</w:t>
      </w:r>
      <w:r>
        <w:rPr>
          <w:color w:val="000000" w:themeColor="text1"/>
          <w:szCs w:val="24"/>
        </w:rPr>
        <w:t xml:space="preserve"> Shannon’s H of the NCBI RefSeq taxonomy </w:t>
      </w:r>
      <w:r w:rsidR="00B11810">
        <w:rPr>
          <w:color w:val="000000" w:themeColor="text1"/>
          <w:szCs w:val="24"/>
        </w:rPr>
        <w:t xml:space="preserve">based </w:t>
      </w:r>
      <w:r>
        <w:rPr>
          <w:color w:val="000000" w:themeColor="text1"/>
          <w:szCs w:val="24"/>
        </w:rPr>
        <w:t>for each station. The data was normalized by sub-sampling to the lowest read count (</w:t>
      </w:r>
      <w:r w:rsidR="007F4293" w:rsidRPr="007F4293">
        <w:rPr>
          <w:color w:val="000000" w:themeColor="text1"/>
          <w:szCs w:val="24"/>
        </w:rPr>
        <w:t>1</w:t>
      </w:r>
      <w:r w:rsidR="007F4293">
        <w:rPr>
          <w:color w:val="000000" w:themeColor="text1"/>
          <w:szCs w:val="24"/>
        </w:rPr>
        <w:t>,</w:t>
      </w:r>
      <w:r w:rsidR="007F4293" w:rsidRPr="007F4293">
        <w:rPr>
          <w:color w:val="000000" w:themeColor="text1"/>
          <w:szCs w:val="24"/>
        </w:rPr>
        <w:t>063</w:t>
      </w:r>
      <w:r w:rsidR="007F4293">
        <w:rPr>
          <w:color w:val="000000" w:themeColor="text1"/>
          <w:szCs w:val="24"/>
        </w:rPr>
        <w:t>,</w:t>
      </w:r>
      <w:r w:rsidR="007F4293" w:rsidRPr="007F4293">
        <w:rPr>
          <w:color w:val="000000" w:themeColor="text1"/>
          <w:szCs w:val="24"/>
        </w:rPr>
        <w:t>881</w:t>
      </w:r>
      <w:r>
        <w:rPr>
          <w:color w:val="000000" w:themeColor="text1"/>
          <w:szCs w:val="24"/>
        </w:rPr>
        <w:t xml:space="preserve">). Each dot in the graphs shows the mean after bootstrap </w:t>
      </w:r>
      <w:r>
        <w:rPr>
          <w:rFonts w:cs="Times New Roman"/>
          <w:color w:val="000000" w:themeColor="text1"/>
          <w:szCs w:val="24"/>
        </w:rPr>
        <w:t>×</w:t>
      </w:r>
      <w:r>
        <w:rPr>
          <w:color w:val="000000" w:themeColor="text1"/>
          <w:szCs w:val="24"/>
        </w:rPr>
        <w:t xml:space="preserve"> 100.</w:t>
      </w:r>
    </w:p>
    <w:p w14:paraId="463EB981" w14:textId="6F5F73A9" w:rsidR="00A2027E" w:rsidRDefault="00A2027E">
      <w:pPr>
        <w:spacing w:after="160" w:line="259" w:lineRule="auto"/>
        <w:rPr>
          <w:color w:val="000000" w:themeColor="text1"/>
          <w:szCs w:val="24"/>
        </w:rPr>
      </w:pPr>
      <w:r>
        <w:rPr>
          <w:color w:val="000000" w:themeColor="text1"/>
          <w:szCs w:val="24"/>
        </w:rPr>
        <w:br w:type="page"/>
      </w:r>
    </w:p>
    <w:p w14:paraId="10EBBC24" w14:textId="226D8BD4" w:rsidR="00A2027E" w:rsidRDefault="00A2027E" w:rsidP="00DA0BB2">
      <w:pPr>
        <w:spacing w:after="0" w:line="480" w:lineRule="auto"/>
        <w:jc w:val="center"/>
        <w:rPr>
          <w:b/>
          <w:color w:val="000000" w:themeColor="text1"/>
          <w:szCs w:val="24"/>
        </w:rPr>
      </w:pPr>
      <w:r>
        <w:rPr>
          <w:b/>
          <w:noProof/>
          <w:color w:val="000000" w:themeColor="text1"/>
          <w:szCs w:val="24"/>
        </w:rPr>
        <w:lastRenderedPageBreak/>
        <w:drawing>
          <wp:inline distT="0" distB="0" distL="0" distR="0" wp14:anchorId="65BB996E" wp14:editId="5F9A0474">
            <wp:extent cx="5951220" cy="30937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hqprint">
                      <a:extLst>
                        <a:ext uri="{28A0092B-C50C-407E-A947-70E740481C1C}">
                          <a14:useLocalDpi xmlns:a14="http://schemas.microsoft.com/office/drawing/2010/main"/>
                        </a:ext>
                      </a:extLst>
                    </a:blip>
                    <a:srcRect/>
                    <a:stretch>
                      <a:fillRect/>
                    </a:stretch>
                  </pic:blipFill>
                  <pic:spPr bwMode="auto">
                    <a:xfrm>
                      <a:off x="0" y="0"/>
                      <a:ext cx="5951220" cy="3093720"/>
                    </a:xfrm>
                    <a:prstGeom prst="rect">
                      <a:avLst/>
                    </a:prstGeom>
                    <a:noFill/>
                    <a:ln>
                      <a:noFill/>
                    </a:ln>
                  </pic:spPr>
                </pic:pic>
              </a:graphicData>
            </a:graphic>
          </wp:inline>
        </w:drawing>
      </w:r>
    </w:p>
    <w:p w14:paraId="3BE50684" w14:textId="5D4E7AC2" w:rsidR="00A362B2" w:rsidRDefault="00A2027E" w:rsidP="007F4293">
      <w:pPr>
        <w:spacing w:line="480" w:lineRule="auto"/>
        <w:jc w:val="both"/>
        <w:rPr>
          <w:color w:val="000000" w:themeColor="text1"/>
          <w:szCs w:val="24"/>
        </w:rPr>
      </w:pPr>
      <w:r w:rsidRPr="00CD0D84">
        <w:rPr>
          <w:b/>
          <w:color w:val="000000" w:themeColor="text1"/>
          <w:szCs w:val="24"/>
        </w:rPr>
        <w:t>Figure S</w:t>
      </w:r>
      <w:r>
        <w:rPr>
          <w:b/>
          <w:color w:val="000000" w:themeColor="text1"/>
          <w:szCs w:val="24"/>
        </w:rPr>
        <w:t>4</w:t>
      </w:r>
      <w:r>
        <w:rPr>
          <w:color w:val="000000" w:themeColor="text1"/>
          <w:szCs w:val="24"/>
        </w:rPr>
        <w:t xml:space="preserve"> </w:t>
      </w:r>
      <w:r w:rsidR="00B11810" w:rsidRPr="00B11810">
        <w:rPr>
          <w:color w:val="000000" w:themeColor="text1"/>
          <w:szCs w:val="24"/>
        </w:rPr>
        <w:t xml:space="preserve">NMDS showing the beta diversity (Bray-Curtis dissimilarity) of the </w:t>
      </w:r>
      <w:r w:rsidR="00B11810">
        <w:rPr>
          <w:color w:val="000000" w:themeColor="text1"/>
          <w:szCs w:val="24"/>
        </w:rPr>
        <w:t>microbial community (NCBI RefSeq classified taxonomy)</w:t>
      </w:r>
      <w:r w:rsidR="000D665C">
        <w:rPr>
          <w:color w:val="000000" w:themeColor="text1"/>
          <w:szCs w:val="24"/>
        </w:rPr>
        <w:t xml:space="preserve"> at the lowest classified level, i.e. genus</w:t>
      </w:r>
      <w:r w:rsidR="00B11810">
        <w:rPr>
          <w:color w:val="000000" w:themeColor="text1"/>
          <w:szCs w:val="24"/>
        </w:rPr>
        <w:t xml:space="preserve">. The data </w:t>
      </w:r>
      <w:r w:rsidR="008F75D9">
        <w:rPr>
          <w:color w:val="000000" w:themeColor="text1"/>
          <w:szCs w:val="24"/>
        </w:rPr>
        <w:t>was normalized as</w:t>
      </w:r>
      <w:r w:rsidR="00B11810">
        <w:rPr>
          <w:color w:val="000000" w:themeColor="text1"/>
          <w:szCs w:val="24"/>
        </w:rPr>
        <w:t xml:space="preserve"> relative abundances (%)</w:t>
      </w:r>
      <w:r w:rsidR="00B11810" w:rsidRPr="00B11810">
        <w:rPr>
          <w:color w:val="000000" w:themeColor="text1"/>
          <w:szCs w:val="24"/>
        </w:rPr>
        <w:t>.</w:t>
      </w:r>
      <w:r w:rsidR="00F23D6E">
        <w:rPr>
          <w:color w:val="000000" w:themeColor="text1"/>
          <w:szCs w:val="24"/>
        </w:rPr>
        <w:t xml:space="preserve"> </w:t>
      </w:r>
      <w:r w:rsidR="00323F8C">
        <w:rPr>
          <w:color w:val="000000" w:themeColor="text1"/>
          <w:szCs w:val="24"/>
        </w:rPr>
        <w:t xml:space="preserve">The PERMANOVA results are based on testing all </w:t>
      </w:r>
      <w:r w:rsidR="00CE0549">
        <w:rPr>
          <w:color w:val="000000" w:themeColor="text1"/>
          <w:szCs w:val="24"/>
        </w:rPr>
        <w:t>regions</w:t>
      </w:r>
      <w:r w:rsidR="00323F8C">
        <w:rPr>
          <w:color w:val="000000" w:themeColor="text1"/>
          <w:szCs w:val="24"/>
        </w:rPr>
        <w:t xml:space="preserve"> together and shows the pseudo-</w:t>
      </w:r>
      <w:r w:rsidR="00323F8C" w:rsidRPr="00F23D6E">
        <w:rPr>
          <w:i/>
          <w:color w:val="000000" w:themeColor="text1"/>
          <w:szCs w:val="24"/>
        </w:rPr>
        <w:t>F</w:t>
      </w:r>
      <w:r w:rsidR="00323F8C">
        <w:rPr>
          <w:color w:val="000000" w:themeColor="text1"/>
          <w:szCs w:val="24"/>
        </w:rPr>
        <w:t xml:space="preserve"> value.</w:t>
      </w:r>
    </w:p>
    <w:p w14:paraId="26C85BFD" w14:textId="77777777" w:rsidR="00A362B2" w:rsidRDefault="00A362B2">
      <w:pPr>
        <w:spacing w:after="160" w:line="259" w:lineRule="auto"/>
        <w:rPr>
          <w:color w:val="000000" w:themeColor="text1"/>
          <w:szCs w:val="24"/>
        </w:rPr>
      </w:pPr>
      <w:r>
        <w:rPr>
          <w:color w:val="000000" w:themeColor="text1"/>
          <w:szCs w:val="24"/>
        </w:rPr>
        <w:br w:type="page"/>
      </w:r>
    </w:p>
    <w:p w14:paraId="6AD73664" w14:textId="279A0798" w:rsidR="00A2027E" w:rsidRDefault="00A362B2" w:rsidP="007F4293">
      <w:pPr>
        <w:spacing w:line="480" w:lineRule="auto"/>
        <w:jc w:val="both"/>
        <w:rPr>
          <w:color w:val="000000" w:themeColor="text1"/>
          <w:szCs w:val="24"/>
        </w:rPr>
      </w:pPr>
      <w:r w:rsidRPr="00A362B2">
        <w:rPr>
          <w:noProof/>
          <w:color w:val="000000" w:themeColor="text1"/>
          <w:szCs w:val="24"/>
        </w:rPr>
        <w:lastRenderedPageBreak/>
        <w:drawing>
          <wp:inline distT="0" distB="0" distL="0" distR="0" wp14:anchorId="5B221787" wp14:editId="051717A5">
            <wp:extent cx="2490417" cy="275082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a:ext>
                      </a:extLst>
                    </a:blip>
                    <a:stretch>
                      <a:fillRect/>
                    </a:stretch>
                  </pic:blipFill>
                  <pic:spPr>
                    <a:xfrm>
                      <a:off x="0" y="0"/>
                      <a:ext cx="2507195" cy="2769352"/>
                    </a:xfrm>
                    <a:prstGeom prst="rect">
                      <a:avLst/>
                    </a:prstGeom>
                  </pic:spPr>
                </pic:pic>
              </a:graphicData>
            </a:graphic>
          </wp:inline>
        </w:drawing>
      </w:r>
    </w:p>
    <w:p w14:paraId="1FDE2924" w14:textId="28DD1921" w:rsidR="008645BA" w:rsidRDefault="008645BA" w:rsidP="008645BA">
      <w:pPr>
        <w:spacing w:after="0" w:line="480" w:lineRule="auto"/>
        <w:jc w:val="both"/>
        <w:rPr>
          <w:color w:val="000000" w:themeColor="text1"/>
          <w:szCs w:val="24"/>
        </w:rPr>
      </w:pPr>
      <w:r w:rsidRPr="00824128">
        <w:rPr>
          <w:b/>
          <w:color w:val="000000" w:themeColor="text1"/>
          <w:szCs w:val="24"/>
        </w:rPr>
        <w:t xml:space="preserve">Figure </w:t>
      </w:r>
      <w:r>
        <w:rPr>
          <w:b/>
          <w:color w:val="000000" w:themeColor="text1"/>
          <w:szCs w:val="24"/>
        </w:rPr>
        <w:t>S</w:t>
      </w:r>
      <w:r w:rsidRPr="00824128">
        <w:rPr>
          <w:b/>
          <w:color w:val="000000" w:themeColor="text1"/>
          <w:szCs w:val="24"/>
        </w:rPr>
        <w:t>5</w:t>
      </w:r>
      <w:r w:rsidRPr="00824128">
        <w:rPr>
          <w:color w:val="000000" w:themeColor="text1"/>
          <w:szCs w:val="24"/>
        </w:rPr>
        <w:t xml:space="preserve"> </w:t>
      </w:r>
      <w:proofErr w:type="gramStart"/>
      <w:r w:rsidRPr="00824128">
        <w:rPr>
          <w:color w:val="000000" w:themeColor="text1"/>
          <w:szCs w:val="24"/>
        </w:rPr>
        <w:t>The</w:t>
      </w:r>
      <w:proofErr w:type="gramEnd"/>
      <w:r w:rsidRPr="00824128">
        <w:rPr>
          <w:color w:val="000000" w:themeColor="text1"/>
          <w:szCs w:val="24"/>
        </w:rPr>
        <w:t xml:space="preserve"> figure shows the Jaccard distance (y-axis) based on the metabolic distance between the high-quality MAGs in different areas of the Baltic Sea. The MAGs were grouped according to salinity as North (&lt;5), South (&gt;8), or Dead Zones. The metabolic distance between MAGs present in the North and South were also calculated and is shown as “North vs South”. The error bars show SE.</w:t>
      </w:r>
    </w:p>
    <w:p w14:paraId="1827FA2D" w14:textId="50B53E6E" w:rsidR="00646D71" w:rsidRDefault="00646D71">
      <w:pPr>
        <w:spacing w:after="160" w:line="259" w:lineRule="auto"/>
        <w:rPr>
          <w:color w:val="000000" w:themeColor="text1"/>
          <w:szCs w:val="24"/>
        </w:rPr>
      </w:pPr>
      <w:r>
        <w:rPr>
          <w:color w:val="000000" w:themeColor="text1"/>
          <w:szCs w:val="24"/>
        </w:rPr>
        <w:br w:type="page"/>
      </w:r>
    </w:p>
    <w:p w14:paraId="315EB13A" w14:textId="77777777" w:rsidR="005022FC" w:rsidRDefault="005022FC" w:rsidP="00646D71">
      <w:pPr>
        <w:spacing w:line="480" w:lineRule="auto"/>
        <w:jc w:val="both"/>
        <w:rPr>
          <w:color w:val="000000" w:themeColor="text1"/>
          <w:szCs w:val="24"/>
        </w:rPr>
        <w:sectPr w:rsidR="005022FC" w:rsidSect="00095E1D">
          <w:footerReference w:type="default" r:id="rId12"/>
          <w:pgSz w:w="12240" w:h="15840"/>
          <w:pgMar w:top="1440" w:right="1440" w:bottom="1440" w:left="1418" w:header="708" w:footer="708" w:gutter="0"/>
          <w:cols w:space="708"/>
          <w:docGrid w:linePitch="360"/>
        </w:sectPr>
      </w:pPr>
    </w:p>
    <w:p w14:paraId="660DC86F" w14:textId="4878D28F" w:rsidR="00646D71" w:rsidRDefault="00E511C1" w:rsidP="00F02B6D">
      <w:pPr>
        <w:spacing w:after="0" w:line="480" w:lineRule="auto"/>
        <w:jc w:val="center"/>
        <w:rPr>
          <w:color w:val="000000" w:themeColor="text1"/>
          <w:szCs w:val="24"/>
        </w:rPr>
      </w:pPr>
      <w:r>
        <w:rPr>
          <w:noProof/>
          <w:color w:val="000000" w:themeColor="text1"/>
          <w:szCs w:val="24"/>
        </w:rPr>
        <w:lastRenderedPageBreak/>
        <w:drawing>
          <wp:inline distT="0" distB="0" distL="0" distR="0" wp14:anchorId="7FCBC664" wp14:editId="5E32A2DF">
            <wp:extent cx="8214360" cy="4762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hqprint">
                      <a:extLst>
                        <a:ext uri="{28A0092B-C50C-407E-A947-70E740481C1C}">
                          <a14:useLocalDpi xmlns:a14="http://schemas.microsoft.com/office/drawing/2010/main"/>
                        </a:ext>
                      </a:extLst>
                    </a:blip>
                    <a:srcRect/>
                    <a:stretch>
                      <a:fillRect/>
                    </a:stretch>
                  </pic:blipFill>
                  <pic:spPr bwMode="auto">
                    <a:xfrm>
                      <a:off x="0" y="0"/>
                      <a:ext cx="8214360" cy="4762500"/>
                    </a:xfrm>
                    <a:prstGeom prst="rect">
                      <a:avLst/>
                    </a:prstGeom>
                    <a:noFill/>
                    <a:ln>
                      <a:noFill/>
                    </a:ln>
                  </pic:spPr>
                </pic:pic>
              </a:graphicData>
            </a:graphic>
          </wp:inline>
        </w:drawing>
      </w:r>
    </w:p>
    <w:p w14:paraId="5F0C1CBF" w14:textId="00123E12" w:rsidR="005022FC" w:rsidRDefault="001D712A" w:rsidP="00801CDD">
      <w:pPr>
        <w:spacing w:line="480" w:lineRule="auto"/>
        <w:jc w:val="both"/>
        <w:rPr>
          <w:color w:val="000000" w:themeColor="text1"/>
          <w:szCs w:val="24"/>
        </w:rPr>
        <w:sectPr w:rsidR="005022FC" w:rsidSect="005022FC">
          <w:pgSz w:w="15840" w:h="12240" w:orient="landscape"/>
          <w:pgMar w:top="1418" w:right="1440" w:bottom="1440" w:left="1440" w:header="709" w:footer="709" w:gutter="0"/>
          <w:cols w:space="708"/>
          <w:docGrid w:linePitch="360"/>
        </w:sectPr>
      </w:pPr>
      <w:r w:rsidRPr="00CD0D84">
        <w:rPr>
          <w:b/>
          <w:color w:val="000000" w:themeColor="text1"/>
          <w:szCs w:val="24"/>
        </w:rPr>
        <w:t>Figure S</w:t>
      </w:r>
      <w:r w:rsidR="00A362B2">
        <w:rPr>
          <w:b/>
          <w:color w:val="000000" w:themeColor="text1"/>
          <w:szCs w:val="24"/>
        </w:rPr>
        <w:t>6</w:t>
      </w:r>
      <w:r>
        <w:rPr>
          <w:color w:val="000000" w:themeColor="text1"/>
          <w:szCs w:val="24"/>
        </w:rPr>
        <w:t xml:space="preserve"> </w:t>
      </w:r>
      <w:r w:rsidR="00801CDD">
        <w:rPr>
          <w:color w:val="000000" w:themeColor="text1"/>
          <w:szCs w:val="24"/>
        </w:rPr>
        <w:t>Heatmap showing the top relative abundant (%</w:t>
      </w:r>
      <w:r w:rsidR="00F02B6D">
        <w:rPr>
          <w:color w:val="000000" w:themeColor="text1"/>
          <w:szCs w:val="24"/>
        </w:rPr>
        <w:t>, color legend shown on the y-axis</w:t>
      </w:r>
      <w:r w:rsidR="00801CDD">
        <w:rPr>
          <w:color w:val="000000" w:themeColor="text1"/>
          <w:szCs w:val="24"/>
        </w:rPr>
        <w:t xml:space="preserve">) classified hits </w:t>
      </w:r>
      <w:r w:rsidR="0053394A">
        <w:rPr>
          <w:color w:val="000000" w:themeColor="text1"/>
          <w:szCs w:val="24"/>
        </w:rPr>
        <w:t xml:space="preserve">on the lowest taxonomic level </w:t>
      </w:r>
      <w:r w:rsidR="000E079D">
        <w:rPr>
          <w:color w:val="000000" w:themeColor="text1"/>
          <w:szCs w:val="24"/>
        </w:rPr>
        <w:t xml:space="preserve">(genus) </w:t>
      </w:r>
      <w:r w:rsidR="00E7532A">
        <w:rPr>
          <w:color w:val="000000" w:themeColor="text1"/>
          <w:szCs w:val="24"/>
        </w:rPr>
        <w:t>based on the</w:t>
      </w:r>
      <w:r w:rsidR="00801CDD">
        <w:rPr>
          <w:color w:val="000000" w:themeColor="text1"/>
          <w:szCs w:val="24"/>
        </w:rPr>
        <w:t xml:space="preserve"> NCBI RefSeq data. The heatmap is delimited to </w:t>
      </w:r>
      <w:r w:rsidR="0053394A">
        <w:rPr>
          <w:color w:val="000000" w:themeColor="text1"/>
          <w:szCs w:val="24"/>
        </w:rPr>
        <w:t xml:space="preserve">only show </w:t>
      </w:r>
      <w:r w:rsidR="00801CDD">
        <w:rPr>
          <w:color w:val="000000" w:themeColor="text1"/>
          <w:szCs w:val="24"/>
        </w:rPr>
        <w:t>genera &gt; 0.5% average of all samples.</w:t>
      </w:r>
      <w:r w:rsidR="00F02B6D">
        <w:rPr>
          <w:color w:val="000000" w:themeColor="text1"/>
          <w:szCs w:val="24"/>
        </w:rPr>
        <w:t xml:space="preserve"> The x-axis shows the results for each station.</w:t>
      </w:r>
    </w:p>
    <w:p w14:paraId="6F6C33EE" w14:textId="25112B72" w:rsidR="00D32965" w:rsidRPr="00D32965" w:rsidRDefault="00D32965" w:rsidP="005A0392">
      <w:pPr>
        <w:spacing w:line="480" w:lineRule="auto"/>
        <w:jc w:val="both"/>
        <w:rPr>
          <w:i/>
          <w:color w:val="000000" w:themeColor="text1"/>
          <w:szCs w:val="24"/>
        </w:rPr>
      </w:pPr>
      <w:r w:rsidRPr="00D32965">
        <w:rPr>
          <w:i/>
          <w:color w:val="000000" w:themeColor="text1"/>
          <w:szCs w:val="24"/>
        </w:rPr>
        <w:lastRenderedPageBreak/>
        <w:t>Supplementary tables</w:t>
      </w:r>
    </w:p>
    <w:tbl>
      <w:tblPr>
        <w:tblpPr w:leftFromText="141" w:rightFromText="141" w:vertAnchor="page" w:horzAnchor="margin" w:tblpXSpec="center" w:tblpY="4004"/>
        <w:tblW w:w="11968" w:type="dxa"/>
        <w:tblLayout w:type="fixed"/>
        <w:tblCellMar>
          <w:left w:w="70" w:type="dxa"/>
          <w:right w:w="70" w:type="dxa"/>
        </w:tblCellMar>
        <w:tblLook w:val="04A0" w:firstRow="1" w:lastRow="0" w:firstColumn="1" w:lastColumn="0" w:noHBand="0" w:noVBand="1"/>
      </w:tblPr>
      <w:tblGrid>
        <w:gridCol w:w="1276"/>
        <w:gridCol w:w="900"/>
        <w:gridCol w:w="1088"/>
        <w:gridCol w:w="1088"/>
        <w:gridCol w:w="1088"/>
        <w:gridCol w:w="1088"/>
        <w:gridCol w:w="1088"/>
        <w:gridCol w:w="1088"/>
        <w:gridCol w:w="1088"/>
        <w:gridCol w:w="1088"/>
        <w:gridCol w:w="1088"/>
      </w:tblGrid>
      <w:tr w:rsidR="003F05BB" w:rsidRPr="001A2E23" w14:paraId="64B3E010" w14:textId="77777777" w:rsidTr="00E646E7">
        <w:trPr>
          <w:cantSplit/>
          <w:trHeight w:val="561"/>
        </w:trPr>
        <w:tc>
          <w:tcPr>
            <w:tcW w:w="1276" w:type="dxa"/>
            <w:tcBorders>
              <w:bottom w:val="single" w:sz="4" w:space="0" w:color="auto"/>
              <w:right w:val="single" w:sz="4" w:space="0" w:color="auto"/>
            </w:tcBorders>
            <w:shd w:val="clear" w:color="auto" w:fill="auto"/>
            <w:noWrap/>
            <w:vAlign w:val="bottom"/>
            <w:hideMark/>
          </w:tcPr>
          <w:p w14:paraId="2E090BD6" w14:textId="77777777" w:rsidR="003F05BB" w:rsidRPr="00F44732" w:rsidRDefault="003F05BB" w:rsidP="00E646E7">
            <w:pPr>
              <w:spacing w:after="0" w:line="240" w:lineRule="auto"/>
              <w:jc w:val="center"/>
              <w:rPr>
                <w:rFonts w:eastAsia="Times New Roman" w:cs="Times New Roman"/>
                <w:sz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7DFCB" w14:textId="77777777" w:rsidR="003F05BB" w:rsidRPr="00F44732" w:rsidRDefault="003F05BB" w:rsidP="00E646E7">
            <w:pPr>
              <w:spacing w:after="0" w:line="240" w:lineRule="auto"/>
              <w:jc w:val="center"/>
              <w:rPr>
                <w:rFonts w:eastAsia="Times New Roman" w:cs="Times New Roman"/>
                <w:color w:val="000000"/>
                <w:sz w:val="22"/>
              </w:rPr>
            </w:pPr>
            <w:r w:rsidRPr="00F44732">
              <w:rPr>
                <w:rFonts w:eastAsia="Times New Roman" w:cs="Times New Roman"/>
                <w:color w:val="000000"/>
                <w:sz w:val="22"/>
              </w:rPr>
              <w:t>ABC trans</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13A6D" w14:textId="77777777" w:rsidR="003F05BB" w:rsidRPr="00F44732" w:rsidRDefault="003F05BB" w:rsidP="00E646E7">
            <w:pPr>
              <w:spacing w:after="0" w:line="240" w:lineRule="auto"/>
              <w:jc w:val="center"/>
              <w:rPr>
                <w:rFonts w:eastAsia="Times New Roman" w:cs="Times New Roman"/>
                <w:color w:val="000000"/>
                <w:sz w:val="22"/>
              </w:rPr>
            </w:pPr>
            <w:r w:rsidRPr="00F44732">
              <w:rPr>
                <w:rFonts w:eastAsia="Times New Roman" w:cs="Times New Roman"/>
                <w:color w:val="000000"/>
                <w:sz w:val="22"/>
              </w:rPr>
              <w:t>Two-comp</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B2C9C" w14:textId="77777777" w:rsidR="003F05BB" w:rsidRPr="00F44732" w:rsidRDefault="003F05BB" w:rsidP="00E646E7">
            <w:pPr>
              <w:spacing w:after="0" w:line="240" w:lineRule="auto"/>
              <w:jc w:val="center"/>
              <w:rPr>
                <w:rFonts w:eastAsia="Times New Roman" w:cs="Times New Roman"/>
                <w:color w:val="000000"/>
                <w:sz w:val="22"/>
              </w:rPr>
            </w:pPr>
            <w:r w:rsidRPr="00F44732">
              <w:rPr>
                <w:rFonts w:eastAsia="Times New Roman" w:cs="Times New Roman"/>
                <w:color w:val="000000"/>
                <w:sz w:val="22"/>
              </w:rPr>
              <w:t>Glycolysis</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B1B50" w14:textId="77777777" w:rsidR="003F05BB" w:rsidRPr="00F44732" w:rsidRDefault="003F05BB" w:rsidP="00E646E7">
            <w:pPr>
              <w:spacing w:after="0" w:line="240" w:lineRule="auto"/>
              <w:jc w:val="center"/>
              <w:rPr>
                <w:rFonts w:eastAsia="Times New Roman" w:cs="Times New Roman"/>
                <w:color w:val="000000"/>
                <w:sz w:val="22"/>
              </w:rPr>
            </w:pPr>
            <w:r w:rsidRPr="00F44732">
              <w:rPr>
                <w:rFonts w:eastAsia="Times New Roman" w:cs="Times New Roman"/>
                <w:color w:val="000000"/>
                <w:sz w:val="22"/>
              </w:rPr>
              <w:t>Purine met</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3A036" w14:textId="77777777" w:rsidR="003F05BB" w:rsidRPr="00F44732" w:rsidRDefault="003F05BB" w:rsidP="00E646E7">
            <w:pPr>
              <w:spacing w:after="0" w:line="240" w:lineRule="auto"/>
              <w:jc w:val="center"/>
              <w:rPr>
                <w:rFonts w:eastAsia="Times New Roman" w:cs="Times New Roman"/>
                <w:color w:val="000000"/>
                <w:sz w:val="21"/>
                <w:szCs w:val="21"/>
              </w:rPr>
            </w:pPr>
            <w:r w:rsidRPr="00F44732">
              <w:rPr>
                <w:rFonts w:eastAsia="Times New Roman" w:cs="Times New Roman"/>
                <w:color w:val="000000"/>
                <w:sz w:val="21"/>
                <w:szCs w:val="21"/>
              </w:rPr>
              <w:t>Aminoacyl-tRNA</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5EA6B" w14:textId="77777777" w:rsidR="003F05BB" w:rsidRPr="00F44732" w:rsidRDefault="003F05BB" w:rsidP="00E646E7">
            <w:pPr>
              <w:spacing w:after="0" w:line="240" w:lineRule="auto"/>
              <w:jc w:val="center"/>
              <w:rPr>
                <w:rFonts w:eastAsia="Times New Roman" w:cs="Times New Roman"/>
                <w:color w:val="000000"/>
                <w:sz w:val="22"/>
              </w:rPr>
            </w:pPr>
            <w:r w:rsidRPr="00F44732">
              <w:rPr>
                <w:rFonts w:eastAsia="Times New Roman" w:cs="Times New Roman"/>
                <w:color w:val="000000"/>
                <w:sz w:val="22"/>
              </w:rPr>
              <w:t>Rep and repair</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7EEA8E" w14:textId="77777777" w:rsidR="003F05BB" w:rsidRPr="00F44732" w:rsidRDefault="003F05BB" w:rsidP="00E646E7">
            <w:pPr>
              <w:spacing w:after="0" w:line="240" w:lineRule="auto"/>
              <w:jc w:val="center"/>
              <w:rPr>
                <w:rFonts w:eastAsia="Times New Roman" w:cs="Times New Roman"/>
                <w:color w:val="000000"/>
                <w:sz w:val="22"/>
              </w:rPr>
            </w:pPr>
            <w:r w:rsidRPr="00F44732">
              <w:rPr>
                <w:rFonts w:eastAsia="Times New Roman" w:cs="Times New Roman"/>
                <w:color w:val="000000"/>
                <w:sz w:val="22"/>
              </w:rPr>
              <w:t xml:space="preserve">Oxidative </w:t>
            </w:r>
            <w:proofErr w:type="spellStart"/>
            <w:r w:rsidRPr="00F44732">
              <w:rPr>
                <w:rFonts w:eastAsia="Times New Roman" w:cs="Times New Roman"/>
                <w:color w:val="000000"/>
                <w:sz w:val="22"/>
              </w:rPr>
              <w:t>phos</w:t>
            </w:r>
            <w:proofErr w:type="spellEnd"/>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921B4" w14:textId="77777777" w:rsidR="003F05BB" w:rsidRPr="00F44732" w:rsidRDefault="003F05BB" w:rsidP="00E646E7">
            <w:pPr>
              <w:spacing w:after="0" w:line="240" w:lineRule="auto"/>
              <w:jc w:val="center"/>
              <w:rPr>
                <w:rFonts w:eastAsia="Times New Roman" w:cs="Times New Roman"/>
                <w:color w:val="000000"/>
                <w:sz w:val="21"/>
                <w:szCs w:val="21"/>
              </w:rPr>
            </w:pPr>
            <w:r w:rsidRPr="00F44732">
              <w:rPr>
                <w:rFonts w:eastAsia="Times New Roman" w:cs="Times New Roman"/>
                <w:color w:val="000000"/>
                <w:sz w:val="21"/>
                <w:szCs w:val="21"/>
              </w:rPr>
              <w:t>Glyoxylate met</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EC13F" w14:textId="77777777" w:rsidR="003F05BB" w:rsidRPr="00F44732" w:rsidRDefault="003F05BB" w:rsidP="00E646E7">
            <w:pPr>
              <w:spacing w:after="0" w:line="240" w:lineRule="auto"/>
              <w:jc w:val="center"/>
              <w:rPr>
                <w:rFonts w:eastAsia="Times New Roman" w:cs="Times New Roman"/>
                <w:color w:val="000000"/>
                <w:sz w:val="22"/>
              </w:rPr>
            </w:pPr>
            <w:r w:rsidRPr="00F44732">
              <w:rPr>
                <w:rFonts w:eastAsia="Times New Roman" w:cs="Times New Roman"/>
                <w:color w:val="000000"/>
                <w:sz w:val="22"/>
              </w:rPr>
              <w:t>Quorum sensing</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9852F8" w14:textId="77777777" w:rsidR="003F05BB" w:rsidRPr="00F44732" w:rsidRDefault="003F05BB" w:rsidP="00E646E7">
            <w:pPr>
              <w:spacing w:after="0" w:line="240" w:lineRule="auto"/>
              <w:jc w:val="center"/>
              <w:rPr>
                <w:rFonts w:eastAsia="Times New Roman" w:cs="Times New Roman"/>
                <w:color w:val="000000"/>
                <w:sz w:val="22"/>
              </w:rPr>
            </w:pPr>
            <w:r w:rsidRPr="00F44732">
              <w:rPr>
                <w:rFonts w:eastAsia="Times New Roman" w:cs="Times New Roman"/>
                <w:color w:val="000000"/>
                <w:sz w:val="22"/>
              </w:rPr>
              <w:t>Citrate cycle</w:t>
            </w:r>
          </w:p>
        </w:tc>
      </w:tr>
      <w:tr w:rsidR="00F50992" w:rsidRPr="001A2E23" w14:paraId="7C50B2AE" w14:textId="77777777" w:rsidTr="000A6093">
        <w:trPr>
          <w:trHeight w:val="288"/>
        </w:trPr>
        <w:tc>
          <w:tcPr>
            <w:tcW w:w="1276" w:type="dxa"/>
            <w:tcBorders>
              <w:top w:val="single" w:sz="4" w:space="0" w:color="auto"/>
              <w:left w:val="single" w:sz="4" w:space="0" w:color="auto"/>
              <w:right w:val="single" w:sz="4" w:space="0" w:color="auto"/>
            </w:tcBorders>
            <w:shd w:val="clear" w:color="auto" w:fill="auto"/>
            <w:noWrap/>
            <w:vAlign w:val="bottom"/>
            <w:hideMark/>
          </w:tcPr>
          <w:p w14:paraId="63A7BC46" w14:textId="5ADE5648" w:rsidR="00F50992" w:rsidRPr="00F50992" w:rsidRDefault="00F50992" w:rsidP="00F50992">
            <w:pPr>
              <w:spacing w:after="0" w:line="240" w:lineRule="auto"/>
              <w:jc w:val="right"/>
              <w:rPr>
                <w:rFonts w:eastAsia="Times New Roman" w:cs="Times New Roman"/>
                <w:color w:val="000000"/>
                <w:sz w:val="20"/>
                <w:szCs w:val="20"/>
              </w:rPr>
            </w:pPr>
            <w:r w:rsidRPr="00F50992">
              <w:rPr>
                <w:rFonts w:cs="Times New Roman"/>
                <w:color w:val="000000"/>
                <w:sz w:val="20"/>
                <w:szCs w:val="20"/>
              </w:rPr>
              <w:t>Salinity</w:t>
            </w:r>
          </w:p>
        </w:tc>
        <w:tc>
          <w:tcPr>
            <w:tcW w:w="900" w:type="dxa"/>
            <w:tcBorders>
              <w:top w:val="single" w:sz="4" w:space="0" w:color="auto"/>
              <w:left w:val="single" w:sz="4" w:space="0" w:color="auto"/>
              <w:right w:val="single" w:sz="4" w:space="0" w:color="auto"/>
            </w:tcBorders>
            <w:shd w:val="clear" w:color="auto" w:fill="auto"/>
            <w:noWrap/>
            <w:vAlign w:val="bottom"/>
            <w:hideMark/>
          </w:tcPr>
          <w:p w14:paraId="34EEA9F0" w14:textId="1EA0E9CA"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top w:val="single" w:sz="4" w:space="0" w:color="auto"/>
              <w:left w:val="single" w:sz="4" w:space="0" w:color="auto"/>
              <w:right w:val="single" w:sz="4" w:space="0" w:color="auto"/>
            </w:tcBorders>
            <w:shd w:val="clear" w:color="auto" w:fill="auto"/>
            <w:noWrap/>
            <w:vAlign w:val="bottom"/>
            <w:hideMark/>
          </w:tcPr>
          <w:p w14:paraId="42FA343A" w14:textId="1E35B7DC"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top w:val="single" w:sz="4" w:space="0" w:color="auto"/>
              <w:left w:val="single" w:sz="4" w:space="0" w:color="auto"/>
              <w:right w:val="single" w:sz="4" w:space="0" w:color="auto"/>
            </w:tcBorders>
            <w:shd w:val="clear" w:color="auto" w:fill="auto"/>
            <w:noWrap/>
            <w:vAlign w:val="bottom"/>
            <w:hideMark/>
          </w:tcPr>
          <w:p w14:paraId="13B27F52" w14:textId="300E72AB" w:rsidR="00F50992" w:rsidRPr="00F50992" w:rsidRDefault="00F50992" w:rsidP="00F50992">
            <w:pPr>
              <w:spacing w:after="0" w:line="240" w:lineRule="auto"/>
              <w:jc w:val="center"/>
              <w:rPr>
                <w:rFonts w:eastAsia="Times New Roman" w:cs="Times New Roman"/>
                <w:color w:val="000000"/>
                <w:sz w:val="20"/>
                <w:szCs w:val="20"/>
              </w:rPr>
            </w:pPr>
            <w:r w:rsidRPr="00F50992">
              <w:rPr>
                <w:rFonts w:cs="Times New Roman"/>
                <w:color w:val="000000"/>
                <w:sz w:val="20"/>
                <w:szCs w:val="20"/>
              </w:rPr>
              <w:t>**</w:t>
            </w:r>
          </w:p>
        </w:tc>
        <w:tc>
          <w:tcPr>
            <w:tcW w:w="1088" w:type="dxa"/>
            <w:tcBorders>
              <w:top w:val="single" w:sz="4" w:space="0" w:color="auto"/>
              <w:left w:val="single" w:sz="4" w:space="0" w:color="auto"/>
              <w:right w:val="single" w:sz="4" w:space="0" w:color="auto"/>
            </w:tcBorders>
            <w:shd w:val="clear" w:color="auto" w:fill="auto"/>
            <w:noWrap/>
            <w:vAlign w:val="bottom"/>
            <w:hideMark/>
          </w:tcPr>
          <w:p w14:paraId="41CB35FF" w14:textId="3551E742"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top w:val="single" w:sz="4" w:space="0" w:color="auto"/>
              <w:left w:val="single" w:sz="4" w:space="0" w:color="auto"/>
              <w:right w:val="single" w:sz="4" w:space="0" w:color="auto"/>
            </w:tcBorders>
            <w:shd w:val="clear" w:color="auto" w:fill="auto"/>
            <w:noWrap/>
            <w:vAlign w:val="bottom"/>
            <w:hideMark/>
          </w:tcPr>
          <w:p w14:paraId="2BE33CDF" w14:textId="2221A05A"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top w:val="single" w:sz="4" w:space="0" w:color="auto"/>
              <w:left w:val="single" w:sz="4" w:space="0" w:color="auto"/>
              <w:right w:val="single" w:sz="4" w:space="0" w:color="auto"/>
            </w:tcBorders>
            <w:shd w:val="clear" w:color="auto" w:fill="auto"/>
            <w:noWrap/>
            <w:vAlign w:val="bottom"/>
            <w:hideMark/>
          </w:tcPr>
          <w:p w14:paraId="47A30A8E" w14:textId="57BEA853" w:rsidR="00F50992" w:rsidRPr="00F50992" w:rsidRDefault="00F50992" w:rsidP="00F50992">
            <w:pPr>
              <w:spacing w:after="0" w:line="240" w:lineRule="auto"/>
              <w:jc w:val="center"/>
              <w:rPr>
                <w:rFonts w:eastAsia="Times New Roman" w:cs="Times New Roman"/>
                <w:color w:val="000000"/>
                <w:sz w:val="20"/>
                <w:szCs w:val="20"/>
              </w:rPr>
            </w:pPr>
            <w:r w:rsidRPr="00F50992">
              <w:rPr>
                <w:rFonts w:cs="Times New Roman"/>
                <w:color w:val="000000"/>
                <w:sz w:val="20"/>
                <w:szCs w:val="20"/>
              </w:rPr>
              <w:t>*</w:t>
            </w:r>
          </w:p>
        </w:tc>
        <w:tc>
          <w:tcPr>
            <w:tcW w:w="1088" w:type="dxa"/>
            <w:tcBorders>
              <w:top w:val="single" w:sz="4" w:space="0" w:color="auto"/>
              <w:left w:val="single" w:sz="4" w:space="0" w:color="auto"/>
              <w:right w:val="single" w:sz="4" w:space="0" w:color="auto"/>
            </w:tcBorders>
            <w:shd w:val="clear" w:color="auto" w:fill="auto"/>
            <w:noWrap/>
            <w:vAlign w:val="bottom"/>
            <w:hideMark/>
          </w:tcPr>
          <w:p w14:paraId="54D8D7BB" w14:textId="365C27A2" w:rsidR="00F50992" w:rsidRPr="00F50992" w:rsidRDefault="00F50992" w:rsidP="00F50992">
            <w:pPr>
              <w:spacing w:after="0" w:line="240" w:lineRule="auto"/>
              <w:jc w:val="center"/>
              <w:rPr>
                <w:rFonts w:eastAsia="Times New Roman" w:cs="Times New Roman"/>
                <w:color w:val="000000"/>
                <w:sz w:val="20"/>
                <w:szCs w:val="20"/>
              </w:rPr>
            </w:pPr>
            <w:r w:rsidRPr="00F50992">
              <w:rPr>
                <w:rFonts w:cs="Times New Roman"/>
                <w:color w:val="000000"/>
                <w:sz w:val="20"/>
                <w:szCs w:val="20"/>
              </w:rPr>
              <w:t>**</w:t>
            </w:r>
          </w:p>
        </w:tc>
        <w:tc>
          <w:tcPr>
            <w:tcW w:w="1088" w:type="dxa"/>
            <w:tcBorders>
              <w:top w:val="single" w:sz="4" w:space="0" w:color="auto"/>
              <w:left w:val="single" w:sz="4" w:space="0" w:color="auto"/>
              <w:right w:val="single" w:sz="4" w:space="0" w:color="auto"/>
            </w:tcBorders>
            <w:shd w:val="clear" w:color="auto" w:fill="auto"/>
            <w:noWrap/>
            <w:vAlign w:val="bottom"/>
            <w:hideMark/>
          </w:tcPr>
          <w:p w14:paraId="1DD8FB39" w14:textId="08693212"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top w:val="single" w:sz="4" w:space="0" w:color="auto"/>
              <w:left w:val="single" w:sz="4" w:space="0" w:color="auto"/>
              <w:right w:val="single" w:sz="4" w:space="0" w:color="auto"/>
            </w:tcBorders>
            <w:shd w:val="clear" w:color="auto" w:fill="auto"/>
            <w:noWrap/>
            <w:vAlign w:val="bottom"/>
            <w:hideMark/>
          </w:tcPr>
          <w:p w14:paraId="282A8ED4" w14:textId="4960313D" w:rsidR="00F50992" w:rsidRPr="00F50992" w:rsidRDefault="00F50992" w:rsidP="00F50992">
            <w:pPr>
              <w:spacing w:after="0" w:line="240" w:lineRule="auto"/>
              <w:jc w:val="center"/>
              <w:rPr>
                <w:rFonts w:eastAsia="Times New Roman" w:cs="Times New Roman"/>
                <w:color w:val="000000"/>
                <w:sz w:val="20"/>
                <w:szCs w:val="20"/>
              </w:rPr>
            </w:pPr>
            <w:r w:rsidRPr="00F50992">
              <w:rPr>
                <w:rFonts w:cs="Times New Roman"/>
                <w:color w:val="000000"/>
                <w:sz w:val="20"/>
                <w:szCs w:val="20"/>
              </w:rPr>
              <w:t>***</w:t>
            </w:r>
          </w:p>
        </w:tc>
        <w:tc>
          <w:tcPr>
            <w:tcW w:w="1088" w:type="dxa"/>
            <w:tcBorders>
              <w:top w:val="single" w:sz="4" w:space="0" w:color="auto"/>
              <w:left w:val="single" w:sz="4" w:space="0" w:color="auto"/>
              <w:right w:val="single" w:sz="4" w:space="0" w:color="auto"/>
            </w:tcBorders>
            <w:shd w:val="clear" w:color="auto" w:fill="auto"/>
            <w:noWrap/>
            <w:vAlign w:val="bottom"/>
            <w:hideMark/>
          </w:tcPr>
          <w:p w14:paraId="03B61BAF" w14:textId="0A4DD8B7" w:rsidR="00F50992" w:rsidRPr="00F50992" w:rsidRDefault="00F50992" w:rsidP="00F50992">
            <w:pPr>
              <w:spacing w:after="0" w:line="240" w:lineRule="auto"/>
              <w:jc w:val="center"/>
              <w:rPr>
                <w:rFonts w:eastAsia="Times New Roman" w:cs="Times New Roman"/>
                <w:color w:val="000000"/>
                <w:sz w:val="20"/>
                <w:szCs w:val="20"/>
              </w:rPr>
            </w:pPr>
          </w:p>
        </w:tc>
      </w:tr>
      <w:tr w:rsidR="00F50992" w:rsidRPr="001A2E23" w14:paraId="14DEA201" w14:textId="77777777" w:rsidTr="000A6093">
        <w:trPr>
          <w:trHeight w:val="288"/>
        </w:trPr>
        <w:tc>
          <w:tcPr>
            <w:tcW w:w="1276" w:type="dxa"/>
            <w:tcBorders>
              <w:left w:val="single" w:sz="4" w:space="0" w:color="auto"/>
              <w:right w:val="single" w:sz="4" w:space="0" w:color="auto"/>
            </w:tcBorders>
            <w:shd w:val="clear" w:color="auto" w:fill="F2F2F2" w:themeFill="background1" w:themeFillShade="F2"/>
            <w:noWrap/>
            <w:vAlign w:val="bottom"/>
            <w:hideMark/>
          </w:tcPr>
          <w:p w14:paraId="3EE3C090" w14:textId="251DA1DE" w:rsidR="00F50992" w:rsidRPr="00F50992" w:rsidRDefault="00F50992" w:rsidP="00F50992">
            <w:pPr>
              <w:spacing w:after="0" w:line="240" w:lineRule="auto"/>
              <w:jc w:val="right"/>
              <w:rPr>
                <w:rFonts w:eastAsia="Times New Roman" w:cs="Times New Roman"/>
                <w:color w:val="000000"/>
                <w:sz w:val="20"/>
                <w:szCs w:val="20"/>
              </w:rPr>
            </w:pPr>
            <w:r w:rsidRPr="00F50992">
              <w:rPr>
                <w:rFonts w:cs="Times New Roman"/>
                <w:color w:val="000000"/>
                <w:sz w:val="20"/>
                <w:szCs w:val="20"/>
              </w:rPr>
              <w:t>Water depth</w:t>
            </w:r>
          </w:p>
        </w:tc>
        <w:tc>
          <w:tcPr>
            <w:tcW w:w="900" w:type="dxa"/>
            <w:tcBorders>
              <w:left w:val="single" w:sz="4" w:space="0" w:color="auto"/>
              <w:right w:val="single" w:sz="4" w:space="0" w:color="auto"/>
            </w:tcBorders>
            <w:shd w:val="clear" w:color="auto" w:fill="F2F2F2" w:themeFill="background1" w:themeFillShade="F2"/>
            <w:noWrap/>
            <w:vAlign w:val="bottom"/>
          </w:tcPr>
          <w:p w14:paraId="425F17D3" w14:textId="7CD787B4" w:rsidR="00F50992" w:rsidRPr="00F50992" w:rsidRDefault="00F50992" w:rsidP="00F50992">
            <w:pPr>
              <w:spacing w:after="0" w:line="240" w:lineRule="auto"/>
              <w:jc w:val="center"/>
              <w:rPr>
                <w:rFonts w:eastAsia="Times New Roman" w:cs="Times New Roman"/>
                <w:color w:val="000000"/>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F2F2F2" w:themeFill="background1" w:themeFillShade="F2"/>
            <w:noWrap/>
            <w:vAlign w:val="bottom"/>
          </w:tcPr>
          <w:p w14:paraId="5521C661"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0BC45115" w14:textId="737DFE39"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05673DF1" w14:textId="77777777"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64BFF993" w14:textId="438EB809" w:rsidR="00F50992" w:rsidRPr="00F50992" w:rsidRDefault="00F50992" w:rsidP="00F50992">
            <w:pPr>
              <w:spacing w:after="0" w:line="240" w:lineRule="auto"/>
              <w:jc w:val="center"/>
              <w:rPr>
                <w:rFonts w:eastAsia="Times New Roman" w:cs="Times New Roman"/>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F2F2F2" w:themeFill="background1" w:themeFillShade="F2"/>
            <w:noWrap/>
            <w:vAlign w:val="bottom"/>
          </w:tcPr>
          <w:p w14:paraId="33D670FE" w14:textId="38BB24FD" w:rsidR="00F50992" w:rsidRPr="00F50992" w:rsidRDefault="00F50992" w:rsidP="00F50992">
            <w:pPr>
              <w:spacing w:after="0" w:line="240" w:lineRule="auto"/>
              <w:jc w:val="center"/>
              <w:rPr>
                <w:rFonts w:eastAsia="Times New Roman" w:cs="Times New Roman"/>
                <w:color w:val="000000"/>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F2F2F2" w:themeFill="background1" w:themeFillShade="F2"/>
            <w:noWrap/>
            <w:vAlign w:val="bottom"/>
          </w:tcPr>
          <w:p w14:paraId="44B98C07" w14:textId="7E86BEB8"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1D3DB486" w14:textId="77777777"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63433332" w14:textId="124F9D9F"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2410000C" w14:textId="77777777" w:rsidR="00F50992" w:rsidRPr="00F50992" w:rsidRDefault="00F50992" w:rsidP="00F50992">
            <w:pPr>
              <w:spacing w:after="0" w:line="240" w:lineRule="auto"/>
              <w:jc w:val="center"/>
              <w:rPr>
                <w:rFonts w:eastAsia="Times New Roman" w:cs="Times New Roman"/>
                <w:color w:val="000000"/>
                <w:sz w:val="20"/>
                <w:szCs w:val="20"/>
              </w:rPr>
            </w:pPr>
          </w:p>
        </w:tc>
      </w:tr>
      <w:tr w:rsidR="00F50992" w:rsidRPr="001A2E23" w14:paraId="07F6A5AD" w14:textId="77777777" w:rsidTr="000A6093">
        <w:trPr>
          <w:trHeight w:val="288"/>
        </w:trPr>
        <w:tc>
          <w:tcPr>
            <w:tcW w:w="1276" w:type="dxa"/>
            <w:tcBorders>
              <w:left w:val="single" w:sz="4" w:space="0" w:color="auto"/>
              <w:right w:val="single" w:sz="4" w:space="0" w:color="auto"/>
            </w:tcBorders>
            <w:shd w:val="clear" w:color="auto" w:fill="auto"/>
            <w:noWrap/>
            <w:vAlign w:val="bottom"/>
            <w:hideMark/>
          </w:tcPr>
          <w:p w14:paraId="3BF9CB71" w14:textId="2D0CCEA1" w:rsidR="00F50992" w:rsidRPr="00F50992" w:rsidRDefault="00F50992" w:rsidP="00F50992">
            <w:pPr>
              <w:spacing w:after="0" w:line="240" w:lineRule="auto"/>
              <w:jc w:val="right"/>
              <w:rPr>
                <w:rFonts w:eastAsia="Times New Roman" w:cs="Times New Roman"/>
                <w:color w:val="000000"/>
                <w:sz w:val="20"/>
                <w:szCs w:val="20"/>
              </w:rPr>
            </w:pPr>
            <w:r w:rsidRPr="00F50992">
              <w:rPr>
                <w:rFonts w:cs="Times New Roman"/>
                <w:color w:val="000000"/>
                <w:sz w:val="20"/>
                <w:szCs w:val="20"/>
              </w:rPr>
              <w:t>C/N</w:t>
            </w:r>
          </w:p>
        </w:tc>
        <w:tc>
          <w:tcPr>
            <w:tcW w:w="900" w:type="dxa"/>
            <w:tcBorders>
              <w:left w:val="single" w:sz="4" w:space="0" w:color="auto"/>
              <w:right w:val="single" w:sz="4" w:space="0" w:color="auto"/>
            </w:tcBorders>
            <w:shd w:val="clear" w:color="auto" w:fill="auto"/>
            <w:noWrap/>
            <w:vAlign w:val="bottom"/>
          </w:tcPr>
          <w:p w14:paraId="78FE8809" w14:textId="75B76700" w:rsidR="00F50992" w:rsidRPr="00F50992" w:rsidRDefault="00F50992" w:rsidP="00F50992">
            <w:pPr>
              <w:spacing w:after="0" w:line="240" w:lineRule="auto"/>
              <w:jc w:val="center"/>
              <w:rPr>
                <w:rFonts w:eastAsia="Times New Roman" w:cs="Times New Roman"/>
                <w:color w:val="000000"/>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auto"/>
            <w:noWrap/>
            <w:vAlign w:val="bottom"/>
          </w:tcPr>
          <w:p w14:paraId="57B5C73D" w14:textId="17F76669" w:rsidR="00F50992" w:rsidRPr="00F50992" w:rsidRDefault="00F50992" w:rsidP="00F50992">
            <w:pPr>
              <w:spacing w:after="0" w:line="240" w:lineRule="auto"/>
              <w:jc w:val="center"/>
              <w:rPr>
                <w:rFonts w:eastAsia="Times New Roman" w:cs="Times New Roman"/>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auto"/>
            <w:noWrap/>
            <w:vAlign w:val="bottom"/>
          </w:tcPr>
          <w:p w14:paraId="73A966AB" w14:textId="092083EB" w:rsidR="00F50992" w:rsidRPr="00F50992" w:rsidRDefault="00F50992" w:rsidP="00F50992">
            <w:pPr>
              <w:spacing w:after="0" w:line="240" w:lineRule="auto"/>
              <w:jc w:val="center"/>
              <w:rPr>
                <w:rFonts w:eastAsia="Times New Roman" w:cs="Times New Roman"/>
                <w:color w:val="000000"/>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auto"/>
            <w:noWrap/>
            <w:vAlign w:val="bottom"/>
          </w:tcPr>
          <w:p w14:paraId="44D4A375" w14:textId="3F718392"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auto"/>
            <w:noWrap/>
            <w:vAlign w:val="bottom"/>
          </w:tcPr>
          <w:p w14:paraId="2C8FAABA" w14:textId="00D15089"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auto"/>
            <w:noWrap/>
            <w:vAlign w:val="bottom"/>
          </w:tcPr>
          <w:p w14:paraId="1E9578A4" w14:textId="790B38BC"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auto"/>
            <w:noWrap/>
            <w:vAlign w:val="bottom"/>
          </w:tcPr>
          <w:p w14:paraId="6741E199" w14:textId="77777777"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auto"/>
            <w:noWrap/>
            <w:vAlign w:val="bottom"/>
          </w:tcPr>
          <w:p w14:paraId="6578A95C"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auto"/>
            <w:noWrap/>
            <w:vAlign w:val="bottom"/>
          </w:tcPr>
          <w:p w14:paraId="61061526" w14:textId="3E8C8181" w:rsidR="00F50992" w:rsidRPr="00F50992" w:rsidRDefault="00F50992" w:rsidP="00F50992">
            <w:pPr>
              <w:spacing w:after="0" w:line="240" w:lineRule="auto"/>
              <w:jc w:val="center"/>
              <w:rPr>
                <w:rFonts w:eastAsia="Times New Roman" w:cs="Times New Roman"/>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auto"/>
            <w:noWrap/>
            <w:vAlign w:val="bottom"/>
          </w:tcPr>
          <w:p w14:paraId="41662DC5" w14:textId="01DE8AC2" w:rsidR="00F50992" w:rsidRPr="00F50992" w:rsidRDefault="00F50992" w:rsidP="00F50992">
            <w:pPr>
              <w:spacing w:after="0" w:line="240" w:lineRule="auto"/>
              <w:jc w:val="center"/>
              <w:rPr>
                <w:rFonts w:eastAsia="Times New Roman" w:cs="Times New Roman"/>
                <w:color w:val="000000"/>
                <w:sz w:val="20"/>
                <w:szCs w:val="20"/>
              </w:rPr>
            </w:pPr>
          </w:p>
        </w:tc>
      </w:tr>
      <w:tr w:rsidR="00F50992" w:rsidRPr="001A2E23" w14:paraId="39609E7D" w14:textId="77777777" w:rsidTr="000A6093">
        <w:trPr>
          <w:trHeight w:val="288"/>
        </w:trPr>
        <w:tc>
          <w:tcPr>
            <w:tcW w:w="1276" w:type="dxa"/>
            <w:tcBorders>
              <w:left w:val="single" w:sz="4" w:space="0" w:color="auto"/>
              <w:right w:val="single" w:sz="4" w:space="0" w:color="auto"/>
            </w:tcBorders>
            <w:shd w:val="clear" w:color="auto" w:fill="F2F2F2" w:themeFill="background1" w:themeFillShade="F2"/>
            <w:noWrap/>
            <w:vAlign w:val="bottom"/>
            <w:hideMark/>
          </w:tcPr>
          <w:p w14:paraId="1C3E9FC9" w14:textId="523815B3" w:rsidR="00F50992" w:rsidRPr="00F50992" w:rsidRDefault="00F50992" w:rsidP="00F50992">
            <w:pPr>
              <w:spacing w:after="0" w:line="240" w:lineRule="auto"/>
              <w:jc w:val="right"/>
              <w:rPr>
                <w:rFonts w:eastAsia="Times New Roman" w:cs="Times New Roman"/>
                <w:color w:val="000000"/>
                <w:sz w:val="20"/>
                <w:szCs w:val="20"/>
              </w:rPr>
            </w:pPr>
            <w:r w:rsidRPr="00F50992">
              <w:rPr>
                <w:rFonts w:cs="Times New Roman"/>
                <w:color w:val="000000"/>
                <w:sz w:val="20"/>
                <w:szCs w:val="20"/>
              </w:rPr>
              <w:t>TC</w:t>
            </w:r>
          </w:p>
        </w:tc>
        <w:tc>
          <w:tcPr>
            <w:tcW w:w="900" w:type="dxa"/>
            <w:tcBorders>
              <w:left w:val="single" w:sz="4" w:space="0" w:color="auto"/>
              <w:right w:val="single" w:sz="4" w:space="0" w:color="auto"/>
            </w:tcBorders>
            <w:shd w:val="clear" w:color="auto" w:fill="F2F2F2" w:themeFill="background1" w:themeFillShade="F2"/>
            <w:noWrap/>
            <w:vAlign w:val="bottom"/>
          </w:tcPr>
          <w:p w14:paraId="2984B5DE" w14:textId="5AD33BCC"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6341C2F0" w14:textId="4CA5670B" w:rsidR="00F50992" w:rsidRPr="00F50992" w:rsidRDefault="00F50992" w:rsidP="00F50992">
            <w:pPr>
              <w:spacing w:after="0" w:line="240" w:lineRule="auto"/>
              <w:jc w:val="center"/>
              <w:rPr>
                <w:rFonts w:eastAsia="Times New Roman" w:cs="Times New Roman"/>
                <w:color w:val="000000"/>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F2F2F2" w:themeFill="background1" w:themeFillShade="F2"/>
            <w:noWrap/>
            <w:vAlign w:val="bottom"/>
          </w:tcPr>
          <w:p w14:paraId="6CE0615A"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7703B6AC" w14:textId="006EE3DF"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6483E3C9" w14:textId="38FCF1C1"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32C6873D" w14:textId="5551AA3E"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053EF43F" w14:textId="39289171" w:rsidR="00F50992" w:rsidRPr="00F50992" w:rsidRDefault="00F50992" w:rsidP="00F50992">
            <w:pPr>
              <w:spacing w:after="0" w:line="240" w:lineRule="auto"/>
              <w:jc w:val="center"/>
              <w:rPr>
                <w:rFonts w:eastAsia="Times New Roman" w:cs="Times New Roman"/>
                <w:color w:val="000000"/>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F2F2F2" w:themeFill="background1" w:themeFillShade="F2"/>
            <w:noWrap/>
            <w:vAlign w:val="bottom"/>
          </w:tcPr>
          <w:p w14:paraId="5B2CDA7E" w14:textId="6377EA62" w:rsidR="00F50992" w:rsidRPr="00F50992" w:rsidRDefault="00F50992" w:rsidP="00F50992">
            <w:pPr>
              <w:spacing w:after="0" w:line="240" w:lineRule="auto"/>
              <w:jc w:val="center"/>
              <w:rPr>
                <w:rFonts w:eastAsia="Times New Roman" w:cs="Times New Roman"/>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F2F2F2" w:themeFill="background1" w:themeFillShade="F2"/>
            <w:noWrap/>
            <w:vAlign w:val="bottom"/>
          </w:tcPr>
          <w:p w14:paraId="62C70A29"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08DDA070" w14:textId="0A67B04F" w:rsidR="00F50992" w:rsidRPr="00F50992" w:rsidRDefault="00F50992" w:rsidP="00F50992">
            <w:pPr>
              <w:spacing w:after="0" w:line="240" w:lineRule="auto"/>
              <w:jc w:val="center"/>
              <w:rPr>
                <w:rFonts w:eastAsia="Times New Roman" w:cs="Times New Roman"/>
                <w:sz w:val="20"/>
                <w:szCs w:val="20"/>
              </w:rPr>
            </w:pPr>
            <w:r w:rsidRPr="00F50992">
              <w:rPr>
                <w:rFonts w:cs="Times New Roman"/>
                <w:color w:val="000000"/>
                <w:sz w:val="20"/>
                <w:szCs w:val="20"/>
              </w:rPr>
              <w:t>**</w:t>
            </w:r>
          </w:p>
        </w:tc>
      </w:tr>
      <w:tr w:rsidR="00F50992" w:rsidRPr="001A2E23" w14:paraId="60227282" w14:textId="77777777" w:rsidTr="000A6093">
        <w:trPr>
          <w:trHeight w:val="288"/>
        </w:trPr>
        <w:tc>
          <w:tcPr>
            <w:tcW w:w="1276" w:type="dxa"/>
            <w:tcBorders>
              <w:left w:val="single" w:sz="4" w:space="0" w:color="auto"/>
              <w:right w:val="single" w:sz="4" w:space="0" w:color="auto"/>
            </w:tcBorders>
            <w:shd w:val="clear" w:color="auto" w:fill="auto"/>
            <w:noWrap/>
            <w:vAlign w:val="bottom"/>
            <w:hideMark/>
          </w:tcPr>
          <w:p w14:paraId="4AACE4EC" w14:textId="20B5F7CE" w:rsidR="00F50992" w:rsidRPr="00F50992" w:rsidRDefault="00F50992" w:rsidP="00F50992">
            <w:pPr>
              <w:spacing w:after="0" w:line="240" w:lineRule="auto"/>
              <w:jc w:val="right"/>
              <w:rPr>
                <w:rFonts w:eastAsia="Times New Roman" w:cs="Times New Roman"/>
                <w:color w:val="000000"/>
                <w:sz w:val="20"/>
                <w:szCs w:val="20"/>
              </w:rPr>
            </w:pPr>
            <w:r w:rsidRPr="00F50992">
              <w:rPr>
                <w:rFonts w:cs="Times New Roman"/>
                <w:color w:val="000000"/>
                <w:sz w:val="20"/>
                <w:szCs w:val="20"/>
              </w:rPr>
              <w:t>Temperature</w:t>
            </w:r>
          </w:p>
        </w:tc>
        <w:tc>
          <w:tcPr>
            <w:tcW w:w="900" w:type="dxa"/>
            <w:tcBorders>
              <w:left w:val="single" w:sz="4" w:space="0" w:color="auto"/>
              <w:right w:val="single" w:sz="4" w:space="0" w:color="auto"/>
            </w:tcBorders>
            <w:shd w:val="clear" w:color="auto" w:fill="auto"/>
            <w:noWrap/>
            <w:vAlign w:val="bottom"/>
          </w:tcPr>
          <w:p w14:paraId="65D6FE75" w14:textId="77777777"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auto"/>
            <w:noWrap/>
            <w:vAlign w:val="bottom"/>
          </w:tcPr>
          <w:p w14:paraId="03ECCEB6"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auto"/>
            <w:noWrap/>
            <w:vAlign w:val="bottom"/>
          </w:tcPr>
          <w:p w14:paraId="2EC2C76D" w14:textId="43B5867F" w:rsidR="00F50992" w:rsidRPr="00F50992" w:rsidRDefault="00F50992" w:rsidP="00F50992">
            <w:pPr>
              <w:spacing w:after="0" w:line="240" w:lineRule="auto"/>
              <w:jc w:val="center"/>
              <w:rPr>
                <w:rFonts w:eastAsia="Times New Roman" w:cs="Times New Roman"/>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auto"/>
            <w:noWrap/>
            <w:vAlign w:val="bottom"/>
          </w:tcPr>
          <w:p w14:paraId="016979FE" w14:textId="25F59EAA"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auto"/>
            <w:noWrap/>
            <w:vAlign w:val="bottom"/>
          </w:tcPr>
          <w:p w14:paraId="4679AD23"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auto"/>
            <w:noWrap/>
            <w:vAlign w:val="bottom"/>
          </w:tcPr>
          <w:p w14:paraId="44F3E378" w14:textId="2A5D3CBC" w:rsidR="00F50992" w:rsidRPr="00F50992" w:rsidRDefault="00F50992" w:rsidP="00F50992">
            <w:pPr>
              <w:spacing w:after="0" w:line="240" w:lineRule="auto"/>
              <w:jc w:val="center"/>
              <w:rPr>
                <w:rFonts w:eastAsia="Times New Roman" w:cs="Times New Roman"/>
                <w:color w:val="000000"/>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auto"/>
            <w:noWrap/>
            <w:vAlign w:val="bottom"/>
          </w:tcPr>
          <w:p w14:paraId="5B6A4A09" w14:textId="77777777"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auto"/>
            <w:noWrap/>
            <w:vAlign w:val="bottom"/>
          </w:tcPr>
          <w:p w14:paraId="17A71423"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auto"/>
            <w:noWrap/>
            <w:vAlign w:val="bottom"/>
          </w:tcPr>
          <w:p w14:paraId="7FBC4685"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auto"/>
            <w:noWrap/>
            <w:vAlign w:val="bottom"/>
          </w:tcPr>
          <w:p w14:paraId="74EA6B47" w14:textId="6A21541F" w:rsidR="00F50992" w:rsidRPr="00F50992" w:rsidRDefault="00F50992" w:rsidP="00F50992">
            <w:pPr>
              <w:spacing w:after="0" w:line="240" w:lineRule="auto"/>
              <w:jc w:val="center"/>
              <w:rPr>
                <w:rFonts w:eastAsia="Times New Roman" w:cs="Times New Roman"/>
                <w:color w:val="000000"/>
                <w:sz w:val="20"/>
                <w:szCs w:val="20"/>
              </w:rPr>
            </w:pPr>
            <w:r w:rsidRPr="00F50992">
              <w:rPr>
                <w:rFonts w:cs="Times New Roman"/>
                <w:color w:val="000000"/>
                <w:sz w:val="20"/>
                <w:szCs w:val="20"/>
              </w:rPr>
              <w:t>*</w:t>
            </w:r>
          </w:p>
        </w:tc>
      </w:tr>
      <w:tr w:rsidR="00F50992" w:rsidRPr="001A2E23" w14:paraId="66495254" w14:textId="77777777" w:rsidTr="000A6093">
        <w:trPr>
          <w:trHeight w:val="288"/>
        </w:trPr>
        <w:tc>
          <w:tcPr>
            <w:tcW w:w="1276" w:type="dxa"/>
            <w:tcBorders>
              <w:left w:val="single" w:sz="4" w:space="0" w:color="auto"/>
              <w:right w:val="single" w:sz="4" w:space="0" w:color="auto"/>
            </w:tcBorders>
            <w:shd w:val="clear" w:color="auto" w:fill="F2F2F2" w:themeFill="background1" w:themeFillShade="F2"/>
            <w:noWrap/>
            <w:vAlign w:val="bottom"/>
            <w:hideMark/>
          </w:tcPr>
          <w:p w14:paraId="248FDED6" w14:textId="268E55EF" w:rsidR="00F50992" w:rsidRPr="00F50992" w:rsidRDefault="00F50992" w:rsidP="00F50992">
            <w:pPr>
              <w:spacing w:after="0" w:line="240" w:lineRule="auto"/>
              <w:jc w:val="right"/>
              <w:rPr>
                <w:rFonts w:eastAsia="Times New Roman" w:cs="Times New Roman"/>
                <w:color w:val="000000"/>
                <w:sz w:val="20"/>
                <w:szCs w:val="20"/>
              </w:rPr>
            </w:pPr>
            <w:r w:rsidRPr="00F50992">
              <w:rPr>
                <w:rFonts w:cs="Times New Roman"/>
                <w:color w:val="000000"/>
                <w:sz w:val="20"/>
                <w:szCs w:val="20"/>
              </w:rPr>
              <w:t>Oxygen</w:t>
            </w:r>
          </w:p>
        </w:tc>
        <w:tc>
          <w:tcPr>
            <w:tcW w:w="900" w:type="dxa"/>
            <w:tcBorders>
              <w:left w:val="single" w:sz="4" w:space="0" w:color="auto"/>
              <w:right w:val="single" w:sz="4" w:space="0" w:color="auto"/>
            </w:tcBorders>
            <w:shd w:val="clear" w:color="auto" w:fill="F2F2F2" w:themeFill="background1" w:themeFillShade="F2"/>
            <w:noWrap/>
            <w:vAlign w:val="bottom"/>
          </w:tcPr>
          <w:p w14:paraId="3E648A04" w14:textId="77777777"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320F7FDD"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17A914E8"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4C93D708"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5EAD2412"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334DC266" w14:textId="3D8387D8"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49278032"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0B6DE066" w14:textId="05973EE3"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1146618E" w14:textId="77777777"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F2F2F2" w:themeFill="background1" w:themeFillShade="F2"/>
            <w:noWrap/>
            <w:vAlign w:val="bottom"/>
          </w:tcPr>
          <w:p w14:paraId="5419366A" w14:textId="4E089EED" w:rsidR="00F50992" w:rsidRPr="00F50992" w:rsidRDefault="00F50992" w:rsidP="00F50992">
            <w:pPr>
              <w:spacing w:after="0" w:line="240" w:lineRule="auto"/>
              <w:jc w:val="center"/>
              <w:rPr>
                <w:rFonts w:eastAsia="Times New Roman" w:cs="Times New Roman"/>
                <w:color w:val="000000"/>
                <w:sz w:val="20"/>
                <w:szCs w:val="20"/>
              </w:rPr>
            </w:pPr>
            <w:r w:rsidRPr="00F50992">
              <w:rPr>
                <w:rFonts w:cs="Times New Roman"/>
                <w:color w:val="000000"/>
                <w:sz w:val="20"/>
                <w:szCs w:val="20"/>
              </w:rPr>
              <w:t>*</w:t>
            </w:r>
          </w:p>
        </w:tc>
      </w:tr>
      <w:tr w:rsidR="00F50992" w:rsidRPr="001A2E23" w14:paraId="53CA809C" w14:textId="77777777" w:rsidTr="00F50992">
        <w:trPr>
          <w:trHeight w:val="288"/>
        </w:trPr>
        <w:tc>
          <w:tcPr>
            <w:tcW w:w="1276" w:type="dxa"/>
            <w:tcBorders>
              <w:left w:val="single" w:sz="4" w:space="0" w:color="auto"/>
              <w:right w:val="single" w:sz="4" w:space="0" w:color="auto"/>
            </w:tcBorders>
            <w:shd w:val="clear" w:color="auto" w:fill="auto"/>
            <w:noWrap/>
            <w:vAlign w:val="bottom"/>
            <w:hideMark/>
          </w:tcPr>
          <w:p w14:paraId="25E847D8" w14:textId="2E259269" w:rsidR="00F50992" w:rsidRPr="00F50992" w:rsidRDefault="00F50992" w:rsidP="00F50992">
            <w:pPr>
              <w:spacing w:after="0" w:line="240" w:lineRule="auto"/>
              <w:jc w:val="right"/>
              <w:rPr>
                <w:rFonts w:eastAsia="Times New Roman" w:cs="Times New Roman"/>
                <w:color w:val="000000"/>
                <w:sz w:val="20"/>
                <w:szCs w:val="20"/>
              </w:rPr>
            </w:pPr>
            <w:r w:rsidRPr="00F50992">
              <w:rPr>
                <w:rFonts w:cs="Times New Roman"/>
                <w:color w:val="000000"/>
                <w:sz w:val="20"/>
                <w:szCs w:val="20"/>
              </w:rPr>
              <w:t>δ15N</w:t>
            </w:r>
          </w:p>
        </w:tc>
        <w:tc>
          <w:tcPr>
            <w:tcW w:w="900" w:type="dxa"/>
            <w:tcBorders>
              <w:left w:val="single" w:sz="4" w:space="0" w:color="auto"/>
              <w:right w:val="single" w:sz="4" w:space="0" w:color="auto"/>
            </w:tcBorders>
            <w:shd w:val="clear" w:color="auto" w:fill="auto"/>
            <w:noWrap/>
            <w:vAlign w:val="bottom"/>
          </w:tcPr>
          <w:p w14:paraId="5B18EF73" w14:textId="77777777"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auto"/>
            <w:noWrap/>
            <w:vAlign w:val="bottom"/>
          </w:tcPr>
          <w:p w14:paraId="66A701A4" w14:textId="726E98F0" w:rsidR="00F50992" w:rsidRPr="00F50992" w:rsidRDefault="00F50992" w:rsidP="00F50992">
            <w:pPr>
              <w:spacing w:after="0" w:line="240" w:lineRule="auto"/>
              <w:jc w:val="center"/>
              <w:rPr>
                <w:rFonts w:eastAsia="Times New Roman" w:cs="Times New Roman"/>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auto"/>
            <w:noWrap/>
            <w:vAlign w:val="bottom"/>
          </w:tcPr>
          <w:p w14:paraId="2FF6DBE0" w14:textId="17EE2461" w:rsidR="00F50992" w:rsidRPr="00F50992" w:rsidRDefault="00F50992" w:rsidP="00F50992">
            <w:pPr>
              <w:spacing w:after="0" w:line="240" w:lineRule="auto"/>
              <w:jc w:val="center"/>
              <w:rPr>
                <w:rFonts w:eastAsia="Times New Roman" w:cs="Times New Roman"/>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auto"/>
            <w:noWrap/>
            <w:vAlign w:val="bottom"/>
          </w:tcPr>
          <w:p w14:paraId="2C5DFE69" w14:textId="7601C876" w:rsidR="00F50992" w:rsidRPr="00F50992" w:rsidRDefault="00F50992" w:rsidP="00F50992">
            <w:pPr>
              <w:spacing w:after="0" w:line="240" w:lineRule="auto"/>
              <w:jc w:val="center"/>
              <w:rPr>
                <w:rFonts w:eastAsia="Times New Roman" w:cs="Times New Roman"/>
                <w:color w:val="000000"/>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auto"/>
            <w:noWrap/>
            <w:vAlign w:val="bottom"/>
          </w:tcPr>
          <w:p w14:paraId="2CF5DA69" w14:textId="77777777"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right w:val="single" w:sz="4" w:space="0" w:color="auto"/>
            </w:tcBorders>
            <w:shd w:val="clear" w:color="auto" w:fill="auto"/>
            <w:noWrap/>
            <w:vAlign w:val="bottom"/>
          </w:tcPr>
          <w:p w14:paraId="6EC8C6EF"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auto"/>
            <w:noWrap/>
            <w:vAlign w:val="bottom"/>
          </w:tcPr>
          <w:p w14:paraId="2784A208"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auto"/>
            <w:noWrap/>
            <w:vAlign w:val="bottom"/>
          </w:tcPr>
          <w:p w14:paraId="2648D344" w14:textId="3D743ABF" w:rsidR="00F50992" w:rsidRPr="00F50992" w:rsidRDefault="00F50992" w:rsidP="00F50992">
            <w:pPr>
              <w:spacing w:after="0" w:line="240" w:lineRule="auto"/>
              <w:jc w:val="center"/>
              <w:rPr>
                <w:rFonts w:eastAsia="Times New Roman" w:cs="Times New Roman"/>
                <w:sz w:val="20"/>
                <w:szCs w:val="20"/>
              </w:rPr>
            </w:pPr>
            <w:r w:rsidRPr="00F50992">
              <w:rPr>
                <w:rFonts w:cs="Times New Roman"/>
                <w:color w:val="000000"/>
                <w:sz w:val="20"/>
                <w:szCs w:val="20"/>
              </w:rPr>
              <w:t>***</w:t>
            </w:r>
          </w:p>
        </w:tc>
        <w:tc>
          <w:tcPr>
            <w:tcW w:w="1088" w:type="dxa"/>
            <w:tcBorders>
              <w:left w:val="single" w:sz="4" w:space="0" w:color="auto"/>
              <w:right w:val="single" w:sz="4" w:space="0" w:color="auto"/>
            </w:tcBorders>
            <w:shd w:val="clear" w:color="auto" w:fill="auto"/>
            <w:noWrap/>
            <w:vAlign w:val="bottom"/>
          </w:tcPr>
          <w:p w14:paraId="52DDA0AF"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right w:val="single" w:sz="4" w:space="0" w:color="auto"/>
            </w:tcBorders>
            <w:shd w:val="clear" w:color="auto" w:fill="auto"/>
            <w:noWrap/>
            <w:vAlign w:val="bottom"/>
          </w:tcPr>
          <w:p w14:paraId="1B6A3045" w14:textId="2EFE902C" w:rsidR="00F50992" w:rsidRPr="00F50992" w:rsidRDefault="00F50992" w:rsidP="00F50992">
            <w:pPr>
              <w:spacing w:after="0" w:line="240" w:lineRule="auto"/>
              <w:jc w:val="center"/>
              <w:rPr>
                <w:rFonts w:eastAsia="Times New Roman" w:cs="Times New Roman"/>
                <w:sz w:val="20"/>
                <w:szCs w:val="20"/>
              </w:rPr>
            </w:pPr>
            <w:r w:rsidRPr="00F50992">
              <w:rPr>
                <w:rFonts w:cs="Times New Roman"/>
                <w:color w:val="000000"/>
                <w:sz w:val="20"/>
                <w:szCs w:val="20"/>
              </w:rPr>
              <w:t>***</w:t>
            </w:r>
          </w:p>
        </w:tc>
      </w:tr>
      <w:tr w:rsidR="00F50992" w:rsidRPr="001A2E23" w14:paraId="3870A295" w14:textId="77777777" w:rsidTr="00F50992">
        <w:trPr>
          <w:trHeight w:val="288"/>
        </w:trPr>
        <w:tc>
          <w:tcPr>
            <w:tcW w:w="1276" w:type="dxa"/>
            <w:tcBorders>
              <w:left w:val="single" w:sz="4" w:space="0" w:color="auto"/>
              <w:bottom w:val="single" w:sz="4" w:space="0" w:color="auto"/>
              <w:right w:val="single" w:sz="4" w:space="0" w:color="auto"/>
            </w:tcBorders>
            <w:shd w:val="clear" w:color="auto" w:fill="F2F2F2" w:themeFill="background1" w:themeFillShade="F2"/>
            <w:noWrap/>
            <w:vAlign w:val="bottom"/>
            <w:hideMark/>
          </w:tcPr>
          <w:p w14:paraId="1AB4CDB2" w14:textId="18E6FC33" w:rsidR="00F50992" w:rsidRPr="00F50992" w:rsidRDefault="00F50992" w:rsidP="00F50992">
            <w:pPr>
              <w:spacing w:after="0" w:line="240" w:lineRule="auto"/>
              <w:jc w:val="right"/>
              <w:rPr>
                <w:rFonts w:eastAsia="Times New Roman" w:cs="Times New Roman"/>
                <w:color w:val="000000"/>
                <w:sz w:val="20"/>
                <w:szCs w:val="20"/>
              </w:rPr>
            </w:pPr>
            <w:r w:rsidRPr="00F50992">
              <w:rPr>
                <w:rFonts w:cs="Times New Roman"/>
                <w:color w:val="000000"/>
                <w:sz w:val="20"/>
                <w:szCs w:val="20"/>
              </w:rPr>
              <w:t>δ13C</w:t>
            </w:r>
          </w:p>
        </w:tc>
        <w:tc>
          <w:tcPr>
            <w:tcW w:w="900" w:type="dxa"/>
            <w:tcBorders>
              <w:left w:val="single" w:sz="4" w:space="0" w:color="auto"/>
              <w:bottom w:val="single" w:sz="4" w:space="0" w:color="auto"/>
              <w:right w:val="single" w:sz="4" w:space="0" w:color="auto"/>
            </w:tcBorders>
            <w:shd w:val="clear" w:color="auto" w:fill="F2F2F2" w:themeFill="background1" w:themeFillShade="F2"/>
            <w:noWrap/>
            <w:vAlign w:val="bottom"/>
          </w:tcPr>
          <w:p w14:paraId="2543E428" w14:textId="7065F130"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bottom w:val="single" w:sz="4" w:space="0" w:color="auto"/>
              <w:right w:val="single" w:sz="4" w:space="0" w:color="auto"/>
            </w:tcBorders>
            <w:shd w:val="clear" w:color="auto" w:fill="F2F2F2" w:themeFill="background1" w:themeFillShade="F2"/>
            <w:noWrap/>
            <w:vAlign w:val="bottom"/>
          </w:tcPr>
          <w:p w14:paraId="389498BD" w14:textId="11E2B547"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bottom w:val="single" w:sz="4" w:space="0" w:color="auto"/>
              <w:right w:val="single" w:sz="4" w:space="0" w:color="auto"/>
            </w:tcBorders>
            <w:shd w:val="clear" w:color="auto" w:fill="F2F2F2" w:themeFill="background1" w:themeFillShade="F2"/>
            <w:noWrap/>
            <w:vAlign w:val="bottom"/>
          </w:tcPr>
          <w:p w14:paraId="37B46C11" w14:textId="41511B91"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bottom w:val="single" w:sz="4" w:space="0" w:color="auto"/>
              <w:right w:val="single" w:sz="4" w:space="0" w:color="auto"/>
            </w:tcBorders>
            <w:shd w:val="clear" w:color="auto" w:fill="F2F2F2" w:themeFill="background1" w:themeFillShade="F2"/>
            <w:noWrap/>
            <w:vAlign w:val="bottom"/>
          </w:tcPr>
          <w:p w14:paraId="1FA2A71D" w14:textId="5F9B5B0C"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bottom w:val="single" w:sz="4" w:space="0" w:color="auto"/>
              <w:right w:val="single" w:sz="4" w:space="0" w:color="auto"/>
            </w:tcBorders>
            <w:shd w:val="clear" w:color="auto" w:fill="F2F2F2" w:themeFill="background1" w:themeFillShade="F2"/>
            <w:noWrap/>
            <w:vAlign w:val="bottom"/>
          </w:tcPr>
          <w:p w14:paraId="3DF1BC55" w14:textId="77777777"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bottom w:val="single" w:sz="4" w:space="0" w:color="auto"/>
              <w:right w:val="single" w:sz="4" w:space="0" w:color="auto"/>
            </w:tcBorders>
            <w:shd w:val="clear" w:color="auto" w:fill="F2F2F2" w:themeFill="background1" w:themeFillShade="F2"/>
            <w:noWrap/>
            <w:vAlign w:val="bottom"/>
          </w:tcPr>
          <w:p w14:paraId="7DD2D693" w14:textId="77777777" w:rsidR="00F50992" w:rsidRPr="00F50992" w:rsidRDefault="00F50992" w:rsidP="00F50992">
            <w:pPr>
              <w:spacing w:after="0" w:line="240" w:lineRule="auto"/>
              <w:jc w:val="center"/>
              <w:rPr>
                <w:rFonts w:eastAsia="Times New Roman" w:cs="Times New Roman"/>
                <w:sz w:val="20"/>
                <w:szCs w:val="20"/>
              </w:rPr>
            </w:pPr>
          </w:p>
        </w:tc>
        <w:tc>
          <w:tcPr>
            <w:tcW w:w="1088" w:type="dxa"/>
            <w:tcBorders>
              <w:left w:val="single" w:sz="4" w:space="0" w:color="auto"/>
              <w:bottom w:val="single" w:sz="4" w:space="0" w:color="auto"/>
              <w:right w:val="single" w:sz="4" w:space="0" w:color="auto"/>
            </w:tcBorders>
            <w:shd w:val="clear" w:color="auto" w:fill="F2F2F2" w:themeFill="background1" w:themeFillShade="F2"/>
            <w:noWrap/>
            <w:vAlign w:val="bottom"/>
          </w:tcPr>
          <w:p w14:paraId="1C7ED378" w14:textId="6600BF3D"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bottom w:val="single" w:sz="4" w:space="0" w:color="auto"/>
              <w:right w:val="single" w:sz="4" w:space="0" w:color="auto"/>
            </w:tcBorders>
            <w:shd w:val="clear" w:color="auto" w:fill="F2F2F2" w:themeFill="background1" w:themeFillShade="F2"/>
            <w:noWrap/>
            <w:vAlign w:val="bottom"/>
          </w:tcPr>
          <w:p w14:paraId="4883650E" w14:textId="77777777"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bottom w:val="single" w:sz="4" w:space="0" w:color="auto"/>
              <w:right w:val="single" w:sz="4" w:space="0" w:color="auto"/>
            </w:tcBorders>
            <w:shd w:val="clear" w:color="auto" w:fill="F2F2F2" w:themeFill="background1" w:themeFillShade="F2"/>
            <w:noWrap/>
            <w:vAlign w:val="bottom"/>
          </w:tcPr>
          <w:p w14:paraId="73C8A858" w14:textId="36947259" w:rsidR="00F50992" w:rsidRPr="00F50992" w:rsidRDefault="00F50992" w:rsidP="00F50992">
            <w:pPr>
              <w:spacing w:after="0" w:line="240" w:lineRule="auto"/>
              <w:jc w:val="center"/>
              <w:rPr>
                <w:rFonts w:eastAsia="Times New Roman" w:cs="Times New Roman"/>
                <w:color w:val="000000"/>
                <w:sz w:val="20"/>
                <w:szCs w:val="20"/>
              </w:rPr>
            </w:pPr>
          </w:p>
        </w:tc>
        <w:tc>
          <w:tcPr>
            <w:tcW w:w="1088" w:type="dxa"/>
            <w:tcBorders>
              <w:left w:val="single" w:sz="4" w:space="0" w:color="auto"/>
              <w:bottom w:val="single" w:sz="4" w:space="0" w:color="auto"/>
              <w:right w:val="single" w:sz="4" w:space="0" w:color="auto"/>
            </w:tcBorders>
            <w:shd w:val="clear" w:color="auto" w:fill="F2F2F2" w:themeFill="background1" w:themeFillShade="F2"/>
            <w:noWrap/>
            <w:vAlign w:val="bottom"/>
          </w:tcPr>
          <w:p w14:paraId="73EF2523" w14:textId="77777777" w:rsidR="00F50992" w:rsidRPr="00F50992" w:rsidRDefault="00F50992" w:rsidP="00F50992">
            <w:pPr>
              <w:spacing w:after="0" w:line="240" w:lineRule="auto"/>
              <w:jc w:val="center"/>
              <w:rPr>
                <w:rFonts w:eastAsia="Times New Roman" w:cs="Times New Roman"/>
                <w:color w:val="000000"/>
                <w:sz w:val="20"/>
                <w:szCs w:val="20"/>
              </w:rPr>
            </w:pPr>
          </w:p>
        </w:tc>
      </w:tr>
    </w:tbl>
    <w:p w14:paraId="4100B86D" w14:textId="4D4EC1DA" w:rsidR="00D32965" w:rsidRDefault="00D32965" w:rsidP="005A0392">
      <w:pPr>
        <w:spacing w:line="480" w:lineRule="auto"/>
        <w:jc w:val="both"/>
        <w:rPr>
          <w:color w:val="000000" w:themeColor="text1"/>
          <w:szCs w:val="24"/>
        </w:rPr>
      </w:pPr>
      <w:r w:rsidRPr="00D32965">
        <w:rPr>
          <w:b/>
          <w:color w:val="000000" w:themeColor="text1"/>
          <w:szCs w:val="24"/>
        </w:rPr>
        <w:t>Table S1</w:t>
      </w:r>
      <w:r>
        <w:rPr>
          <w:color w:val="000000" w:themeColor="text1"/>
          <w:szCs w:val="24"/>
        </w:rPr>
        <w:t xml:space="preserve"> Results from the linear models of the top 10 pathways</w:t>
      </w:r>
      <w:r w:rsidR="00B01791">
        <w:rPr>
          <w:color w:val="000000" w:themeColor="text1"/>
          <w:szCs w:val="24"/>
        </w:rPr>
        <w:t>. The CPM is based on the average CPM values for all station (</w:t>
      </w:r>
      <w:r w:rsidR="00B01791" w:rsidRPr="00B01791">
        <w:rPr>
          <w:i/>
          <w:color w:val="000000" w:themeColor="text1"/>
          <w:szCs w:val="24"/>
        </w:rPr>
        <w:t>n</w:t>
      </w:r>
      <w:r w:rsidR="00B01791">
        <w:rPr>
          <w:color w:val="000000" w:themeColor="text1"/>
          <w:szCs w:val="24"/>
        </w:rPr>
        <w:t xml:space="preserve"> </w:t>
      </w:r>
      <w:r w:rsidR="00B01791" w:rsidRPr="00CC10B0">
        <w:rPr>
          <w:color w:val="000000" w:themeColor="text1"/>
          <w:szCs w:val="24"/>
        </w:rPr>
        <w:t>= 59) as shown in Figure S1. The stars</w:t>
      </w:r>
      <w:r w:rsidR="00B01791">
        <w:rPr>
          <w:color w:val="000000" w:themeColor="text1"/>
          <w:szCs w:val="24"/>
        </w:rPr>
        <w:t xml:space="preserve"> denote: * = </w:t>
      </w:r>
      <w:r w:rsidR="00B01791" w:rsidRPr="00B01791">
        <w:rPr>
          <w:i/>
          <w:color w:val="000000" w:themeColor="text1"/>
          <w:szCs w:val="24"/>
        </w:rPr>
        <w:t>P</w:t>
      </w:r>
      <w:r w:rsidR="00B01791">
        <w:rPr>
          <w:color w:val="000000" w:themeColor="text1"/>
          <w:szCs w:val="24"/>
        </w:rPr>
        <w:t xml:space="preserve"> &lt; 0.05; ** = </w:t>
      </w:r>
      <w:r w:rsidR="00B01791" w:rsidRPr="00B01791">
        <w:rPr>
          <w:i/>
          <w:color w:val="000000" w:themeColor="text1"/>
          <w:szCs w:val="24"/>
        </w:rPr>
        <w:t>P</w:t>
      </w:r>
      <w:r w:rsidR="00B01791">
        <w:rPr>
          <w:color w:val="000000" w:themeColor="text1"/>
          <w:szCs w:val="24"/>
        </w:rPr>
        <w:t xml:space="preserve"> &lt; 0.01 ; *** = </w:t>
      </w:r>
      <w:r w:rsidR="00B01791" w:rsidRPr="00B01791">
        <w:rPr>
          <w:i/>
          <w:color w:val="000000" w:themeColor="text1"/>
          <w:szCs w:val="24"/>
        </w:rPr>
        <w:t>P</w:t>
      </w:r>
      <w:r w:rsidR="00B01791">
        <w:rPr>
          <w:color w:val="000000" w:themeColor="text1"/>
          <w:szCs w:val="24"/>
        </w:rPr>
        <w:t xml:space="preserve"> &lt; 0.001</w:t>
      </w:r>
      <w:r w:rsidR="0043379A">
        <w:rPr>
          <w:color w:val="000000" w:themeColor="text1"/>
          <w:szCs w:val="24"/>
        </w:rPr>
        <w:t>.</w:t>
      </w:r>
    </w:p>
    <w:p w14:paraId="22736CDD" w14:textId="542849ED" w:rsidR="007C51C1" w:rsidRDefault="007C51C1">
      <w:pPr>
        <w:spacing w:after="160" w:line="259" w:lineRule="auto"/>
        <w:rPr>
          <w:color w:val="000000" w:themeColor="text1"/>
          <w:szCs w:val="24"/>
        </w:rPr>
      </w:pPr>
      <w:r>
        <w:rPr>
          <w:color w:val="000000" w:themeColor="text1"/>
          <w:szCs w:val="24"/>
        </w:rPr>
        <w:br w:type="page"/>
      </w:r>
    </w:p>
    <w:p w14:paraId="28A8F78B" w14:textId="3418EEB4" w:rsidR="00D32965" w:rsidRPr="007C51C1" w:rsidRDefault="007C51C1" w:rsidP="00380A3F">
      <w:pPr>
        <w:spacing w:line="480" w:lineRule="auto"/>
        <w:jc w:val="both"/>
        <w:rPr>
          <w:i/>
          <w:color w:val="000000" w:themeColor="text1"/>
          <w:szCs w:val="24"/>
        </w:rPr>
      </w:pPr>
      <w:r w:rsidRPr="007C51C1">
        <w:rPr>
          <w:i/>
          <w:color w:val="000000" w:themeColor="text1"/>
          <w:szCs w:val="24"/>
        </w:rPr>
        <w:lastRenderedPageBreak/>
        <w:t>Text S1</w:t>
      </w:r>
      <w:r>
        <w:rPr>
          <w:i/>
          <w:color w:val="000000" w:themeColor="text1"/>
          <w:szCs w:val="24"/>
        </w:rPr>
        <w:t>: Correlations between abiotic variables</w:t>
      </w:r>
    </w:p>
    <w:p w14:paraId="38C04A9A" w14:textId="58C3BCE0" w:rsidR="007C51C1" w:rsidRPr="003279A7" w:rsidRDefault="007C51C1" w:rsidP="003279A7">
      <w:pPr>
        <w:spacing w:after="0" w:line="480" w:lineRule="auto"/>
        <w:jc w:val="both"/>
        <w:rPr>
          <w:rFonts w:cs="Times New Roman"/>
        </w:rPr>
      </w:pPr>
      <w:r>
        <w:rPr>
          <w:rFonts w:cs="Times New Roman"/>
        </w:rPr>
        <w:t xml:space="preserve">Based on bottom water chemistry data from the 59 stations sampled and correlations (limited to: Pearson’s </w:t>
      </w:r>
      <w:r w:rsidRPr="000B0A5F">
        <w:rPr>
          <w:rFonts w:cs="Times New Roman"/>
          <w:i/>
        </w:rPr>
        <w:t>r</w:t>
      </w:r>
      <w:r>
        <w:rPr>
          <w:rFonts w:cs="Times New Roman"/>
        </w:rPr>
        <w:t xml:space="preserve">-values </w:t>
      </w:r>
      <w:r>
        <w:t>&gt; 0.7 or &lt; -0.7)</w:t>
      </w:r>
      <w:r>
        <w:rPr>
          <w:rFonts w:cs="Times New Roman"/>
        </w:rPr>
        <w:t xml:space="preserve">, salinity was negatively correlated with latitude with the lowest salinity in the north and highest salinity in the southern Baltic Sea (from 2.6 to 16.2 ppt); </w:t>
      </w:r>
      <w:r w:rsidRPr="0011441B">
        <w:rPr>
          <w:rFonts w:cs="Times New Roman"/>
          <w:i/>
        </w:rPr>
        <w:t>r</w:t>
      </w:r>
      <w:r>
        <w:rPr>
          <w:rFonts w:cs="Times New Roman"/>
        </w:rPr>
        <w:t xml:space="preserve"> = -0.79, </w:t>
      </w:r>
      <w:r w:rsidRPr="00482D73">
        <w:rPr>
          <w:rFonts w:cs="Times New Roman"/>
          <w:i/>
        </w:rPr>
        <w:t>P</w:t>
      </w:r>
      <w:r>
        <w:rPr>
          <w:rFonts w:cs="Times New Roman"/>
        </w:rPr>
        <w:t xml:space="preserve"> &lt; 0.001). Similarly, temperature was negatively correlated with latitude with the warmest bottom water in the Baltic Proper and southern Baltic Sea </w:t>
      </w:r>
      <w:r w:rsidRPr="00D55625">
        <w:rPr>
          <w:rFonts w:cs="Times New Roman"/>
        </w:rPr>
        <w:t>(</w:t>
      </w:r>
      <w:r>
        <w:rPr>
          <w:rFonts w:cs="Times New Roman"/>
        </w:rPr>
        <w:t xml:space="preserve">from 0.9 in the north to 11.6°C in mid-Baltic Proper; </w:t>
      </w:r>
      <w:r w:rsidRPr="0011441B">
        <w:rPr>
          <w:rFonts w:cs="Times New Roman"/>
          <w:i/>
        </w:rPr>
        <w:t>r</w:t>
      </w:r>
      <w:r>
        <w:rPr>
          <w:rFonts w:cs="Times New Roman"/>
        </w:rPr>
        <w:t xml:space="preserve"> = -0.70, </w:t>
      </w:r>
      <w:r w:rsidRPr="00482D73">
        <w:rPr>
          <w:rFonts w:cs="Times New Roman"/>
          <w:i/>
        </w:rPr>
        <w:t>P</w:t>
      </w:r>
      <w:r>
        <w:rPr>
          <w:rFonts w:cs="Times New Roman"/>
        </w:rPr>
        <w:t xml:space="preserve"> &lt; 0.001). To see if this was related to the difference in time of sampling, temperature and sampling date (Julian date) was tested with a correlation which indicated that there was no relationship (</w:t>
      </w:r>
      <w:r w:rsidRPr="0011441B">
        <w:rPr>
          <w:rFonts w:cs="Times New Roman"/>
          <w:i/>
        </w:rPr>
        <w:t>r</w:t>
      </w:r>
      <w:r>
        <w:rPr>
          <w:rFonts w:cs="Times New Roman"/>
        </w:rPr>
        <w:t xml:space="preserve"> = 0.04). That organic matter load in the sediment increased the </w:t>
      </w:r>
      <w:r w:rsidR="00C5588B">
        <w:rPr>
          <w:rFonts w:cs="Times New Roman"/>
        </w:rPr>
        <w:t>T</w:t>
      </w:r>
      <w:r>
        <w:rPr>
          <w:rFonts w:cs="Times New Roman"/>
        </w:rPr>
        <w:t xml:space="preserve">C and </w:t>
      </w:r>
      <w:r w:rsidR="00C5588B">
        <w:rPr>
          <w:rFonts w:cs="Times New Roman"/>
        </w:rPr>
        <w:t>T</w:t>
      </w:r>
      <w:r>
        <w:rPr>
          <w:rFonts w:cs="Times New Roman"/>
        </w:rPr>
        <w:t xml:space="preserve">N content was confirmed with sediment </w:t>
      </w:r>
      <w:r w:rsidR="00C5588B">
        <w:rPr>
          <w:rFonts w:cs="Times New Roman"/>
        </w:rPr>
        <w:t>T</w:t>
      </w:r>
      <w:r>
        <w:rPr>
          <w:rFonts w:cs="Times New Roman"/>
        </w:rPr>
        <w:t xml:space="preserve">C % correlating positively with </w:t>
      </w:r>
      <w:r w:rsidR="00C5588B">
        <w:rPr>
          <w:rFonts w:cs="Times New Roman"/>
        </w:rPr>
        <w:t>T</w:t>
      </w:r>
      <w:r>
        <w:rPr>
          <w:rFonts w:cs="Times New Roman"/>
        </w:rPr>
        <w:t>N % (</w:t>
      </w:r>
      <w:r w:rsidRPr="0011441B">
        <w:rPr>
          <w:rFonts w:cs="Times New Roman"/>
          <w:i/>
        </w:rPr>
        <w:t>r</w:t>
      </w:r>
      <w:r>
        <w:rPr>
          <w:rFonts w:cs="Times New Roman"/>
        </w:rPr>
        <w:t xml:space="preserve"> = 0.97, </w:t>
      </w:r>
      <w:r w:rsidRPr="001B327C">
        <w:rPr>
          <w:rFonts w:cs="Times New Roman"/>
          <w:i/>
        </w:rPr>
        <w:t>P</w:t>
      </w:r>
      <w:r>
        <w:rPr>
          <w:rFonts w:cs="Times New Roman"/>
        </w:rPr>
        <w:t xml:space="preserve"> &lt; 0.001), and that both </w:t>
      </w:r>
      <w:r w:rsidR="00C5588B">
        <w:rPr>
          <w:rFonts w:cs="Times New Roman"/>
        </w:rPr>
        <w:t>T</w:t>
      </w:r>
      <w:r>
        <w:rPr>
          <w:rFonts w:cs="Times New Roman"/>
        </w:rPr>
        <w:t xml:space="preserve">C % and </w:t>
      </w:r>
      <w:r w:rsidR="00C5588B">
        <w:rPr>
          <w:rFonts w:cs="Times New Roman"/>
        </w:rPr>
        <w:t>T</w:t>
      </w:r>
      <w:r>
        <w:rPr>
          <w:rFonts w:cs="Times New Roman"/>
        </w:rPr>
        <w:t>N % correlated positively with TC and TN (</w:t>
      </w:r>
      <w:r w:rsidRPr="0011441B">
        <w:rPr>
          <w:rFonts w:cs="Times New Roman"/>
          <w:i/>
        </w:rPr>
        <w:t>r</w:t>
      </w:r>
      <w:r>
        <w:rPr>
          <w:rFonts w:cs="Times New Roman"/>
        </w:rPr>
        <w:t xml:space="preserve"> = 0.75–0.99, </w:t>
      </w:r>
      <w:r w:rsidRPr="001B327C">
        <w:rPr>
          <w:rFonts w:cs="Times New Roman"/>
          <w:i/>
        </w:rPr>
        <w:t>P</w:t>
      </w:r>
      <w:r>
        <w:rPr>
          <w:rFonts w:cs="Times New Roman"/>
        </w:rPr>
        <w:t xml:space="preserve"> &lt; 0.001). However, sediment </w:t>
      </w:r>
      <w:r w:rsidRPr="005D3571">
        <w:rPr>
          <w:rFonts w:cs="Times New Roman"/>
        </w:rPr>
        <w:t>δ</w:t>
      </w:r>
      <w:r w:rsidRPr="005D3571">
        <w:rPr>
          <w:rFonts w:cs="Times New Roman"/>
          <w:vertAlign w:val="superscript"/>
        </w:rPr>
        <w:t>1</w:t>
      </w:r>
      <w:r>
        <w:rPr>
          <w:rFonts w:cs="Times New Roman"/>
          <w:vertAlign w:val="superscript"/>
        </w:rPr>
        <w:t>3</w:t>
      </w:r>
      <w:r>
        <w:rPr>
          <w:rFonts w:cs="Times New Roman"/>
        </w:rPr>
        <w:t xml:space="preserve">C and </w:t>
      </w:r>
      <w:r w:rsidRPr="005D3571">
        <w:rPr>
          <w:rFonts w:cs="Times New Roman"/>
        </w:rPr>
        <w:t>δ</w:t>
      </w:r>
      <w:r w:rsidRPr="005D3571">
        <w:rPr>
          <w:rFonts w:cs="Times New Roman"/>
          <w:vertAlign w:val="superscript"/>
        </w:rPr>
        <w:t>1</w:t>
      </w:r>
      <w:r>
        <w:rPr>
          <w:rFonts w:cs="Times New Roman"/>
          <w:vertAlign w:val="superscript"/>
        </w:rPr>
        <w:t>5</w:t>
      </w:r>
      <w:r w:rsidRPr="005D3571">
        <w:rPr>
          <w:rFonts w:cs="Times New Roman"/>
        </w:rPr>
        <w:t>N</w:t>
      </w:r>
      <w:r>
        <w:rPr>
          <w:rFonts w:cs="Times New Roman"/>
        </w:rPr>
        <w:t xml:space="preserve"> did not correlate strongly with any variables, with the most significant correlations including </w:t>
      </w:r>
      <w:r w:rsidRPr="005D3571">
        <w:rPr>
          <w:rFonts w:cs="Times New Roman"/>
        </w:rPr>
        <w:t>δ</w:t>
      </w:r>
      <w:r w:rsidRPr="005D3571">
        <w:rPr>
          <w:rFonts w:cs="Times New Roman"/>
          <w:vertAlign w:val="superscript"/>
        </w:rPr>
        <w:t>1</w:t>
      </w:r>
      <w:r>
        <w:rPr>
          <w:rFonts w:cs="Times New Roman"/>
          <w:vertAlign w:val="superscript"/>
        </w:rPr>
        <w:t>3</w:t>
      </w:r>
      <w:r>
        <w:rPr>
          <w:rFonts w:cs="Times New Roman"/>
        </w:rPr>
        <w:t xml:space="preserve">C with temperature and </w:t>
      </w:r>
      <w:r w:rsidRPr="005D3571">
        <w:rPr>
          <w:rFonts w:cs="Times New Roman"/>
        </w:rPr>
        <w:t>δ</w:t>
      </w:r>
      <w:r w:rsidRPr="005D3571">
        <w:rPr>
          <w:rFonts w:cs="Times New Roman"/>
          <w:vertAlign w:val="superscript"/>
        </w:rPr>
        <w:t>15</w:t>
      </w:r>
      <w:r w:rsidRPr="005D3571">
        <w:rPr>
          <w:rFonts w:cs="Times New Roman"/>
        </w:rPr>
        <w:t>N</w:t>
      </w:r>
      <w:r>
        <w:rPr>
          <w:rFonts w:cs="Times New Roman"/>
        </w:rPr>
        <w:t xml:space="preserve"> with O</w:t>
      </w:r>
      <w:r w:rsidRPr="005D3571">
        <w:rPr>
          <w:rFonts w:cs="Times New Roman"/>
          <w:vertAlign w:val="subscript"/>
        </w:rPr>
        <w:t>2</w:t>
      </w:r>
      <w:r>
        <w:rPr>
          <w:rFonts w:cs="Times New Roman"/>
        </w:rPr>
        <w:t xml:space="preserve"> (both </w:t>
      </w:r>
      <w:r w:rsidRPr="0011441B">
        <w:rPr>
          <w:rFonts w:cs="Times New Roman"/>
          <w:i/>
        </w:rPr>
        <w:t>r</w:t>
      </w:r>
      <w:r>
        <w:rPr>
          <w:rFonts w:cs="Times New Roman"/>
        </w:rPr>
        <w:t xml:space="preserve"> = 0.60, </w:t>
      </w:r>
      <w:r w:rsidRPr="001B327C">
        <w:rPr>
          <w:rFonts w:cs="Times New Roman"/>
          <w:i/>
        </w:rPr>
        <w:t>P</w:t>
      </w:r>
      <w:r>
        <w:rPr>
          <w:rFonts w:cs="Times New Roman"/>
        </w:rPr>
        <w:t xml:space="preserve"> &lt; 0.001). Almost all stations were normoxic except stations within known Dead Zone regions (defined as &lt; 2 mg/L O</w:t>
      </w:r>
      <w:r w:rsidRPr="00802805">
        <w:rPr>
          <w:rFonts w:cs="Times New Roman"/>
          <w:vertAlign w:val="subscript"/>
        </w:rPr>
        <w:t>2</w:t>
      </w:r>
      <w:r>
        <w:rPr>
          <w:rFonts w:cs="Times New Roman"/>
        </w:rPr>
        <w:t>). Water depth was found to have a weak correlation with O</w:t>
      </w:r>
      <w:r w:rsidRPr="00802805">
        <w:rPr>
          <w:rFonts w:cs="Times New Roman"/>
          <w:vertAlign w:val="subscript"/>
        </w:rPr>
        <w:t>2</w:t>
      </w:r>
      <w:r>
        <w:rPr>
          <w:rFonts w:cs="Times New Roman"/>
        </w:rPr>
        <w:t xml:space="preserve"> (</w:t>
      </w:r>
      <w:r w:rsidRPr="0011441B">
        <w:rPr>
          <w:rFonts w:cs="Times New Roman"/>
          <w:i/>
        </w:rPr>
        <w:t>r</w:t>
      </w:r>
      <w:r>
        <w:rPr>
          <w:rFonts w:cs="Times New Roman"/>
        </w:rPr>
        <w:t xml:space="preserve"> = -0.46, </w:t>
      </w:r>
      <w:r w:rsidRPr="001B327C">
        <w:rPr>
          <w:rFonts w:cs="Times New Roman"/>
          <w:i/>
        </w:rPr>
        <w:t>P</w:t>
      </w:r>
      <w:r>
        <w:rPr>
          <w:rFonts w:cs="Times New Roman"/>
        </w:rPr>
        <w:t xml:space="preserve"> &lt; 0.001) likely explained by the well aerated bottom waters in the northern Baltic, considering that</w:t>
      </w:r>
      <w:r w:rsidR="003279A7">
        <w:rPr>
          <w:rFonts w:cs="Times New Roman"/>
        </w:rPr>
        <w:t xml:space="preserve"> t</w:t>
      </w:r>
      <w:r>
        <w:rPr>
          <w:rFonts w:cs="Times New Roman"/>
        </w:rPr>
        <w:t>he halocline in the more saline mid-south Baltic is associated with low oxygen areas and dead zone formation.</w:t>
      </w:r>
    </w:p>
    <w:sectPr w:rsidR="007C51C1" w:rsidRPr="003279A7" w:rsidSect="00095E1D">
      <w:pgSz w:w="12240" w:h="15840"/>
      <w:pgMar w:top="1440" w:right="144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98AFA5" w14:textId="77777777" w:rsidR="00B26679" w:rsidRDefault="00B26679">
      <w:pPr>
        <w:spacing w:after="0" w:line="240" w:lineRule="auto"/>
      </w:pPr>
      <w:r>
        <w:separator/>
      </w:r>
    </w:p>
  </w:endnote>
  <w:endnote w:type="continuationSeparator" w:id="0">
    <w:p w14:paraId="691C8AD2" w14:textId="77777777" w:rsidR="00B26679" w:rsidRDefault="00B26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1183977"/>
      <w:docPartObj>
        <w:docPartGallery w:val="Page Numbers (Bottom of Page)"/>
        <w:docPartUnique/>
      </w:docPartObj>
    </w:sdtPr>
    <w:sdtEndPr>
      <w:rPr>
        <w:noProof/>
      </w:rPr>
    </w:sdtEndPr>
    <w:sdtContent>
      <w:p w14:paraId="6EDB990D" w14:textId="77777777" w:rsidR="00B54CE1" w:rsidRDefault="00B54CE1">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798B7E55" w14:textId="77777777" w:rsidR="00B54CE1" w:rsidRDefault="00B54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84750B" w14:textId="77777777" w:rsidR="00B26679" w:rsidRDefault="00B26679">
      <w:pPr>
        <w:spacing w:after="0" w:line="240" w:lineRule="auto"/>
      </w:pPr>
      <w:r>
        <w:separator/>
      </w:r>
    </w:p>
  </w:footnote>
  <w:footnote w:type="continuationSeparator" w:id="0">
    <w:p w14:paraId="636EACA7" w14:textId="77777777" w:rsidR="00B26679" w:rsidRDefault="00B266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D0E88"/>
    <w:multiLevelType w:val="hybridMultilevel"/>
    <w:tmpl w:val="6988F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5D5AB2"/>
    <w:multiLevelType w:val="hybridMultilevel"/>
    <w:tmpl w:val="6EF88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AD5070"/>
    <w:multiLevelType w:val="hybridMultilevel"/>
    <w:tmpl w:val="35D82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F753A0"/>
    <w:multiLevelType w:val="hybridMultilevel"/>
    <w:tmpl w:val="E396827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D240B1D"/>
    <w:multiLevelType w:val="hybridMultilevel"/>
    <w:tmpl w:val="24682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2E55AE"/>
    <w:multiLevelType w:val="hybridMultilevel"/>
    <w:tmpl w:val="88720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4F79EA"/>
    <w:multiLevelType w:val="hybridMultilevel"/>
    <w:tmpl w:val="9E56BC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4"/>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9a9rwpew5dszessdtvaz959r9srdavtzzv&quot;&gt;My EndNote Library&lt;record-ids&gt;&lt;item&gt;180&lt;/item&gt;&lt;item&gt;233&lt;/item&gt;&lt;item&gt;282&lt;/item&gt;&lt;item&gt;327&lt;/item&gt;&lt;item&gt;428&lt;/item&gt;&lt;item&gt;649&lt;/item&gt;&lt;item&gt;671&lt;/item&gt;&lt;item&gt;673&lt;/item&gt;&lt;item&gt;731&lt;/item&gt;&lt;item&gt;736&lt;/item&gt;&lt;item&gt;737&lt;/item&gt;&lt;item&gt;740&lt;/item&gt;&lt;item&gt;741&lt;/item&gt;&lt;item&gt;745&lt;/item&gt;&lt;item&gt;768&lt;/item&gt;&lt;item&gt;1011&lt;/item&gt;&lt;item&gt;1040&lt;/item&gt;&lt;item&gt;1041&lt;/item&gt;&lt;item&gt;1042&lt;/item&gt;&lt;item&gt;1092&lt;/item&gt;&lt;item&gt;1093&lt;/item&gt;&lt;item&gt;1362&lt;/item&gt;&lt;item&gt;1363&lt;/item&gt;&lt;item&gt;1364&lt;/item&gt;&lt;item&gt;1405&lt;/item&gt;&lt;item&gt;1406&lt;/item&gt;&lt;item&gt;1407&lt;/item&gt;&lt;/record-ids&gt;&lt;/item&gt;&lt;/Libraries&gt;"/>
  </w:docVars>
  <w:rsids>
    <w:rsidRoot w:val="00BD3E2C"/>
    <w:rsid w:val="000032F0"/>
    <w:rsid w:val="00003DB3"/>
    <w:rsid w:val="0000402D"/>
    <w:rsid w:val="00007CD6"/>
    <w:rsid w:val="000134DF"/>
    <w:rsid w:val="000143C6"/>
    <w:rsid w:val="00016DE0"/>
    <w:rsid w:val="00024BD7"/>
    <w:rsid w:val="00032C49"/>
    <w:rsid w:val="00032DDD"/>
    <w:rsid w:val="000344D8"/>
    <w:rsid w:val="000345B2"/>
    <w:rsid w:val="000421A4"/>
    <w:rsid w:val="00043CA0"/>
    <w:rsid w:val="00044AF9"/>
    <w:rsid w:val="000479DF"/>
    <w:rsid w:val="000551D7"/>
    <w:rsid w:val="00056768"/>
    <w:rsid w:val="00056F51"/>
    <w:rsid w:val="000608FC"/>
    <w:rsid w:val="0006172B"/>
    <w:rsid w:val="00062CF4"/>
    <w:rsid w:val="00066F39"/>
    <w:rsid w:val="0007058A"/>
    <w:rsid w:val="00074522"/>
    <w:rsid w:val="00074BAC"/>
    <w:rsid w:val="0007780E"/>
    <w:rsid w:val="00077AA6"/>
    <w:rsid w:val="00081718"/>
    <w:rsid w:val="00090523"/>
    <w:rsid w:val="00090981"/>
    <w:rsid w:val="00095E1D"/>
    <w:rsid w:val="000A4844"/>
    <w:rsid w:val="000A4ADD"/>
    <w:rsid w:val="000A59C5"/>
    <w:rsid w:val="000A6B90"/>
    <w:rsid w:val="000B0A5F"/>
    <w:rsid w:val="000B7515"/>
    <w:rsid w:val="000C0D3E"/>
    <w:rsid w:val="000C2969"/>
    <w:rsid w:val="000C4EE9"/>
    <w:rsid w:val="000C66DC"/>
    <w:rsid w:val="000C7745"/>
    <w:rsid w:val="000D031D"/>
    <w:rsid w:val="000D665C"/>
    <w:rsid w:val="000D6F26"/>
    <w:rsid w:val="000E079D"/>
    <w:rsid w:val="000E26C6"/>
    <w:rsid w:val="000E4B92"/>
    <w:rsid w:val="000E50A4"/>
    <w:rsid w:val="000E6862"/>
    <w:rsid w:val="000E6DE8"/>
    <w:rsid w:val="000F01D7"/>
    <w:rsid w:val="000F09F3"/>
    <w:rsid w:val="000F0A77"/>
    <w:rsid w:val="000F3555"/>
    <w:rsid w:val="000F41D6"/>
    <w:rsid w:val="000F4E89"/>
    <w:rsid w:val="000F74DD"/>
    <w:rsid w:val="0011010C"/>
    <w:rsid w:val="0011441B"/>
    <w:rsid w:val="0011497E"/>
    <w:rsid w:val="00114D59"/>
    <w:rsid w:val="001174C4"/>
    <w:rsid w:val="0011755E"/>
    <w:rsid w:val="0012004C"/>
    <w:rsid w:val="00123378"/>
    <w:rsid w:val="001257B1"/>
    <w:rsid w:val="00132402"/>
    <w:rsid w:val="00134F09"/>
    <w:rsid w:val="001352F2"/>
    <w:rsid w:val="0013723E"/>
    <w:rsid w:val="00142D32"/>
    <w:rsid w:val="00144266"/>
    <w:rsid w:val="00150C28"/>
    <w:rsid w:val="0015188B"/>
    <w:rsid w:val="0015244C"/>
    <w:rsid w:val="00160F41"/>
    <w:rsid w:val="00162C1D"/>
    <w:rsid w:val="0016311A"/>
    <w:rsid w:val="001651DA"/>
    <w:rsid w:val="00165572"/>
    <w:rsid w:val="00167D06"/>
    <w:rsid w:val="00170DA1"/>
    <w:rsid w:val="00172E25"/>
    <w:rsid w:val="00174470"/>
    <w:rsid w:val="00175BE3"/>
    <w:rsid w:val="001823AA"/>
    <w:rsid w:val="00190259"/>
    <w:rsid w:val="00194CD8"/>
    <w:rsid w:val="0019705E"/>
    <w:rsid w:val="001A316F"/>
    <w:rsid w:val="001A5DE8"/>
    <w:rsid w:val="001B327C"/>
    <w:rsid w:val="001B7734"/>
    <w:rsid w:val="001C2B6C"/>
    <w:rsid w:val="001C2F4D"/>
    <w:rsid w:val="001C442A"/>
    <w:rsid w:val="001D2225"/>
    <w:rsid w:val="001D34DF"/>
    <w:rsid w:val="001D712A"/>
    <w:rsid w:val="001E21E5"/>
    <w:rsid w:val="001F0DAF"/>
    <w:rsid w:val="001F12C4"/>
    <w:rsid w:val="001F2AC4"/>
    <w:rsid w:val="00201F40"/>
    <w:rsid w:val="00203EF2"/>
    <w:rsid w:val="00206C6F"/>
    <w:rsid w:val="0020708C"/>
    <w:rsid w:val="002106C2"/>
    <w:rsid w:val="00211FE1"/>
    <w:rsid w:val="00217FCD"/>
    <w:rsid w:val="0022125C"/>
    <w:rsid w:val="00221B25"/>
    <w:rsid w:val="002224ED"/>
    <w:rsid w:val="00223523"/>
    <w:rsid w:val="00225ED8"/>
    <w:rsid w:val="0022695E"/>
    <w:rsid w:val="00230333"/>
    <w:rsid w:val="00234361"/>
    <w:rsid w:val="00237FA3"/>
    <w:rsid w:val="00240171"/>
    <w:rsid w:val="002436AD"/>
    <w:rsid w:val="00243EC9"/>
    <w:rsid w:val="0025000B"/>
    <w:rsid w:val="002574A6"/>
    <w:rsid w:val="00257713"/>
    <w:rsid w:val="002718A5"/>
    <w:rsid w:val="0027592B"/>
    <w:rsid w:val="0028449A"/>
    <w:rsid w:val="00284CA3"/>
    <w:rsid w:val="002861DF"/>
    <w:rsid w:val="00286B76"/>
    <w:rsid w:val="00287203"/>
    <w:rsid w:val="00287A90"/>
    <w:rsid w:val="00287EC5"/>
    <w:rsid w:val="00290987"/>
    <w:rsid w:val="0029443C"/>
    <w:rsid w:val="0029555C"/>
    <w:rsid w:val="00296598"/>
    <w:rsid w:val="002A0E2C"/>
    <w:rsid w:val="002A3A91"/>
    <w:rsid w:val="002A43D3"/>
    <w:rsid w:val="002A7ACF"/>
    <w:rsid w:val="002A7F56"/>
    <w:rsid w:val="002B047C"/>
    <w:rsid w:val="002B0659"/>
    <w:rsid w:val="002B1019"/>
    <w:rsid w:val="002B17F1"/>
    <w:rsid w:val="002C4F76"/>
    <w:rsid w:val="002D4C6E"/>
    <w:rsid w:val="002D59DA"/>
    <w:rsid w:val="002D6912"/>
    <w:rsid w:val="002E147B"/>
    <w:rsid w:val="002E51C0"/>
    <w:rsid w:val="002E6215"/>
    <w:rsid w:val="002E769D"/>
    <w:rsid w:val="002E7E15"/>
    <w:rsid w:val="002F19C6"/>
    <w:rsid w:val="002F31B7"/>
    <w:rsid w:val="002F4278"/>
    <w:rsid w:val="002F5972"/>
    <w:rsid w:val="002F5F99"/>
    <w:rsid w:val="002F7537"/>
    <w:rsid w:val="002F7BF2"/>
    <w:rsid w:val="00300F5C"/>
    <w:rsid w:val="003038EE"/>
    <w:rsid w:val="00305B61"/>
    <w:rsid w:val="00310975"/>
    <w:rsid w:val="00312AFC"/>
    <w:rsid w:val="00315893"/>
    <w:rsid w:val="00323F8C"/>
    <w:rsid w:val="00326EF8"/>
    <w:rsid w:val="003279A7"/>
    <w:rsid w:val="00332E29"/>
    <w:rsid w:val="00336277"/>
    <w:rsid w:val="003460AB"/>
    <w:rsid w:val="003463FA"/>
    <w:rsid w:val="003464D3"/>
    <w:rsid w:val="0035011E"/>
    <w:rsid w:val="00352189"/>
    <w:rsid w:val="0036154A"/>
    <w:rsid w:val="00367A43"/>
    <w:rsid w:val="00372300"/>
    <w:rsid w:val="003751F0"/>
    <w:rsid w:val="003801A0"/>
    <w:rsid w:val="0038079A"/>
    <w:rsid w:val="00380A3F"/>
    <w:rsid w:val="003816AB"/>
    <w:rsid w:val="003817C6"/>
    <w:rsid w:val="00384712"/>
    <w:rsid w:val="00391E64"/>
    <w:rsid w:val="003925E3"/>
    <w:rsid w:val="00393304"/>
    <w:rsid w:val="003951E1"/>
    <w:rsid w:val="00396414"/>
    <w:rsid w:val="00397037"/>
    <w:rsid w:val="003A2396"/>
    <w:rsid w:val="003A39D9"/>
    <w:rsid w:val="003A7FF0"/>
    <w:rsid w:val="003B1092"/>
    <w:rsid w:val="003B29E7"/>
    <w:rsid w:val="003B2C48"/>
    <w:rsid w:val="003B3490"/>
    <w:rsid w:val="003B3588"/>
    <w:rsid w:val="003B4019"/>
    <w:rsid w:val="003B7DF5"/>
    <w:rsid w:val="003C1539"/>
    <w:rsid w:val="003C27A0"/>
    <w:rsid w:val="003C3250"/>
    <w:rsid w:val="003D201C"/>
    <w:rsid w:val="003D5693"/>
    <w:rsid w:val="003D75ED"/>
    <w:rsid w:val="003E1742"/>
    <w:rsid w:val="003E2967"/>
    <w:rsid w:val="003E3A6E"/>
    <w:rsid w:val="003E3BF2"/>
    <w:rsid w:val="003E4131"/>
    <w:rsid w:val="003E4D10"/>
    <w:rsid w:val="003E69E5"/>
    <w:rsid w:val="003F05BB"/>
    <w:rsid w:val="003F0F10"/>
    <w:rsid w:val="003F153B"/>
    <w:rsid w:val="003F30CB"/>
    <w:rsid w:val="003F37F5"/>
    <w:rsid w:val="003F4C21"/>
    <w:rsid w:val="003F6D9A"/>
    <w:rsid w:val="004000B1"/>
    <w:rsid w:val="0040371C"/>
    <w:rsid w:val="00404EE4"/>
    <w:rsid w:val="00411D79"/>
    <w:rsid w:val="0041263F"/>
    <w:rsid w:val="004126F6"/>
    <w:rsid w:val="004146AB"/>
    <w:rsid w:val="00422090"/>
    <w:rsid w:val="00422CC0"/>
    <w:rsid w:val="004247F6"/>
    <w:rsid w:val="00424813"/>
    <w:rsid w:val="0042657A"/>
    <w:rsid w:val="00427FC8"/>
    <w:rsid w:val="00431F25"/>
    <w:rsid w:val="0043379A"/>
    <w:rsid w:val="004344C9"/>
    <w:rsid w:val="004353A4"/>
    <w:rsid w:val="00435956"/>
    <w:rsid w:val="00440C38"/>
    <w:rsid w:val="004447A8"/>
    <w:rsid w:val="00447167"/>
    <w:rsid w:val="004475E4"/>
    <w:rsid w:val="00452C04"/>
    <w:rsid w:val="00455AF0"/>
    <w:rsid w:val="00455E28"/>
    <w:rsid w:val="00463430"/>
    <w:rsid w:val="004657B9"/>
    <w:rsid w:val="00471F79"/>
    <w:rsid w:val="0047498B"/>
    <w:rsid w:val="0047628F"/>
    <w:rsid w:val="00476668"/>
    <w:rsid w:val="004767A2"/>
    <w:rsid w:val="004823D1"/>
    <w:rsid w:val="00482D73"/>
    <w:rsid w:val="004902A7"/>
    <w:rsid w:val="00491EF8"/>
    <w:rsid w:val="00492A45"/>
    <w:rsid w:val="004A04C3"/>
    <w:rsid w:val="004A27AD"/>
    <w:rsid w:val="004A47D6"/>
    <w:rsid w:val="004A57CF"/>
    <w:rsid w:val="004A6A16"/>
    <w:rsid w:val="004B4AD8"/>
    <w:rsid w:val="004B6DD2"/>
    <w:rsid w:val="004C7F9F"/>
    <w:rsid w:val="004D0C69"/>
    <w:rsid w:val="004D3836"/>
    <w:rsid w:val="004D3DBD"/>
    <w:rsid w:val="004D6E66"/>
    <w:rsid w:val="004E3499"/>
    <w:rsid w:val="004E373B"/>
    <w:rsid w:val="004E406C"/>
    <w:rsid w:val="004E5C61"/>
    <w:rsid w:val="004F1F70"/>
    <w:rsid w:val="004F6187"/>
    <w:rsid w:val="004F73B9"/>
    <w:rsid w:val="0050017C"/>
    <w:rsid w:val="005022FC"/>
    <w:rsid w:val="005079ED"/>
    <w:rsid w:val="00510B8D"/>
    <w:rsid w:val="00510FD2"/>
    <w:rsid w:val="005153AC"/>
    <w:rsid w:val="00516A8A"/>
    <w:rsid w:val="00516DBA"/>
    <w:rsid w:val="00517324"/>
    <w:rsid w:val="005202ED"/>
    <w:rsid w:val="0052216E"/>
    <w:rsid w:val="005227A5"/>
    <w:rsid w:val="005254C2"/>
    <w:rsid w:val="00525D7F"/>
    <w:rsid w:val="00526A7E"/>
    <w:rsid w:val="005335AD"/>
    <w:rsid w:val="0053394A"/>
    <w:rsid w:val="0053578D"/>
    <w:rsid w:val="005357EE"/>
    <w:rsid w:val="0054755D"/>
    <w:rsid w:val="00547CBD"/>
    <w:rsid w:val="00553A97"/>
    <w:rsid w:val="005551D2"/>
    <w:rsid w:val="005625F3"/>
    <w:rsid w:val="00567D51"/>
    <w:rsid w:val="00570B38"/>
    <w:rsid w:val="005711E2"/>
    <w:rsid w:val="00572FF2"/>
    <w:rsid w:val="00573BA2"/>
    <w:rsid w:val="0058061D"/>
    <w:rsid w:val="00580BF5"/>
    <w:rsid w:val="00582DF9"/>
    <w:rsid w:val="0058504D"/>
    <w:rsid w:val="005938AB"/>
    <w:rsid w:val="00595C94"/>
    <w:rsid w:val="00595F25"/>
    <w:rsid w:val="005962DE"/>
    <w:rsid w:val="00597BB3"/>
    <w:rsid w:val="005A0392"/>
    <w:rsid w:val="005A0EF1"/>
    <w:rsid w:val="005A125E"/>
    <w:rsid w:val="005A458F"/>
    <w:rsid w:val="005A716B"/>
    <w:rsid w:val="005B49CA"/>
    <w:rsid w:val="005B56B4"/>
    <w:rsid w:val="005C1139"/>
    <w:rsid w:val="005C392C"/>
    <w:rsid w:val="005C39B5"/>
    <w:rsid w:val="005C47B5"/>
    <w:rsid w:val="005C4BF4"/>
    <w:rsid w:val="005C4EF9"/>
    <w:rsid w:val="005D3139"/>
    <w:rsid w:val="005D3571"/>
    <w:rsid w:val="005D463D"/>
    <w:rsid w:val="005D5916"/>
    <w:rsid w:val="005D704A"/>
    <w:rsid w:val="005E02E6"/>
    <w:rsid w:val="005E3D1F"/>
    <w:rsid w:val="005E7EE2"/>
    <w:rsid w:val="005F3835"/>
    <w:rsid w:val="005F453B"/>
    <w:rsid w:val="005F48B7"/>
    <w:rsid w:val="005F725A"/>
    <w:rsid w:val="005F79DD"/>
    <w:rsid w:val="00610FDE"/>
    <w:rsid w:val="00612703"/>
    <w:rsid w:val="00622492"/>
    <w:rsid w:val="006224D1"/>
    <w:rsid w:val="00631141"/>
    <w:rsid w:val="00632D80"/>
    <w:rsid w:val="0063409C"/>
    <w:rsid w:val="00634B9C"/>
    <w:rsid w:val="0063633E"/>
    <w:rsid w:val="00646D71"/>
    <w:rsid w:val="00655424"/>
    <w:rsid w:val="00655B59"/>
    <w:rsid w:val="00655D10"/>
    <w:rsid w:val="0066031B"/>
    <w:rsid w:val="00666FAA"/>
    <w:rsid w:val="0067234A"/>
    <w:rsid w:val="00676F00"/>
    <w:rsid w:val="00680FF3"/>
    <w:rsid w:val="00686908"/>
    <w:rsid w:val="00686FB6"/>
    <w:rsid w:val="00687C44"/>
    <w:rsid w:val="00687C62"/>
    <w:rsid w:val="00687E4D"/>
    <w:rsid w:val="00691478"/>
    <w:rsid w:val="00691816"/>
    <w:rsid w:val="00691EDB"/>
    <w:rsid w:val="00694D71"/>
    <w:rsid w:val="0069733C"/>
    <w:rsid w:val="006A5C27"/>
    <w:rsid w:val="006A7381"/>
    <w:rsid w:val="006A7530"/>
    <w:rsid w:val="006A7A21"/>
    <w:rsid w:val="006A7B06"/>
    <w:rsid w:val="006B33BB"/>
    <w:rsid w:val="006C2ED1"/>
    <w:rsid w:val="006C350A"/>
    <w:rsid w:val="006C3C24"/>
    <w:rsid w:val="006C3C2B"/>
    <w:rsid w:val="006C61D0"/>
    <w:rsid w:val="006C7DC5"/>
    <w:rsid w:val="006D07C6"/>
    <w:rsid w:val="006D563F"/>
    <w:rsid w:val="006D5C39"/>
    <w:rsid w:val="006D6767"/>
    <w:rsid w:val="006E4E27"/>
    <w:rsid w:val="006E53D0"/>
    <w:rsid w:val="006E62F9"/>
    <w:rsid w:val="006F13C3"/>
    <w:rsid w:val="006F2964"/>
    <w:rsid w:val="006F4D52"/>
    <w:rsid w:val="006F6A3F"/>
    <w:rsid w:val="006F7790"/>
    <w:rsid w:val="007017CA"/>
    <w:rsid w:val="00702655"/>
    <w:rsid w:val="00703BA5"/>
    <w:rsid w:val="00704CAE"/>
    <w:rsid w:val="00715ABA"/>
    <w:rsid w:val="00716D23"/>
    <w:rsid w:val="00720A59"/>
    <w:rsid w:val="00725051"/>
    <w:rsid w:val="00726F18"/>
    <w:rsid w:val="007308D7"/>
    <w:rsid w:val="00733758"/>
    <w:rsid w:val="00733CF2"/>
    <w:rsid w:val="00735FF6"/>
    <w:rsid w:val="00737D92"/>
    <w:rsid w:val="00740B38"/>
    <w:rsid w:val="0074320A"/>
    <w:rsid w:val="007435A7"/>
    <w:rsid w:val="0074575D"/>
    <w:rsid w:val="00745C1D"/>
    <w:rsid w:val="00745CB9"/>
    <w:rsid w:val="0074790E"/>
    <w:rsid w:val="00752870"/>
    <w:rsid w:val="00753AAA"/>
    <w:rsid w:val="00755541"/>
    <w:rsid w:val="00757AED"/>
    <w:rsid w:val="0076022D"/>
    <w:rsid w:val="00760D05"/>
    <w:rsid w:val="00761534"/>
    <w:rsid w:val="00761A09"/>
    <w:rsid w:val="007631CF"/>
    <w:rsid w:val="007643E6"/>
    <w:rsid w:val="00765A4B"/>
    <w:rsid w:val="00766AAE"/>
    <w:rsid w:val="00771222"/>
    <w:rsid w:val="007729BB"/>
    <w:rsid w:val="00774ED9"/>
    <w:rsid w:val="00774F9B"/>
    <w:rsid w:val="00776BC7"/>
    <w:rsid w:val="00780EBF"/>
    <w:rsid w:val="00783366"/>
    <w:rsid w:val="007936BE"/>
    <w:rsid w:val="00793DA2"/>
    <w:rsid w:val="007A114E"/>
    <w:rsid w:val="007A57F0"/>
    <w:rsid w:val="007B0131"/>
    <w:rsid w:val="007B0704"/>
    <w:rsid w:val="007B2220"/>
    <w:rsid w:val="007B630E"/>
    <w:rsid w:val="007B7893"/>
    <w:rsid w:val="007C0E88"/>
    <w:rsid w:val="007C164B"/>
    <w:rsid w:val="007C283C"/>
    <w:rsid w:val="007C28A4"/>
    <w:rsid w:val="007C4493"/>
    <w:rsid w:val="007C51C1"/>
    <w:rsid w:val="007D0BD0"/>
    <w:rsid w:val="007D3BD5"/>
    <w:rsid w:val="007D56FF"/>
    <w:rsid w:val="007D6041"/>
    <w:rsid w:val="007D7FB3"/>
    <w:rsid w:val="007E1300"/>
    <w:rsid w:val="007E1927"/>
    <w:rsid w:val="007E2A9D"/>
    <w:rsid w:val="007E4A6B"/>
    <w:rsid w:val="007E541D"/>
    <w:rsid w:val="007F0DAB"/>
    <w:rsid w:val="007F2D20"/>
    <w:rsid w:val="007F4293"/>
    <w:rsid w:val="007F4E27"/>
    <w:rsid w:val="007F7CE6"/>
    <w:rsid w:val="00801CDD"/>
    <w:rsid w:val="00802254"/>
    <w:rsid w:val="00802805"/>
    <w:rsid w:val="008028C7"/>
    <w:rsid w:val="008029B1"/>
    <w:rsid w:val="00806168"/>
    <w:rsid w:val="008102AA"/>
    <w:rsid w:val="00811A87"/>
    <w:rsid w:val="00816630"/>
    <w:rsid w:val="0081799E"/>
    <w:rsid w:val="008204E7"/>
    <w:rsid w:val="008214FD"/>
    <w:rsid w:val="00823A96"/>
    <w:rsid w:val="00823CD7"/>
    <w:rsid w:val="008300DC"/>
    <w:rsid w:val="00834F90"/>
    <w:rsid w:val="008371F0"/>
    <w:rsid w:val="008462AA"/>
    <w:rsid w:val="00850836"/>
    <w:rsid w:val="0085107A"/>
    <w:rsid w:val="00853418"/>
    <w:rsid w:val="00855CC9"/>
    <w:rsid w:val="008574FC"/>
    <w:rsid w:val="00857FCF"/>
    <w:rsid w:val="00860143"/>
    <w:rsid w:val="00860B94"/>
    <w:rsid w:val="00861E53"/>
    <w:rsid w:val="008645BA"/>
    <w:rsid w:val="00864F3D"/>
    <w:rsid w:val="00871267"/>
    <w:rsid w:val="00871EC5"/>
    <w:rsid w:val="00877087"/>
    <w:rsid w:val="0089033D"/>
    <w:rsid w:val="008938B4"/>
    <w:rsid w:val="008947A2"/>
    <w:rsid w:val="00895D66"/>
    <w:rsid w:val="008A0772"/>
    <w:rsid w:val="008A1444"/>
    <w:rsid w:val="008A1553"/>
    <w:rsid w:val="008A2E3A"/>
    <w:rsid w:val="008A755D"/>
    <w:rsid w:val="008B1570"/>
    <w:rsid w:val="008B3956"/>
    <w:rsid w:val="008B43A1"/>
    <w:rsid w:val="008B658D"/>
    <w:rsid w:val="008C07FB"/>
    <w:rsid w:val="008C0CD5"/>
    <w:rsid w:val="008C1501"/>
    <w:rsid w:val="008C1635"/>
    <w:rsid w:val="008C25DA"/>
    <w:rsid w:val="008C275B"/>
    <w:rsid w:val="008C2932"/>
    <w:rsid w:val="008C3FB8"/>
    <w:rsid w:val="008C6AB6"/>
    <w:rsid w:val="008C7379"/>
    <w:rsid w:val="008C73B0"/>
    <w:rsid w:val="008D1193"/>
    <w:rsid w:val="008D1509"/>
    <w:rsid w:val="008D22A4"/>
    <w:rsid w:val="008D2F86"/>
    <w:rsid w:val="008D5647"/>
    <w:rsid w:val="008E5455"/>
    <w:rsid w:val="008E6905"/>
    <w:rsid w:val="008F210C"/>
    <w:rsid w:val="008F32DE"/>
    <w:rsid w:val="008F61EC"/>
    <w:rsid w:val="008F6B50"/>
    <w:rsid w:val="008F75D9"/>
    <w:rsid w:val="00900529"/>
    <w:rsid w:val="00900A2F"/>
    <w:rsid w:val="00904AD7"/>
    <w:rsid w:val="00905743"/>
    <w:rsid w:val="00906469"/>
    <w:rsid w:val="0091243A"/>
    <w:rsid w:val="00913669"/>
    <w:rsid w:val="00915A44"/>
    <w:rsid w:val="009168C2"/>
    <w:rsid w:val="00917525"/>
    <w:rsid w:val="009211AA"/>
    <w:rsid w:val="009229C6"/>
    <w:rsid w:val="00923244"/>
    <w:rsid w:val="009234D1"/>
    <w:rsid w:val="009260F3"/>
    <w:rsid w:val="00931947"/>
    <w:rsid w:val="00932B05"/>
    <w:rsid w:val="00937ECA"/>
    <w:rsid w:val="009401BA"/>
    <w:rsid w:val="0094079E"/>
    <w:rsid w:val="0094379A"/>
    <w:rsid w:val="00943C9C"/>
    <w:rsid w:val="009446D0"/>
    <w:rsid w:val="00944A95"/>
    <w:rsid w:val="00947FD1"/>
    <w:rsid w:val="00950604"/>
    <w:rsid w:val="0095104B"/>
    <w:rsid w:val="009531A5"/>
    <w:rsid w:val="00953F11"/>
    <w:rsid w:val="00956221"/>
    <w:rsid w:val="009562D3"/>
    <w:rsid w:val="0095717A"/>
    <w:rsid w:val="009631F2"/>
    <w:rsid w:val="00974811"/>
    <w:rsid w:val="009757D7"/>
    <w:rsid w:val="00976F55"/>
    <w:rsid w:val="009816B4"/>
    <w:rsid w:val="00982615"/>
    <w:rsid w:val="0098698C"/>
    <w:rsid w:val="00986ECA"/>
    <w:rsid w:val="009910A9"/>
    <w:rsid w:val="00991319"/>
    <w:rsid w:val="009920DB"/>
    <w:rsid w:val="009A0E2F"/>
    <w:rsid w:val="009A2459"/>
    <w:rsid w:val="009A569C"/>
    <w:rsid w:val="009A57DC"/>
    <w:rsid w:val="009A5D9D"/>
    <w:rsid w:val="009B1F2C"/>
    <w:rsid w:val="009B2D2A"/>
    <w:rsid w:val="009C2764"/>
    <w:rsid w:val="009C38C1"/>
    <w:rsid w:val="009C49A3"/>
    <w:rsid w:val="009D5F16"/>
    <w:rsid w:val="009D64E3"/>
    <w:rsid w:val="009E1DFF"/>
    <w:rsid w:val="009E22CA"/>
    <w:rsid w:val="009E2B9E"/>
    <w:rsid w:val="009E5A53"/>
    <w:rsid w:val="009E6A01"/>
    <w:rsid w:val="009F1D0D"/>
    <w:rsid w:val="00A01839"/>
    <w:rsid w:val="00A02844"/>
    <w:rsid w:val="00A0312C"/>
    <w:rsid w:val="00A03660"/>
    <w:rsid w:val="00A042A2"/>
    <w:rsid w:val="00A06160"/>
    <w:rsid w:val="00A06223"/>
    <w:rsid w:val="00A06F3A"/>
    <w:rsid w:val="00A12A93"/>
    <w:rsid w:val="00A136B1"/>
    <w:rsid w:val="00A14F4A"/>
    <w:rsid w:val="00A16231"/>
    <w:rsid w:val="00A2027E"/>
    <w:rsid w:val="00A25045"/>
    <w:rsid w:val="00A3391C"/>
    <w:rsid w:val="00A358D9"/>
    <w:rsid w:val="00A362B2"/>
    <w:rsid w:val="00A4112B"/>
    <w:rsid w:val="00A41D63"/>
    <w:rsid w:val="00A45606"/>
    <w:rsid w:val="00A460B5"/>
    <w:rsid w:val="00A50A45"/>
    <w:rsid w:val="00A5296F"/>
    <w:rsid w:val="00A61C58"/>
    <w:rsid w:val="00A64A85"/>
    <w:rsid w:val="00A66F5E"/>
    <w:rsid w:val="00A67B4B"/>
    <w:rsid w:val="00A73334"/>
    <w:rsid w:val="00A73C48"/>
    <w:rsid w:val="00A77677"/>
    <w:rsid w:val="00A83DE0"/>
    <w:rsid w:val="00A846C0"/>
    <w:rsid w:val="00A85319"/>
    <w:rsid w:val="00A914E0"/>
    <w:rsid w:val="00A955DA"/>
    <w:rsid w:val="00AA1292"/>
    <w:rsid w:val="00AB1410"/>
    <w:rsid w:val="00AB32E3"/>
    <w:rsid w:val="00AB6EA0"/>
    <w:rsid w:val="00AC2417"/>
    <w:rsid w:val="00AD13C2"/>
    <w:rsid w:val="00AD2C28"/>
    <w:rsid w:val="00AD3592"/>
    <w:rsid w:val="00AD3A2E"/>
    <w:rsid w:val="00AD3E92"/>
    <w:rsid w:val="00AD4543"/>
    <w:rsid w:val="00AD4CC6"/>
    <w:rsid w:val="00AD6BCC"/>
    <w:rsid w:val="00AD7461"/>
    <w:rsid w:val="00AE2E15"/>
    <w:rsid w:val="00AE3BE0"/>
    <w:rsid w:val="00AE4890"/>
    <w:rsid w:val="00AE49B3"/>
    <w:rsid w:val="00AF47FD"/>
    <w:rsid w:val="00AF5AD7"/>
    <w:rsid w:val="00B01791"/>
    <w:rsid w:val="00B02475"/>
    <w:rsid w:val="00B02DE0"/>
    <w:rsid w:val="00B05F76"/>
    <w:rsid w:val="00B11810"/>
    <w:rsid w:val="00B13435"/>
    <w:rsid w:val="00B14EF9"/>
    <w:rsid w:val="00B2408E"/>
    <w:rsid w:val="00B26679"/>
    <w:rsid w:val="00B3482D"/>
    <w:rsid w:val="00B34D21"/>
    <w:rsid w:val="00B354A9"/>
    <w:rsid w:val="00B41E37"/>
    <w:rsid w:val="00B4626C"/>
    <w:rsid w:val="00B522A1"/>
    <w:rsid w:val="00B529CA"/>
    <w:rsid w:val="00B54BB9"/>
    <w:rsid w:val="00B54CE1"/>
    <w:rsid w:val="00B56BCC"/>
    <w:rsid w:val="00B578CD"/>
    <w:rsid w:val="00B6199C"/>
    <w:rsid w:val="00B63CDD"/>
    <w:rsid w:val="00B641F6"/>
    <w:rsid w:val="00B6547C"/>
    <w:rsid w:val="00B71568"/>
    <w:rsid w:val="00B729EF"/>
    <w:rsid w:val="00B72F15"/>
    <w:rsid w:val="00B73193"/>
    <w:rsid w:val="00B736AA"/>
    <w:rsid w:val="00B73937"/>
    <w:rsid w:val="00B74315"/>
    <w:rsid w:val="00B755E5"/>
    <w:rsid w:val="00B77281"/>
    <w:rsid w:val="00B77FA0"/>
    <w:rsid w:val="00B80158"/>
    <w:rsid w:val="00B8519C"/>
    <w:rsid w:val="00B86B50"/>
    <w:rsid w:val="00B8736D"/>
    <w:rsid w:val="00B91902"/>
    <w:rsid w:val="00B96E10"/>
    <w:rsid w:val="00BA1D5B"/>
    <w:rsid w:val="00BA244D"/>
    <w:rsid w:val="00BA5F84"/>
    <w:rsid w:val="00BB0CA7"/>
    <w:rsid w:val="00BB32F7"/>
    <w:rsid w:val="00BB4A45"/>
    <w:rsid w:val="00BB50A8"/>
    <w:rsid w:val="00BC0D04"/>
    <w:rsid w:val="00BC74CD"/>
    <w:rsid w:val="00BD0DB5"/>
    <w:rsid w:val="00BD3E2C"/>
    <w:rsid w:val="00BD48D1"/>
    <w:rsid w:val="00BD4D79"/>
    <w:rsid w:val="00BD5C15"/>
    <w:rsid w:val="00BD640C"/>
    <w:rsid w:val="00BD7914"/>
    <w:rsid w:val="00BE0796"/>
    <w:rsid w:val="00BE1E1E"/>
    <w:rsid w:val="00BE4A00"/>
    <w:rsid w:val="00BE6FD5"/>
    <w:rsid w:val="00BF1EAA"/>
    <w:rsid w:val="00BF5B27"/>
    <w:rsid w:val="00C012F7"/>
    <w:rsid w:val="00C04787"/>
    <w:rsid w:val="00C0650D"/>
    <w:rsid w:val="00C0727E"/>
    <w:rsid w:val="00C0772D"/>
    <w:rsid w:val="00C134BD"/>
    <w:rsid w:val="00C142E6"/>
    <w:rsid w:val="00C21CED"/>
    <w:rsid w:val="00C2217D"/>
    <w:rsid w:val="00C22649"/>
    <w:rsid w:val="00C250A4"/>
    <w:rsid w:val="00C254DA"/>
    <w:rsid w:val="00C25510"/>
    <w:rsid w:val="00C3018C"/>
    <w:rsid w:val="00C32993"/>
    <w:rsid w:val="00C333F2"/>
    <w:rsid w:val="00C348AF"/>
    <w:rsid w:val="00C47CFD"/>
    <w:rsid w:val="00C51871"/>
    <w:rsid w:val="00C51D34"/>
    <w:rsid w:val="00C5588B"/>
    <w:rsid w:val="00C56F6A"/>
    <w:rsid w:val="00C612D1"/>
    <w:rsid w:val="00C62F7F"/>
    <w:rsid w:val="00C6387C"/>
    <w:rsid w:val="00C70917"/>
    <w:rsid w:val="00C721D3"/>
    <w:rsid w:val="00C75368"/>
    <w:rsid w:val="00C755F4"/>
    <w:rsid w:val="00C8097D"/>
    <w:rsid w:val="00C84168"/>
    <w:rsid w:val="00C875A9"/>
    <w:rsid w:val="00C90517"/>
    <w:rsid w:val="00C90BDC"/>
    <w:rsid w:val="00C90F74"/>
    <w:rsid w:val="00C917CA"/>
    <w:rsid w:val="00C919FE"/>
    <w:rsid w:val="00C95CF3"/>
    <w:rsid w:val="00CA240D"/>
    <w:rsid w:val="00CA3564"/>
    <w:rsid w:val="00CA570D"/>
    <w:rsid w:val="00CA62AE"/>
    <w:rsid w:val="00CA635F"/>
    <w:rsid w:val="00CA6C32"/>
    <w:rsid w:val="00CB221C"/>
    <w:rsid w:val="00CC10B0"/>
    <w:rsid w:val="00CC3E19"/>
    <w:rsid w:val="00CC723A"/>
    <w:rsid w:val="00CD0D84"/>
    <w:rsid w:val="00CD150C"/>
    <w:rsid w:val="00CD33FC"/>
    <w:rsid w:val="00CD574A"/>
    <w:rsid w:val="00CD5F90"/>
    <w:rsid w:val="00CE0549"/>
    <w:rsid w:val="00CE2C87"/>
    <w:rsid w:val="00CE3783"/>
    <w:rsid w:val="00CE445B"/>
    <w:rsid w:val="00CE618A"/>
    <w:rsid w:val="00CE7537"/>
    <w:rsid w:val="00CF50BE"/>
    <w:rsid w:val="00CF6BD8"/>
    <w:rsid w:val="00D00021"/>
    <w:rsid w:val="00D00925"/>
    <w:rsid w:val="00D00B98"/>
    <w:rsid w:val="00D04B0D"/>
    <w:rsid w:val="00D068E8"/>
    <w:rsid w:val="00D13371"/>
    <w:rsid w:val="00D2365B"/>
    <w:rsid w:val="00D264AE"/>
    <w:rsid w:val="00D32647"/>
    <w:rsid w:val="00D32965"/>
    <w:rsid w:val="00D34A64"/>
    <w:rsid w:val="00D356B8"/>
    <w:rsid w:val="00D36770"/>
    <w:rsid w:val="00D401A3"/>
    <w:rsid w:val="00D45A70"/>
    <w:rsid w:val="00D461A5"/>
    <w:rsid w:val="00D530E9"/>
    <w:rsid w:val="00D536D3"/>
    <w:rsid w:val="00D54B9A"/>
    <w:rsid w:val="00D60FCC"/>
    <w:rsid w:val="00D61F08"/>
    <w:rsid w:val="00D635EC"/>
    <w:rsid w:val="00D66BEF"/>
    <w:rsid w:val="00D7728D"/>
    <w:rsid w:val="00D82AC9"/>
    <w:rsid w:val="00D8416E"/>
    <w:rsid w:val="00D862AE"/>
    <w:rsid w:val="00D9041F"/>
    <w:rsid w:val="00D9138E"/>
    <w:rsid w:val="00D92AC7"/>
    <w:rsid w:val="00DA001B"/>
    <w:rsid w:val="00DA0BB2"/>
    <w:rsid w:val="00DA3D5E"/>
    <w:rsid w:val="00DA5FF3"/>
    <w:rsid w:val="00DA755F"/>
    <w:rsid w:val="00DB1D57"/>
    <w:rsid w:val="00DB437F"/>
    <w:rsid w:val="00DD12E8"/>
    <w:rsid w:val="00DD3C00"/>
    <w:rsid w:val="00DD586F"/>
    <w:rsid w:val="00DD6067"/>
    <w:rsid w:val="00DE0997"/>
    <w:rsid w:val="00DE10BB"/>
    <w:rsid w:val="00DE34AE"/>
    <w:rsid w:val="00DE450A"/>
    <w:rsid w:val="00DE6778"/>
    <w:rsid w:val="00DE7E46"/>
    <w:rsid w:val="00DF0069"/>
    <w:rsid w:val="00DF2DCE"/>
    <w:rsid w:val="00DF3FA5"/>
    <w:rsid w:val="00DF5CF7"/>
    <w:rsid w:val="00DF61BC"/>
    <w:rsid w:val="00E012DD"/>
    <w:rsid w:val="00E018AF"/>
    <w:rsid w:val="00E03235"/>
    <w:rsid w:val="00E03DAB"/>
    <w:rsid w:val="00E040D2"/>
    <w:rsid w:val="00E06867"/>
    <w:rsid w:val="00E118F6"/>
    <w:rsid w:val="00E12303"/>
    <w:rsid w:val="00E20BA9"/>
    <w:rsid w:val="00E21B9D"/>
    <w:rsid w:val="00E3088B"/>
    <w:rsid w:val="00E30975"/>
    <w:rsid w:val="00E312E9"/>
    <w:rsid w:val="00E323F1"/>
    <w:rsid w:val="00E344FD"/>
    <w:rsid w:val="00E34990"/>
    <w:rsid w:val="00E40B42"/>
    <w:rsid w:val="00E42A05"/>
    <w:rsid w:val="00E42BBE"/>
    <w:rsid w:val="00E511C1"/>
    <w:rsid w:val="00E517D5"/>
    <w:rsid w:val="00E538EB"/>
    <w:rsid w:val="00E601DA"/>
    <w:rsid w:val="00E646E7"/>
    <w:rsid w:val="00E7390B"/>
    <w:rsid w:val="00E748AB"/>
    <w:rsid w:val="00E7532A"/>
    <w:rsid w:val="00E77D6D"/>
    <w:rsid w:val="00E8084E"/>
    <w:rsid w:val="00E8290A"/>
    <w:rsid w:val="00E85461"/>
    <w:rsid w:val="00E91358"/>
    <w:rsid w:val="00E91CF1"/>
    <w:rsid w:val="00E92265"/>
    <w:rsid w:val="00E94464"/>
    <w:rsid w:val="00E944A4"/>
    <w:rsid w:val="00E94D79"/>
    <w:rsid w:val="00E973C9"/>
    <w:rsid w:val="00EA4CC4"/>
    <w:rsid w:val="00EA6502"/>
    <w:rsid w:val="00EB1D41"/>
    <w:rsid w:val="00EB2CE9"/>
    <w:rsid w:val="00EB577C"/>
    <w:rsid w:val="00EC242F"/>
    <w:rsid w:val="00EC333C"/>
    <w:rsid w:val="00ED006B"/>
    <w:rsid w:val="00ED64D4"/>
    <w:rsid w:val="00ED7B72"/>
    <w:rsid w:val="00EE0119"/>
    <w:rsid w:val="00EE2D68"/>
    <w:rsid w:val="00EE36C5"/>
    <w:rsid w:val="00EE4E0B"/>
    <w:rsid w:val="00EE4E9A"/>
    <w:rsid w:val="00EE6B16"/>
    <w:rsid w:val="00EF01C0"/>
    <w:rsid w:val="00EF0FB1"/>
    <w:rsid w:val="00EF403B"/>
    <w:rsid w:val="00EF6897"/>
    <w:rsid w:val="00EF783A"/>
    <w:rsid w:val="00F01588"/>
    <w:rsid w:val="00F02B6D"/>
    <w:rsid w:val="00F05E11"/>
    <w:rsid w:val="00F11684"/>
    <w:rsid w:val="00F11F1E"/>
    <w:rsid w:val="00F13CFC"/>
    <w:rsid w:val="00F14730"/>
    <w:rsid w:val="00F14A00"/>
    <w:rsid w:val="00F15126"/>
    <w:rsid w:val="00F15D65"/>
    <w:rsid w:val="00F15E09"/>
    <w:rsid w:val="00F23D6E"/>
    <w:rsid w:val="00F3436B"/>
    <w:rsid w:val="00F344A2"/>
    <w:rsid w:val="00F34A8A"/>
    <w:rsid w:val="00F34CA6"/>
    <w:rsid w:val="00F34E9B"/>
    <w:rsid w:val="00F35BBF"/>
    <w:rsid w:val="00F35BE7"/>
    <w:rsid w:val="00F4513A"/>
    <w:rsid w:val="00F459C8"/>
    <w:rsid w:val="00F50992"/>
    <w:rsid w:val="00F535EB"/>
    <w:rsid w:val="00F55BD0"/>
    <w:rsid w:val="00F64D3F"/>
    <w:rsid w:val="00F67755"/>
    <w:rsid w:val="00F71FC8"/>
    <w:rsid w:val="00F73159"/>
    <w:rsid w:val="00F743BF"/>
    <w:rsid w:val="00F80CC7"/>
    <w:rsid w:val="00F81996"/>
    <w:rsid w:val="00F8294E"/>
    <w:rsid w:val="00F971B9"/>
    <w:rsid w:val="00FA41C0"/>
    <w:rsid w:val="00FA5958"/>
    <w:rsid w:val="00FA65B9"/>
    <w:rsid w:val="00FB3A1A"/>
    <w:rsid w:val="00FB4299"/>
    <w:rsid w:val="00FB5406"/>
    <w:rsid w:val="00FC0298"/>
    <w:rsid w:val="00FC1AC4"/>
    <w:rsid w:val="00FC2381"/>
    <w:rsid w:val="00FC2B5F"/>
    <w:rsid w:val="00FC55FE"/>
    <w:rsid w:val="00FC70C8"/>
    <w:rsid w:val="00FD1139"/>
    <w:rsid w:val="00FD4478"/>
    <w:rsid w:val="00FD4EC1"/>
    <w:rsid w:val="00FE1219"/>
    <w:rsid w:val="00FE6195"/>
    <w:rsid w:val="00FE7520"/>
    <w:rsid w:val="00FF21E6"/>
    <w:rsid w:val="00FF54DE"/>
    <w:rsid w:val="00FF5A71"/>
    <w:rsid w:val="00FF6D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388CEB"/>
  <w15:chartTrackingRefBased/>
  <w15:docId w15:val="{B7D4A708-C5CC-48F6-9722-81BF03D0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3E2C"/>
    <w:pPr>
      <w:spacing w:after="200" w:line="276" w:lineRule="auto"/>
    </w:pPr>
    <w:rPr>
      <w:rFonts w:ascii="Times New Roman" w:eastAsia="SimSun" w:hAnsi="Times New Roman"/>
      <w:sz w:val="24"/>
      <w:lang w:eastAsia="en-US"/>
    </w:rPr>
  </w:style>
  <w:style w:type="paragraph" w:styleId="Heading1">
    <w:name w:val="heading 1"/>
    <w:basedOn w:val="Normal"/>
    <w:next w:val="Normal"/>
    <w:link w:val="Heading1Char"/>
    <w:uiPriority w:val="9"/>
    <w:qFormat/>
    <w:rsid w:val="00BD3E2C"/>
    <w:pPr>
      <w:spacing w:line="480" w:lineRule="auto"/>
      <w:outlineLvl w:val="0"/>
    </w:pPr>
    <w:rPr>
      <w:b/>
    </w:rPr>
  </w:style>
  <w:style w:type="paragraph" w:styleId="Heading2">
    <w:name w:val="heading 2"/>
    <w:basedOn w:val="Normal"/>
    <w:next w:val="Normal"/>
    <w:link w:val="Heading2Char"/>
    <w:uiPriority w:val="9"/>
    <w:unhideWhenUsed/>
    <w:qFormat/>
    <w:rsid w:val="00BD3E2C"/>
    <w:pPr>
      <w:spacing w:after="0" w:line="480" w:lineRule="auto"/>
      <w:outlineLvl w:val="1"/>
    </w:pPr>
    <w:rPr>
      <w:rFonts w:cs="Times New Roman"/>
      <w:i/>
      <w:szCs w:val="24"/>
    </w:rPr>
  </w:style>
  <w:style w:type="paragraph" w:styleId="Heading3">
    <w:name w:val="heading 3"/>
    <w:basedOn w:val="Normal"/>
    <w:next w:val="Normal"/>
    <w:link w:val="Heading3Char"/>
    <w:uiPriority w:val="9"/>
    <w:unhideWhenUsed/>
    <w:qFormat/>
    <w:rsid w:val="00BD3E2C"/>
    <w:pPr>
      <w:spacing w:after="0" w:line="600" w:lineRule="auto"/>
      <w:outlineLvl w:val="2"/>
    </w:pPr>
    <w:rPr>
      <w:rFonts w:cs="Times New Roman"/>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E2C"/>
    <w:rPr>
      <w:rFonts w:ascii="Times New Roman" w:eastAsia="SimSun" w:hAnsi="Times New Roman"/>
      <w:b/>
      <w:sz w:val="24"/>
      <w:lang w:eastAsia="en-US"/>
    </w:rPr>
  </w:style>
  <w:style w:type="character" w:customStyle="1" w:styleId="Heading2Char">
    <w:name w:val="Heading 2 Char"/>
    <w:basedOn w:val="DefaultParagraphFont"/>
    <w:link w:val="Heading2"/>
    <w:uiPriority w:val="9"/>
    <w:rsid w:val="00BD3E2C"/>
    <w:rPr>
      <w:rFonts w:ascii="Times New Roman" w:eastAsia="SimSun" w:hAnsi="Times New Roman" w:cs="Times New Roman"/>
      <w:i/>
      <w:sz w:val="24"/>
      <w:szCs w:val="24"/>
      <w:lang w:eastAsia="en-US"/>
    </w:rPr>
  </w:style>
  <w:style w:type="character" w:customStyle="1" w:styleId="Heading3Char">
    <w:name w:val="Heading 3 Char"/>
    <w:basedOn w:val="DefaultParagraphFont"/>
    <w:link w:val="Heading3"/>
    <w:uiPriority w:val="9"/>
    <w:rsid w:val="00BD3E2C"/>
    <w:rPr>
      <w:rFonts w:ascii="Times New Roman" w:eastAsia="SimSun" w:hAnsi="Times New Roman" w:cs="Times New Roman"/>
      <w:i/>
      <w:sz w:val="24"/>
      <w:szCs w:val="24"/>
      <w:lang w:eastAsia="en-US"/>
    </w:rPr>
  </w:style>
  <w:style w:type="table" w:styleId="LightList-Accent4">
    <w:name w:val="Light List Accent 4"/>
    <w:basedOn w:val="TableNormal"/>
    <w:uiPriority w:val="61"/>
    <w:rsid w:val="00BD3E2C"/>
    <w:pPr>
      <w:spacing w:after="0" w:line="240" w:lineRule="auto"/>
    </w:pPr>
    <w:rPr>
      <w:rFonts w:eastAsia="SimSun"/>
      <w:lang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TableGrid">
    <w:name w:val="Table Grid"/>
    <w:basedOn w:val="TableNormal"/>
    <w:uiPriority w:val="59"/>
    <w:rsid w:val="00BD3E2C"/>
    <w:pPr>
      <w:spacing w:after="0" w:line="240" w:lineRule="auto"/>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3E2C"/>
    <w:rPr>
      <w:color w:val="0563C1" w:themeColor="hyperlink"/>
      <w:u w:val="single"/>
    </w:rPr>
  </w:style>
  <w:style w:type="paragraph" w:styleId="Header">
    <w:name w:val="header"/>
    <w:basedOn w:val="Normal"/>
    <w:link w:val="HeaderChar"/>
    <w:uiPriority w:val="99"/>
    <w:unhideWhenUsed/>
    <w:rsid w:val="00BD3E2C"/>
    <w:pPr>
      <w:tabs>
        <w:tab w:val="center" w:pos="4703"/>
        <w:tab w:val="right" w:pos="9406"/>
      </w:tabs>
      <w:spacing w:after="0" w:line="240" w:lineRule="auto"/>
    </w:pPr>
  </w:style>
  <w:style w:type="character" w:customStyle="1" w:styleId="HeaderChar">
    <w:name w:val="Header Char"/>
    <w:basedOn w:val="DefaultParagraphFont"/>
    <w:link w:val="Header"/>
    <w:uiPriority w:val="99"/>
    <w:rsid w:val="00BD3E2C"/>
    <w:rPr>
      <w:rFonts w:ascii="Times New Roman" w:eastAsia="SimSun" w:hAnsi="Times New Roman"/>
      <w:sz w:val="24"/>
      <w:lang w:eastAsia="en-US"/>
    </w:rPr>
  </w:style>
  <w:style w:type="paragraph" w:styleId="Footer">
    <w:name w:val="footer"/>
    <w:basedOn w:val="Normal"/>
    <w:link w:val="FooterChar"/>
    <w:uiPriority w:val="99"/>
    <w:unhideWhenUsed/>
    <w:rsid w:val="00BD3E2C"/>
    <w:pPr>
      <w:tabs>
        <w:tab w:val="center" w:pos="4703"/>
        <w:tab w:val="right" w:pos="9406"/>
      </w:tabs>
      <w:spacing w:after="0" w:line="240" w:lineRule="auto"/>
    </w:pPr>
  </w:style>
  <w:style w:type="character" w:customStyle="1" w:styleId="FooterChar">
    <w:name w:val="Footer Char"/>
    <w:basedOn w:val="DefaultParagraphFont"/>
    <w:link w:val="Footer"/>
    <w:uiPriority w:val="99"/>
    <w:rsid w:val="00BD3E2C"/>
    <w:rPr>
      <w:rFonts w:ascii="Times New Roman" w:eastAsia="SimSun" w:hAnsi="Times New Roman"/>
      <w:sz w:val="24"/>
      <w:lang w:eastAsia="en-US"/>
    </w:rPr>
  </w:style>
  <w:style w:type="paragraph" w:styleId="BalloonText">
    <w:name w:val="Balloon Text"/>
    <w:basedOn w:val="Normal"/>
    <w:link w:val="BalloonTextChar"/>
    <w:uiPriority w:val="99"/>
    <w:semiHidden/>
    <w:unhideWhenUsed/>
    <w:rsid w:val="00BD3E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E2C"/>
    <w:rPr>
      <w:rFonts w:ascii="Tahoma" w:eastAsia="SimSun" w:hAnsi="Tahoma" w:cs="Tahoma"/>
      <w:sz w:val="16"/>
      <w:szCs w:val="16"/>
      <w:lang w:eastAsia="en-US"/>
    </w:rPr>
  </w:style>
  <w:style w:type="character" w:styleId="CommentReference">
    <w:name w:val="annotation reference"/>
    <w:basedOn w:val="DefaultParagraphFont"/>
    <w:uiPriority w:val="99"/>
    <w:semiHidden/>
    <w:unhideWhenUsed/>
    <w:rsid w:val="00BD3E2C"/>
    <w:rPr>
      <w:sz w:val="16"/>
      <w:szCs w:val="16"/>
    </w:rPr>
  </w:style>
  <w:style w:type="paragraph" w:styleId="CommentText">
    <w:name w:val="annotation text"/>
    <w:basedOn w:val="Normal"/>
    <w:link w:val="CommentTextChar"/>
    <w:uiPriority w:val="99"/>
    <w:semiHidden/>
    <w:unhideWhenUsed/>
    <w:rsid w:val="00BD3E2C"/>
    <w:pPr>
      <w:spacing w:line="240" w:lineRule="auto"/>
    </w:pPr>
    <w:rPr>
      <w:sz w:val="20"/>
      <w:szCs w:val="20"/>
    </w:rPr>
  </w:style>
  <w:style w:type="character" w:customStyle="1" w:styleId="CommentTextChar">
    <w:name w:val="Comment Text Char"/>
    <w:basedOn w:val="DefaultParagraphFont"/>
    <w:link w:val="CommentText"/>
    <w:uiPriority w:val="99"/>
    <w:semiHidden/>
    <w:rsid w:val="00BD3E2C"/>
    <w:rPr>
      <w:rFonts w:ascii="Times New Roman" w:eastAsia="SimSun" w:hAnsi="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BD3E2C"/>
    <w:rPr>
      <w:b/>
      <w:bCs/>
    </w:rPr>
  </w:style>
  <w:style w:type="character" w:customStyle="1" w:styleId="CommentSubjectChar">
    <w:name w:val="Comment Subject Char"/>
    <w:basedOn w:val="CommentTextChar"/>
    <w:link w:val="CommentSubject"/>
    <w:uiPriority w:val="99"/>
    <w:semiHidden/>
    <w:rsid w:val="00BD3E2C"/>
    <w:rPr>
      <w:rFonts w:ascii="Times New Roman" w:eastAsia="SimSun" w:hAnsi="Times New Roman"/>
      <w:b/>
      <w:bCs/>
      <w:sz w:val="20"/>
      <w:szCs w:val="20"/>
      <w:lang w:eastAsia="en-US"/>
    </w:rPr>
  </w:style>
  <w:style w:type="table" w:styleId="LightShading">
    <w:name w:val="Light Shading"/>
    <w:basedOn w:val="TableNormal"/>
    <w:uiPriority w:val="60"/>
    <w:rsid w:val="00BD3E2C"/>
    <w:pPr>
      <w:spacing w:after="0" w:line="240" w:lineRule="auto"/>
    </w:pPr>
    <w:rPr>
      <w:rFonts w:eastAsia="SimSu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BD3E2C"/>
  </w:style>
  <w:style w:type="paragraph" w:styleId="Revision">
    <w:name w:val="Revision"/>
    <w:hidden/>
    <w:uiPriority w:val="99"/>
    <w:semiHidden/>
    <w:rsid w:val="00BD3E2C"/>
    <w:pPr>
      <w:spacing w:after="0" w:line="240" w:lineRule="auto"/>
    </w:pPr>
    <w:rPr>
      <w:rFonts w:eastAsia="SimSun"/>
      <w:lang w:eastAsia="en-US"/>
    </w:rPr>
  </w:style>
  <w:style w:type="paragraph" w:customStyle="1" w:styleId="EndNoteBibliographyTitle">
    <w:name w:val="EndNote Bibliography Title"/>
    <w:basedOn w:val="Normal"/>
    <w:link w:val="EndNoteBibliographyTitleChar"/>
    <w:rsid w:val="00BD3E2C"/>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BD3E2C"/>
    <w:rPr>
      <w:rFonts w:ascii="Times New Roman" w:eastAsia="SimSun" w:hAnsi="Times New Roman" w:cs="Times New Roman"/>
      <w:noProof/>
      <w:sz w:val="24"/>
      <w:lang w:eastAsia="en-US"/>
    </w:rPr>
  </w:style>
  <w:style w:type="paragraph" w:customStyle="1" w:styleId="EndNoteBibliography">
    <w:name w:val="EndNote Bibliography"/>
    <w:basedOn w:val="Normal"/>
    <w:link w:val="EndNoteBibliographyChar"/>
    <w:rsid w:val="00BD3E2C"/>
    <w:pPr>
      <w:spacing w:line="240" w:lineRule="auto"/>
    </w:pPr>
    <w:rPr>
      <w:rFonts w:cs="Times New Roman"/>
      <w:noProof/>
    </w:rPr>
  </w:style>
  <w:style w:type="character" w:customStyle="1" w:styleId="EndNoteBibliographyChar">
    <w:name w:val="EndNote Bibliography Char"/>
    <w:basedOn w:val="DefaultParagraphFont"/>
    <w:link w:val="EndNoteBibliography"/>
    <w:rsid w:val="00BD3E2C"/>
    <w:rPr>
      <w:rFonts w:ascii="Times New Roman" w:eastAsia="SimSun" w:hAnsi="Times New Roman" w:cs="Times New Roman"/>
      <w:noProof/>
      <w:sz w:val="24"/>
      <w:lang w:eastAsia="en-US"/>
    </w:rPr>
  </w:style>
  <w:style w:type="paragraph" w:styleId="ListParagraph">
    <w:name w:val="List Paragraph"/>
    <w:basedOn w:val="Normal"/>
    <w:uiPriority w:val="34"/>
    <w:qFormat/>
    <w:rsid w:val="00BD3E2C"/>
    <w:pPr>
      <w:ind w:left="720"/>
      <w:contextualSpacing/>
    </w:pPr>
  </w:style>
  <w:style w:type="paragraph" w:styleId="NoSpacing">
    <w:name w:val="No Spacing"/>
    <w:qFormat/>
    <w:rsid w:val="00BD3E2C"/>
    <w:pPr>
      <w:spacing w:after="0" w:line="240" w:lineRule="auto"/>
    </w:pPr>
    <w:rPr>
      <w:rFonts w:ascii="Times New Roman" w:eastAsia="SimSun" w:hAnsi="Times New Roman"/>
      <w:sz w:val="24"/>
      <w:lang w:eastAsia="en-US"/>
    </w:rPr>
  </w:style>
  <w:style w:type="character" w:styleId="PlaceholderText">
    <w:name w:val="Placeholder Text"/>
    <w:basedOn w:val="DefaultParagraphFont"/>
    <w:uiPriority w:val="99"/>
    <w:semiHidden/>
    <w:rsid w:val="00BD3E2C"/>
    <w:rPr>
      <w:color w:val="808080"/>
    </w:rPr>
  </w:style>
  <w:style w:type="character" w:styleId="UnresolvedMention">
    <w:name w:val="Unresolved Mention"/>
    <w:basedOn w:val="DefaultParagraphFont"/>
    <w:uiPriority w:val="99"/>
    <w:semiHidden/>
    <w:unhideWhenUsed/>
    <w:rsid w:val="00BD3E2C"/>
    <w:rPr>
      <w:color w:val="605E5C"/>
      <w:shd w:val="clear" w:color="auto" w:fill="E1DFDD"/>
    </w:rPr>
  </w:style>
  <w:style w:type="table" w:styleId="GridTable6Colorful-Accent3">
    <w:name w:val="Grid Table 6 Colorful Accent 3"/>
    <w:basedOn w:val="TableNormal"/>
    <w:uiPriority w:val="51"/>
    <w:rsid w:val="00AD4CC6"/>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838404">
      <w:bodyDiv w:val="1"/>
      <w:marLeft w:val="0"/>
      <w:marRight w:val="0"/>
      <w:marTop w:val="0"/>
      <w:marBottom w:val="0"/>
      <w:divBdr>
        <w:top w:val="none" w:sz="0" w:space="0" w:color="auto"/>
        <w:left w:val="none" w:sz="0" w:space="0" w:color="auto"/>
        <w:bottom w:val="none" w:sz="0" w:space="0" w:color="auto"/>
        <w:right w:val="none" w:sz="0" w:space="0" w:color="auto"/>
      </w:divBdr>
    </w:div>
    <w:div w:id="894391482">
      <w:bodyDiv w:val="1"/>
      <w:marLeft w:val="0"/>
      <w:marRight w:val="0"/>
      <w:marTop w:val="0"/>
      <w:marBottom w:val="0"/>
      <w:divBdr>
        <w:top w:val="none" w:sz="0" w:space="0" w:color="auto"/>
        <w:left w:val="none" w:sz="0" w:space="0" w:color="auto"/>
        <w:bottom w:val="none" w:sz="0" w:space="0" w:color="auto"/>
        <w:right w:val="none" w:sz="0" w:space="0" w:color="auto"/>
      </w:divBdr>
    </w:div>
    <w:div w:id="201445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988</TotalTime>
  <Pages>11</Pages>
  <Words>1134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 Broman</dc:creator>
  <cp:keywords/>
  <dc:description/>
  <cp:lastModifiedBy>Elias Broman</cp:lastModifiedBy>
  <cp:revision>1022</cp:revision>
  <dcterms:created xsi:type="dcterms:W3CDTF">2021-04-20T06:56:00Z</dcterms:created>
  <dcterms:modified xsi:type="dcterms:W3CDTF">2022-07-11T12:59:00Z</dcterms:modified>
</cp:coreProperties>
</file>