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Supplementary Table 3.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TELSeq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sequencing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sensitivity,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sequencing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specificity, and excess read depth, by genome and MOCK replicate (2kb, 5kb and 8kb).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885.0" w:type="dxa"/>
        <w:jc w:val="left"/>
        <w:tblInd w:w="5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80"/>
        <w:gridCol w:w="1050"/>
        <w:gridCol w:w="735"/>
        <w:gridCol w:w="1020"/>
        <w:gridCol w:w="1020"/>
        <w:gridCol w:w="1020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tblGridChange w:id="0">
          <w:tblGrid>
            <w:gridCol w:w="1380"/>
            <w:gridCol w:w="1050"/>
            <w:gridCol w:w="735"/>
            <w:gridCol w:w="1020"/>
            <w:gridCol w:w="1020"/>
            <w:gridCol w:w="1020"/>
            <w:gridCol w:w="555"/>
            <w:gridCol w:w="555"/>
            <w:gridCol w:w="555"/>
            <w:gridCol w:w="555"/>
            <w:gridCol w:w="555"/>
            <w:gridCol w:w="555"/>
            <w:gridCol w:w="555"/>
            <w:gridCol w:w="555"/>
            <w:gridCol w:w="555"/>
            <w:gridCol w:w="555"/>
            <w:gridCol w:w="555"/>
            <w:gridCol w:w="555"/>
          </w:tblGrid>
        </w:tblGridChange>
      </w:tblGrid>
      <w:tr>
        <w:trPr>
          <w:cantSplit w:val="0"/>
          <w:trHeight w:val="249.074707031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3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Genome size (Mbp)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% bases covered by probes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Proportion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6"/>
                <w:szCs w:val="16"/>
                <w:rtl w:val="0"/>
              </w:rPr>
              <w:t xml:space="preserve">(%)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of ARG groups recovered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Sensitivity (%)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vertAlign w:val="superscript"/>
                <w:rtl w:val="0"/>
              </w:rPr>
              <w:t xml:space="preserve">a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Specificity (%)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TELSeq versus GridION Depth (%)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vertAlign w:val="superscript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TELSeq versus PromethION Depth (%)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vertAlign w:val="superscript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.19628906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Organism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999999" w:space="0" w:sz="6" w:val="single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2 kb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999999" w:space="0" w:sz="6" w:val="single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5 kb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999999" w:space="0" w:sz="6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8 kb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999999" w:space="0" w:sz="6" w:val="single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2 kb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999999" w:space="0" w:sz="6" w:val="single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5 kb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999999" w:space="0" w:sz="6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8 kb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999999" w:space="0" w:sz="6" w:val="single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2 kb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999999" w:space="0" w:sz="6" w:val="single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5 kb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999999" w:space="0" w:sz="6" w:val="single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8 kb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999999" w:space="0" w:sz="6" w:val="single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2 kb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999999" w:space="0" w:sz="6" w:val="single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5 kb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999999" w:space="0" w:sz="6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8 kb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999999" w:space="0" w:sz="6" w:val="single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2 kb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999999" w:space="0" w:sz="6" w:val="single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5 kb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999999" w:space="0" w:sz="6" w:val="single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8 kb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.984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L. monocytogenes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0.22%</w:t>
            </w:r>
          </w:p>
        </w:tc>
        <w:tc>
          <w:tcPr>
            <w:tcBorders>
              <w:top w:color="999999" w:space="0" w:sz="6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2/2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(100%)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2/2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(100%)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6" w:val="single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2/2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(100%)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6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100.0</w:t>
            </w:r>
          </w:p>
        </w:tc>
        <w:tc>
          <w:tcPr>
            <w:tcBorders>
              <w:top w:color="999999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100.0</w:t>
            </w:r>
          </w:p>
        </w:tc>
        <w:tc>
          <w:tcPr>
            <w:tcBorders>
              <w:top w:color="999999" w:space="0" w:sz="6" w:val="single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100.0</w:t>
            </w:r>
          </w:p>
        </w:tc>
        <w:tc>
          <w:tcPr>
            <w:tcBorders>
              <w:top w:color="999999" w:space="0" w:sz="6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26.8</w:t>
            </w:r>
          </w:p>
        </w:tc>
        <w:tc>
          <w:tcPr>
            <w:tcBorders>
              <w:top w:color="999999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26.1</w:t>
            </w:r>
          </w:p>
        </w:tc>
        <w:tc>
          <w:tcPr>
            <w:tcBorders>
              <w:top w:color="999999" w:space="0" w:sz="6" w:val="single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26.0</w:t>
            </w:r>
          </w:p>
        </w:tc>
        <w:tc>
          <w:tcPr>
            <w:tcBorders>
              <w:top w:color="999999" w:space="0" w:sz="6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24.2</w:t>
            </w:r>
          </w:p>
        </w:tc>
        <w:tc>
          <w:tcPr>
            <w:tcBorders>
              <w:top w:color="999999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</w:t>
            </w:r>
          </w:p>
        </w:tc>
        <w:tc>
          <w:tcPr>
            <w:tcBorders>
              <w:top w:color="999999" w:space="0" w:sz="6" w:val="single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19.7</w:t>
            </w:r>
          </w:p>
        </w:tc>
        <w:tc>
          <w:tcPr>
            <w:tcBorders>
              <w:top w:color="999999" w:space="0" w:sz="6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</w:t>
            </w:r>
          </w:p>
        </w:tc>
        <w:tc>
          <w:tcPr>
            <w:tcBorders>
              <w:top w:color="999999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0.00</w:t>
            </w:r>
          </w:p>
        </w:tc>
        <w:tc>
          <w:tcPr>
            <w:tcBorders>
              <w:top w:color="999999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</w:t>
            </w:r>
          </w:p>
        </w:tc>
      </w:tr>
      <w:tr>
        <w:trPr>
          <w:cantSplit w:val="0"/>
          <w:trHeight w:val="393.984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P. aeruginosa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1.26%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20/30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(67%)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13/30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(43%)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15/30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(50%)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85.5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65.1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70.6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60.4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78.3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72.7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18.5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23.4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59.7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32.5</w:t>
            </w:r>
          </w:p>
        </w:tc>
      </w:tr>
      <w:tr>
        <w:trPr>
          <w:cantSplit w:val="0"/>
          <w:trHeight w:val="393.984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B. subtilis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0.40%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6/6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(100%)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6/6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(100%)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6/6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(100%)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100.0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100.0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100.0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86.9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84.1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79.7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78.4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77.6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77.6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35.5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23.8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45.4</w:t>
            </w:r>
          </w:p>
        </w:tc>
      </w:tr>
      <w:tr>
        <w:trPr>
          <w:cantSplit w:val="0"/>
          <w:trHeight w:val="393.984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E. coli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4.45%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35/38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(92%)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35/38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(92%)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36/38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(95%)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100.0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100.0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100.0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75.4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69.6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59.1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99.1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98.8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99.4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79.9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70.2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77.3</w:t>
            </w:r>
          </w:p>
        </w:tc>
      </w:tr>
      <w:tr>
        <w:trPr>
          <w:cantSplit w:val="0"/>
          <w:trHeight w:val="393.984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S. enterica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3.35%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28/30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(93%)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27/30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(90%)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27/30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(90%)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100.0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99.7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100.0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76.4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71.8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62.0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96.3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95.2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96.4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78.1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76.3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80.7</w:t>
            </w:r>
          </w:p>
        </w:tc>
      </w:tr>
      <w:tr>
        <w:trPr>
          <w:cantSplit w:val="0"/>
          <w:trHeight w:val="393.984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E. faecalis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0.94%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1/3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(33%)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1/3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(33%)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1/3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(33%)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76.6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72.8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79.3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97.7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97.2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96.6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45.7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53.4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51.3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39.5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41.2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45.6</w:t>
            </w:r>
          </w:p>
        </w:tc>
      </w:tr>
      <w:tr>
        <w:trPr>
          <w:cantSplit w:val="0"/>
          <w:trHeight w:val="393.984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4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S. aureus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1.28%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0/15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(0%)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3/15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(20%)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1/15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(1%)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45.0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98.7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98.5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97.9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16.7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18.0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27.3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14.6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17.8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27.2</w:t>
            </w:r>
          </w:p>
        </w:tc>
      </w:tr>
      <w:tr>
        <w:trPr>
          <w:cantSplit w:val="0"/>
          <w:trHeight w:val="393.984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L. fermentum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0.00%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99.3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99.3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99.2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--</w:t>
            </w:r>
          </w:p>
        </w:tc>
      </w:tr>
      <w:tr>
        <w:trPr>
          <w:cantSplit w:val="0"/>
          <w:trHeight w:val="393.984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8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S. cerevisiae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12.10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0.00%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95.9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95.1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92.6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--</w:t>
            </w:r>
          </w:p>
        </w:tc>
      </w:tr>
      <w:tr>
        <w:trPr>
          <w:cantSplit w:val="0"/>
          <w:trHeight w:val="393.984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A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C. neoformans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18.90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0.00%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–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–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99.9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99.9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99.9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--</w:t>
            </w:r>
          </w:p>
        </w:tc>
      </w:tr>
    </w:tbl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widowControl w:val="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vertAlign w:val="superscript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Sequencing sensitivity was defined as the proportion of probe-covered bases that received TELSeq read coverage of at least 1X.</w:t>
      </w:r>
    </w:p>
    <w:p w:rsidR="00000000" w:rsidDel="00000000" w:rsidP="00000000" w:rsidRDefault="00000000" w:rsidRPr="00000000" w14:paraId="000000DE">
      <w:pPr>
        <w:widowControl w:val="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vertAlign w:val="superscript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Sequencing specificity was defined as the proportion of non-probe-covered bases that did not receive any TELSeq read coverage.</w:t>
      </w:r>
    </w:p>
    <w:p w:rsidR="00000000" w:rsidDel="00000000" w:rsidP="00000000" w:rsidRDefault="00000000" w:rsidRPr="00000000" w14:paraId="000000DF">
      <w:pPr>
        <w:widowControl w:val="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vertAlign w:val="superscript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TELSeq versus GridION depth was defined as the proportion of probe-covered bases for which TELSeq read depth exceeded that of GridION read depth.</w:t>
      </w:r>
    </w:p>
    <w:p w:rsidR="00000000" w:rsidDel="00000000" w:rsidP="00000000" w:rsidRDefault="00000000" w:rsidRPr="00000000" w14:paraId="000000E0">
      <w:pPr>
        <w:widowControl w:val="0"/>
        <w:rPr/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vertAlign w:val="superscript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TELSeq versus PromethION depth was defined as the proportion of probe-covered bases for which TELSeq read depth exceeded that of GridION read depth.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widowControl w:val="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