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4E3339" w14:textId="5BEB1E3F" w:rsidR="0052054E" w:rsidRPr="003C2B2B" w:rsidRDefault="0052054E" w:rsidP="008870BC">
      <w:pPr>
        <w:spacing w:line="360" w:lineRule="auto"/>
        <w:rPr>
          <w:rFonts w:eastAsia="DengXian" w:cs="Times New Roman"/>
          <w:b/>
          <w:sz w:val="24"/>
          <w:szCs w:val="24"/>
        </w:rPr>
      </w:pPr>
      <w:r w:rsidRPr="003C2B2B">
        <w:rPr>
          <w:rFonts w:eastAsia="DengXian" w:cs="Times New Roman" w:hint="eastAsia"/>
          <w:b/>
          <w:sz w:val="24"/>
          <w:szCs w:val="24"/>
        </w:rPr>
        <w:t>Su</w:t>
      </w:r>
      <w:r w:rsidRPr="003C2B2B">
        <w:rPr>
          <w:rFonts w:eastAsia="DengXian" w:cs="Times New Roman"/>
          <w:b/>
          <w:sz w:val="24"/>
          <w:szCs w:val="24"/>
        </w:rPr>
        <w:t>pplementary figures and tables for</w:t>
      </w:r>
    </w:p>
    <w:p w14:paraId="1C485F7A" w14:textId="609F7348" w:rsidR="008F1EF2" w:rsidRPr="003C2B2B" w:rsidRDefault="0052054E" w:rsidP="008870BC">
      <w:pPr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t>“</w:t>
      </w:r>
      <w:r w:rsidR="00981A28" w:rsidRPr="003C2B2B">
        <w:rPr>
          <w:rFonts w:eastAsia="DengXian" w:cs="Times New Roman"/>
          <w:sz w:val="24"/>
          <w:szCs w:val="24"/>
        </w:rPr>
        <w:t>Specific metabolites drive the deterministic assembly of diseased rhizosphere microbiome through weakening microbial degradation of autotoxin</w:t>
      </w:r>
      <w:r w:rsidRPr="003C2B2B">
        <w:rPr>
          <w:rFonts w:eastAsia="DengXian" w:cs="Times New Roman"/>
          <w:sz w:val="24"/>
          <w:szCs w:val="24"/>
        </w:rPr>
        <w:t>”</w:t>
      </w:r>
    </w:p>
    <w:p w14:paraId="7867C715" w14:textId="404D7B2C" w:rsidR="0052054E" w:rsidRPr="003C2B2B" w:rsidRDefault="0052054E" w:rsidP="008870BC">
      <w:pPr>
        <w:spacing w:line="360" w:lineRule="auto"/>
        <w:rPr>
          <w:rFonts w:eastAsia="DengXian" w:cs="Times New Roman"/>
          <w:sz w:val="24"/>
          <w:szCs w:val="24"/>
        </w:rPr>
      </w:pPr>
    </w:p>
    <w:p w14:paraId="777B1B47" w14:textId="48D259E5" w:rsidR="0052054E" w:rsidRPr="003C2B2B" w:rsidRDefault="0052054E" w:rsidP="008870BC">
      <w:pPr>
        <w:spacing w:line="360" w:lineRule="auto"/>
        <w:rPr>
          <w:rFonts w:eastAsia="DengXian" w:cs="Times New Roman"/>
          <w:sz w:val="24"/>
          <w:szCs w:val="24"/>
        </w:rPr>
      </w:pPr>
    </w:p>
    <w:p w14:paraId="48CF7DA2" w14:textId="5B1388B7" w:rsidR="0052054E" w:rsidRPr="003C2B2B" w:rsidRDefault="0052054E" w:rsidP="008870BC">
      <w:pPr>
        <w:spacing w:line="360" w:lineRule="auto"/>
        <w:rPr>
          <w:rFonts w:eastAsia="DengXian" w:cs="Times New Roman"/>
          <w:sz w:val="24"/>
          <w:szCs w:val="24"/>
        </w:rPr>
      </w:pPr>
    </w:p>
    <w:p w14:paraId="7393A2C3" w14:textId="2CB3C494" w:rsidR="00872687" w:rsidRDefault="00872687" w:rsidP="008870BC">
      <w:pPr>
        <w:spacing w:line="360" w:lineRule="auto"/>
        <w:rPr>
          <w:rFonts w:eastAsia="DengXian" w:cs="Times New Roman"/>
          <w:sz w:val="24"/>
          <w:szCs w:val="24"/>
        </w:rPr>
      </w:pPr>
      <w:r>
        <w:rPr>
          <w:rFonts w:eastAsia="DengXian" w:cs="Times New Roman"/>
          <w:sz w:val="24"/>
          <w:szCs w:val="24"/>
        </w:rPr>
        <w:br w:type="page"/>
      </w:r>
    </w:p>
    <w:p w14:paraId="73BEA92A" w14:textId="4A848ED1" w:rsidR="00EA7280" w:rsidRPr="003C2B2B" w:rsidRDefault="00EA7280" w:rsidP="00B178FC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 xml:space="preserve">Supplementary </w:t>
      </w:r>
      <w:r w:rsidR="004571BB" w:rsidRPr="003C2B2B">
        <w:rPr>
          <w:rFonts w:eastAsia="DengXian" w:cs="Times New Roman"/>
          <w:sz w:val="24"/>
          <w:szCs w:val="24"/>
        </w:rPr>
        <w:t>Figure</w:t>
      </w:r>
      <w:r w:rsidRPr="003C2B2B">
        <w:rPr>
          <w:rFonts w:eastAsia="DengXian" w:cs="Times New Roman"/>
          <w:sz w:val="24"/>
          <w:szCs w:val="24"/>
        </w:rPr>
        <w:t xml:space="preserve"> </w:t>
      </w:r>
      <w:r w:rsidR="00B178FC" w:rsidRPr="003C2B2B">
        <w:rPr>
          <w:rFonts w:eastAsia="DengXian" w:cs="Times New Roman"/>
          <w:sz w:val="24"/>
          <w:szCs w:val="24"/>
        </w:rPr>
        <w:t>1</w:t>
      </w:r>
      <w:r w:rsidR="007861EE" w:rsidRPr="003C2B2B">
        <w:rPr>
          <w:rFonts w:eastAsia="DengXian" w:cs="Times New Roman"/>
          <w:sz w:val="24"/>
          <w:szCs w:val="24"/>
        </w:rPr>
        <w:t>:</w:t>
      </w:r>
      <w:r w:rsidRPr="003C2B2B">
        <w:rPr>
          <w:rFonts w:eastAsia="DengXian" w:cs="Times New Roman"/>
          <w:sz w:val="24"/>
          <w:szCs w:val="24"/>
        </w:rPr>
        <w:t xml:space="preserve"> Merging of </w:t>
      </w:r>
      <w:r w:rsidR="003972CD" w:rsidRPr="003C2B2B">
        <w:rPr>
          <w:rFonts w:eastAsia="DengXian" w:cs="Times New Roman"/>
          <w:sz w:val="24"/>
          <w:szCs w:val="24"/>
        </w:rPr>
        <w:t>sequencing meta</w:t>
      </w:r>
      <w:r w:rsidRPr="003C2B2B">
        <w:rPr>
          <w:rFonts w:eastAsia="DengXian" w:cs="Times New Roman"/>
          <w:sz w:val="24"/>
          <w:szCs w:val="24"/>
        </w:rPr>
        <w:t xml:space="preserve">data from independent studies. </w:t>
      </w:r>
      <w:r w:rsidR="0049172B" w:rsidRPr="003C2B2B">
        <w:rPr>
          <w:rFonts w:eastAsia="DengXian" w:cs="Times New Roman"/>
          <w:sz w:val="24"/>
          <w:szCs w:val="24"/>
        </w:rPr>
        <w:t>C</w:t>
      </w:r>
      <w:r w:rsidRPr="003C2B2B">
        <w:rPr>
          <w:rFonts w:eastAsia="DengXian" w:cs="Times New Roman"/>
          <w:sz w:val="24"/>
          <w:szCs w:val="24"/>
        </w:rPr>
        <w:t>ountry and zones</w:t>
      </w:r>
      <w:r w:rsidR="008E2B0D" w:rsidRPr="003C2B2B">
        <w:rPr>
          <w:rFonts w:eastAsia="DengXian" w:cs="Times New Roman"/>
          <w:sz w:val="24"/>
          <w:szCs w:val="24"/>
        </w:rPr>
        <w:t xml:space="preserve"> (A)</w:t>
      </w:r>
      <w:r w:rsidRPr="003C2B2B">
        <w:rPr>
          <w:rFonts w:eastAsia="DengXian" w:cs="Times New Roman"/>
          <w:sz w:val="24"/>
          <w:szCs w:val="24"/>
        </w:rPr>
        <w:t>, amplicon region</w:t>
      </w:r>
      <w:r w:rsidR="008E2B0D" w:rsidRPr="003C2B2B">
        <w:rPr>
          <w:rFonts w:eastAsia="DengXian" w:cs="Times New Roman"/>
          <w:sz w:val="24"/>
          <w:szCs w:val="24"/>
        </w:rPr>
        <w:t xml:space="preserve"> (</w:t>
      </w:r>
      <w:r w:rsidR="008E2B0D" w:rsidRPr="003C2B2B">
        <w:rPr>
          <w:rFonts w:eastAsia="DengXian" w:cs="Times New Roman" w:hint="eastAsia"/>
          <w:sz w:val="24"/>
          <w:szCs w:val="24"/>
        </w:rPr>
        <w:t>B</w:t>
      </w:r>
      <w:r w:rsidR="008E2B0D" w:rsidRPr="003C2B2B">
        <w:rPr>
          <w:rFonts w:eastAsia="DengXian" w:cs="Times New Roman"/>
          <w:sz w:val="24"/>
          <w:szCs w:val="24"/>
        </w:rPr>
        <w:t>), primers (C)</w:t>
      </w:r>
      <w:r w:rsidRPr="003C2B2B">
        <w:rPr>
          <w:rFonts w:eastAsia="DengXian" w:cs="Times New Roman"/>
          <w:sz w:val="24"/>
          <w:szCs w:val="24"/>
        </w:rPr>
        <w:t xml:space="preserve"> and sequencing platforms</w:t>
      </w:r>
      <w:r w:rsidR="008E2B0D" w:rsidRPr="003C2B2B">
        <w:rPr>
          <w:rFonts w:eastAsia="DengXian" w:cs="Times New Roman"/>
          <w:sz w:val="24"/>
          <w:szCs w:val="24"/>
        </w:rPr>
        <w:t xml:space="preserve"> (D)</w:t>
      </w:r>
      <w:r w:rsidRPr="003C2B2B">
        <w:rPr>
          <w:rFonts w:eastAsia="DengXian" w:cs="Times New Roman"/>
          <w:sz w:val="24"/>
          <w:szCs w:val="24"/>
        </w:rPr>
        <w:t xml:space="preserve"> used in this study are displayed.</w:t>
      </w:r>
    </w:p>
    <w:p w14:paraId="746CA033" w14:textId="393BDE2B" w:rsidR="00EA7280" w:rsidRPr="003C2B2B" w:rsidRDefault="00FD013A" w:rsidP="00EA7280">
      <w:pPr>
        <w:rPr>
          <w:rFonts w:eastAsia="DengXian" w:cs="Times New Roman"/>
          <w:sz w:val="28"/>
          <w:szCs w:val="28"/>
        </w:rPr>
      </w:pPr>
      <w:r w:rsidRPr="003C2B2B">
        <w:rPr>
          <w:rFonts w:eastAsia="DengXian" w:cs="Times New Roman"/>
          <w:noProof/>
          <w:sz w:val="28"/>
          <w:szCs w:val="28"/>
          <w:lang w:eastAsia="en-US"/>
        </w:rPr>
        <w:drawing>
          <wp:inline distT="0" distB="0" distL="0" distR="0" wp14:anchorId="32748F60" wp14:editId="6F1AEE3D">
            <wp:extent cx="5274310" cy="5233925"/>
            <wp:effectExtent l="0" t="0" r="2540" b="5080"/>
            <wp:docPr id="3" name="图片 3" descr="C:\Users\jun yuan\Documents\WeChat Files\wxid_k7xdhh6iamh211\FileStorage\File\2022-03\count_bac_study_imformation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un yuan\Documents\WeChat Files\wxid_k7xdhh6iamh211\FileStorage\File\2022-03\count_bac_study_imformation(2)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E8A46" w14:textId="3A3E40D0" w:rsidR="00E16363" w:rsidRPr="003C2B2B" w:rsidRDefault="00E16363" w:rsidP="008870BC">
      <w:pPr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br w:type="page"/>
      </w:r>
    </w:p>
    <w:p w14:paraId="1A6EB46F" w14:textId="4ACB78E8" w:rsidR="008F1EF2" w:rsidRPr="003C2B2B" w:rsidRDefault="008F1EF2" w:rsidP="008F1EF2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 xml:space="preserve">Supplementary Figure </w:t>
      </w:r>
      <w:r w:rsidR="00B178FC" w:rsidRPr="003C2B2B">
        <w:rPr>
          <w:rFonts w:eastAsia="DengXian" w:cs="Times New Roman"/>
          <w:sz w:val="24"/>
          <w:szCs w:val="24"/>
        </w:rPr>
        <w:t>2</w:t>
      </w:r>
      <w:r w:rsidRPr="003C2B2B">
        <w:rPr>
          <w:rFonts w:eastAsia="DengXian" w:cs="Times New Roman"/>
          <w:sz w:val="24"/>
          <w:szCs w:val="24"/>
        </w:rPr>
        <w:t xml:space="preserve">: Principal coordinates analysis (PCoA) with Bray-Curtis dissimilarity performed on </w:t>
      </w:r>
      <w:r w:rsidRPr="003C2B2B">
        <w:rPr>
          <w:rFonts w:eastAsia="DengXian" w:cs="Times New Roman" w:hint="eastAsia"/>
          <w:sz w:val="24"/>
          <w:szCs w:val="24"/>
        </w:rPr>
        <w:t>rhizosphere</w:t>
      </w:r>
      <w:r w:rsidRPr="003C2B2B">
        <w:rPr>
          <w:rFonts w:eastAsia="DengXian" w:cs="Times New Roman"/>
          <w:sz w:val="24"/>
          <w:szCs w:val="24"/>
        </w:rPr>
        <w:t xml:space="preserve"> metabolites. R- and P-values were evaluated via Adonis test. BD:</w:t>
      </w:r>
      <w:r w:rsidRPr="003C2B2B">
        <w:rPr>
          <w:rFonts w:eastAsia="DengXian" w:cs="Times New Roman"/>
          <w:bCs/>
          <w:sz w:val="24"/>
          <w:szCs w:val="24"/>
        </w:rPr>
        <w:t xml:space="preserve"> d</w:t>
      </w:r>
      <w:r w:rsidRPr="003C2B2B">
        <w:rPr>
          <w:rFonts w:eastAsia="DengXian" w:cs="Times New Roman" w:hint="eastAsia"/>
          <w:bCs/>
          <w:sz w:val="24"/>
          <w:szCs w:val="24"/>
        </w:rPr>
        <w:t>iseased</w:t>
      </w:r>
      <w:r w:rsidRPr="003C2B2B">
        <w:rPr>
          <w:rFonts w:eastAsia="DengXian" w:cs="Times New Roman"/>
          <w:bCs/>
          <w:sz w:val="24"/>
          <w:szCs w:val="24"/>
        </w:rPr>
        <w:t xml:space="preserve"> </w:t>
      </w:r>
      <w:r w:rsidRPr="003C2B2B">
        <w:rPr>
          <w:rFonts w:eastAsia="DengXian" w:cs="Times New Roman" w:hint="eastAsia"/>
          <w:bCs/>
          <w:sz w:val="24"/>
          <w:szCs w:val="24"/>
        </w:rPr>
        <w:t>b</w:t>
      </w:r>
      <w:r w:rsidRPr="003C2B2B">
        <w:rPr>
          <w:rFonts w:eastAsia="DengXian" w:cs="Times New Roman"/>
          <w:sz w:val="24"/>
          <w:szCs w:val="24"/>
        </w:rPr>
        <w:t>anana, BH: healthy banana (from Hainan);</w:t>
      </w:r>
      <w:r w:rsidRPr="003C2B2B">
        <w:rPr>
          <w:rFonts w:eastAsia="DengXian" w:cs="Times New Roman" w:hint="eastAsia"/>
          <w:sz w:val="24"/>
          <w:szCs w:val="24"/>
        </w:rPr>
        <w:t xml:space="preserve"> </w:t>
      </w:r>
      <w:r w:rsidRPr="003C2B2B">
        <w:rPr>
          <w:rFonts w:eastAsia="DengXian" w:cs="Times New Roman"/>
          <w:sz w:val="24"/>
          <w:szCs w:val="24"/>
        </w:rPr>
        <w:t>CD: diseased cucumber, CH healthy cucumber</w:t>
      </w:r>
      <w:r w:rsidRPr="003C2B2B">
        <w:rPr>
          <w:rFonts w:eastAsia="DengXian" w:cs="Times New Roman" w:hint="eastAsia"/>
          <w:sz w:val="24"/>
          <w:szCs w:val="24"/>
        </w:rPr>
        <w:t xml:space="preserve"> </w:t>
      </w:r>
      <w:r w:rsidRPr="003C2B2B">
        <w:rPr>
          <w:rFonts w:eastAsia="DengXian" w:cs="Times New Roman"/>
          <w:sz w:val="24"/>
          <w:szCs w:val="24"/>
        </w:rPr>
        <w:t>(from Guangdong)</w:t>
      </w:r>
      <w:r w:rsidRPr="003C2B2B">
        <w:rPr>
          <w:rFonts w:eastAsia="DengXian" w:cs="Times New Roman" w:hint="eastAsia"/>
          <w:sz w:val="24"/>
          <w:szCs w:val="24"/>
        </w:rPr>
        <w:t>;</w:t>
      </w:r>
      <w:r w:rsidRPr="003C2B2B">
        <w:rPr>
          <w:rFonts w:eastAsia="DengXian" w:cs="Times New Roman"/>
          <w:sz w:val="24"/>
          <w:szCs w:val="24"/>
        </w:rPr>
        <w:t xml:space="preserve"> WD: diseased watermelon, WH: healthy watermelon</w:t>
      </w:r>
      <w:r w:rsidRPr="003C2B2B">
        <w:rPr>
          <w:rFonts w:eastAsia="DengXian" w:cs="Times New Roman" w:hint="eastAsia"/>
          <w:sz w:val="24"/>
          <w:szCs w:val="24"/>
        </w:rPr>
        <w:t xml:space="preserve"> </w:t>
      </w:r>
      <w:r w:rsidRPr="003C2B2B">
        <w:rPr>
          <w:rFonts w:eastAsia="DengXian" w:cs="Times New Roman"/>
          <w:sz w:val="24"/>
          <w:szCs w:val="24"/>
        </w:rPr>
        <w:t>(from Beijing)</w:t>
      </w:r>
      <w:r w:rsidRPr="003C2B2B">
        <w:rPr>
          <w:rFonts w:eastAsia="DengXian" w:cs="Times New Roman" w:hint="eastAsia"/>
          <w:sz w:val="24"/>
          <w:szCs w:val="24"/>
        </w:rPr>
        <w:t>;</w:t>
      </w:r>
      <w:r w:rsidRPr="003C2B2B">
        <w:rPr>
          <w:rFonts w:eastAsia="DengXian" w:cs="Times New Roman"/>
          <w:sz w:val="24"/>
          <w:szCs w:val="24"/>
        </w:rPr>
        <w:t xml:space="preserve"> LD: diseased lily, LH: healthy lily</w:t>
      </w:r>
      <w:r w:rsidRPr="003C2B2B">
        <w:rPr>
          <w:rFonts w:eastAsia="DengXian" w:cs="Times New Roman" w:hint="eastAsia"/>
          <w:sz w:val="24"/>
          <w:szCs w:val="24"/>
        </w:rPr>
        <w:t xml:space="preserve"> </w:t>
      </w:r>
      <w:r w:rsidRPr="003C2B2B">
        <w:rPr>
          <w:rFonts w:eastAsia="DengXian" w:cs="Times New Roman"/>
          <w:sz w:val="24"/>
          <w:szCs w:val="24"/>
        </w:rPr>
        <w:t>(from Hunan).</w:t>
      </w:r>
    </w:p>
    <w:p w14:paraId="7AEA44A7" w14:textId="77777777" w:rsidR="00BA0E50" w:rsidRPr="003C2B2B" w:rsidRDefault="00BA0E50" w:rsidP="008F1EF2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</w:p>
    <w:p w14:paraId="4BC6F1FC" w14:textId="0BC9E14C" w:rsidR="00A43E74" w:rsidRPr="003C2B2B" w:rsidRDefault="00BA0E50" w:rsidP="00BA0E50">
      <w:pPr>
        <w:tabs>
          <w:tab w:val="left" w:pos="5310"/>
        </w:tabs>
        <w:spacing w:line="360" w:lineRule="auto"/>
        <w:jc w:val="center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noProof/>
          <w:sz w:val="24"/>
          <w:szCs w:val="24"/>
          <w:lang w:eastAsia="en-US"/>
        </w:rPr>
        <w:drawing>
          <wp:inline distT="0" distB="0" distL="0" distR="0" wp14:anchorId="5AD4C9F8" wp14:editId="5E67CEC3">
            <wp:extent cx="4703080" cy="3417998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782" cy="345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CC63D" w14:textId="12D754EC" w:rsidR="008F1EF2" w:rsidRPr="003C2B2B" w:rsidRDefault="008F1EF2" w:rsidP="00D02357">
      <w:pPr>
        <w:tabs>
          <w:tab w:val="left" w:pos="5310"/>
        </w:tabs>
        <w:spacing w:line="360" w:lineRule="auto"/>
        <w:jc w:val="center"/>
        <w:rPr>
          <w:rFonts w:cs="Times New Roman"/>
          <w:sz w:val="24"/>
          <w:szCs w:val="24"/>
        </w:rPr>
      </w:pPr>
    </w:p>
    <w:p w14:paraId="191DE9AE" w14:textId="77777777" w:rsidR="008F1EF2" w:rsidRPr="003C2B2B" w:rsidRDefault="008F1EF2" w:rsidP="008F1EF2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</w:p>
    <w:p w14:paraId="21034DEB" w14:textId="45C47A06" w:rsidR="0052054E" w:rsidRPr="003C2B2B" w:rsidRDefault="0052054E" w:rsidP="00756FEC">
      <w:pPr>
        <w:tabs>
          <w:tab w:val="left" w:pos="5310"/>
        </w:tabs>
        <w:spacing w:line="360" w:lineRule="auto"/>
        <w:jc w:val="center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br w:type="page"/>
      </w:r>
    </w:p>
    <w:p w14:paraId="1D7D4166" w14:textId="585F3A40" w:rsidR="00A923CB" w:rsidRPr="003C2B2B" w:rsidRDefault="00A923CB" w:rsidP="00A923CB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 xml:space="preserve">Supplementary Figure </w:t>
      </w:r>
      <w:r w:rsidR="006D301B" w:rsidRPr="003C2B2B">
        <w:rPr>
          <w:rFonts w:eastAsia="DengXian" w:cs="Times New Roman"/>
          <w:sz w:val="24"/>
          <w:szCs w:val="24"/>
        </w:rPr>
        <w:t>3</w:t>
      </w:r>
      <w:r w:rsidRPr="003C2B2B">
        <w:rPr>
          <w:rFonts w:eastAsia="DengXian" w:cs="Times New Roman"/>
          <w:sz w:val="24"/>
          <w:szCs w:val="24"/>
        </w:rPr>
        <w:t>: T</w:t>
      </w:r>
      <w:r w:rsidRPr="003C2B2B">
        <w:rPr>
          <w:rFonts w:eastAsia="DengXian" w:cs="Times New Roman" w:hint="eastAsia"/>
          <w:sz w:val="24"/>
          <w:szCs w:val="24"/>
        </w:rPr>
        <w:t>he</w:t>
      </w:r>
      <w:r w:rsidRPr="003C2B2B">
        <w:rPr>
          <w:rFonts w:eastAsia="DengXian" w:cs="Times New Roman"/>
          <w:sz w:val="24"/>
          <w:szCs w:val="24"/>
        </w:rPr>
        <w:t xml:space="preserve"> accuracy of Random Forest models built with microbes belonging to the five genera in our sequencing data</w:t>
      </w:r>
    </w:p>
    <w:p w14:paraId="6942B241" w14:textId="77777777" w:rsidR="00A923CB" w:rsidRPr="003C2B2B" w:rsidRDefault="00A923CB" w:rsidP="00A923CB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</w:p>
    <w:p w14:paraId="3EBD5D67" w14:textId="77777777" w:rsidR="00A923CB" w:rsidRPr="003C2B2B" w:rsidRDefault="00A923CB" w:rsidP="00A923CB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  <w:r w:rsidRPr="003C2B2B">
        <w:rPr>
          <w:rFonts w:cs="Times New Roman"/>
          <w:noProof/>
          <w:sz w:val="24"/>
          <w:szCs w:val="24"/>
          <w:lang w:eastAsia="en-US"/>
        </w:rPr>
        <w:drawing>
          <wp:inline distT="0" distB="0" distL="0" distR="0" wp14:anchorId="166DA2C6" wp14:editId="070A3A3C">
            <wp:extent cx="5273675" cy="2334895"/>
            <wp:effectExtent l="0" t="0" r="3175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33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C2B2B">
        <w:rPr>
          <w:rFonts w:cs="Times New Roman"/>
          <w:sz w:val="24"/>
          <w:szCs w:val="24"/>
        </w:rPr>
        <w:br w:type="page"/>
      </w:r>
    </w:p>
    <w:p w14:paraId="01B50094" w14:textId="416AEECC" w:rsidR="00A923CB" w:rsidRPr="003C2B2B" w:rsidRDefault="00A923CB" w:rsidP="00A923CB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bookmarkStart w:id="0" w:name="_Hlk78190670"/>
      <w:r w:rsidRPr="003C2B2B">
        <w:rPr>
          <w:rFonts w:eastAsia="DengXian" w:cs="Times New Roman"/>
          <w:sz w:val="24"/>
          <w:szCs w:val="24"/>
        </w:rPr>
        <w:lastRenderedPageBreak/>
        <w:t>Supplementary Figure</w:t>
      </w:r>
      <w:bookmarkEnd w:id="0"/>
      <w:r w:rsidRPr="003C2B2B">
        <w:rPr>
          <w:rFonts w:eastAsia="DengXian" w:cs="Times New Roman"/>
          <w:sz w:val="24"/>
          <w:szCs w:val="24"/>
        </w:rPr>
        <w:t xml:space="preserve"> </w:t>
      </w:r>
      <w:r w:rsidR="006D301B" w:rsidRPr="003C2B2B">
        <w:rPr>
          <w:rFonts w:eastAsia="DengXian" w:cs="Times New Roman"/>
          <w:sz w:val="24"/>
          <w:szCs w:val="24"/>
        </w:rPr>
        <w:t>4</w:t>
      </w:r>
      <w:r w:rsidRPr="003C2B2B">
        <w:rPr>
          <w:rFonts w:eastAsia="DengXian" w:cs="Times New Roman"/>
          <w:sz w:val="24"/>
          <w:szCs w:val="24"/>
        </w:rPr>
        <w:t>: T</w:t>
      </w:r>
      <w:r w:rsidRPr="003C2B2B">
        <w:rPr>
          <w:rFonts w:eastAsia="DengXian" w:cs="Times New Roman" w:hint="eastAsia"/>
          <w:sz w:val="24"/>
          <w:szCs w:val="24"/>
        </w:rPr>
        <w:t>he</w:t>
      </w:r>
      <w:r w:rsidRPr="003C2B2B">
        <w:rPr>
          <w:rFonts w:eastAsia="DengXian" w:cs="Times New Roman"/>
          <w:sz w:val="24"/>
          <w:szCs w:val="24"/>
        </w:rPr>
        <w:t xml:space="preserve"> accuracy of Random Forest models built with microbes belonging to the five genera in the integrated metadata</w:t>
      </w:r>
      <w:r w:rsidRPr="003C2B2B">
        <w:rPr>
          <w:rFonts w:eastAsia="DengXian" w:cs="Times New Roman" w:hint="eastAsia"/>
          <w:sz w:val="24"/>
          <w:szCs w:val="24"/>
        </w:rPr>
        <w:t>.</w:t>
      </w:r>
    </w:p>
    <w:p w14:paraId="17E3DE2C" w14:textId="77777777" w:rsidR="00A923CB" w:rsidRPr="003C2B2B" w:rsidRDefault="00A923CB" w:rsidP="00A923CB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</w:p>
    <w:p w14:paraId="1BCEFE81" w14:textId="77777777" w:rsidR="00A923CB" w:rsidRPr="003C2B2B" w:rsidRDefault="00A923CB" w:rsidP="00A923CB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</w:p>
    <w:p w14:paraId="6F064E09" w14:textId="77777777" w:rsidR="00A923CB" w:rsidRPr="003C2B2B" w:rsidRDefault="00A923CB" w:rsidP="00A923CB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  <w:r w:rsidRPr="003C2B2B">
        <w:rPr>
          <w:rFonts w:cs="Times New Roman"/>
          <w:noProof/>
          <w:sz w:val="24"/>
          <w:szCs w:val="24"/>
          <w:lang w:eastAsia="en-US"/>
        </w:rPr>
        <w:drawing>
          <wp:inline distT="0" distB="0" distL="0" distR="0" wp14:anchorId="2E68BB08" wp14:editId="02DBF455">
            <wp:extent cx="4974590" cy="2298700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90" cy="229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ECB1CB" w14:textId="1A40E1F5" w:rsidR="0052054E" w:rsidRPr="003C2B2B" w:rsidRDefault="0052054E" w:rsidP="00A923CB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  <w:r w:rsidRPr="003C2B2B">
        <w:rPr>
          <w:rFonts w:cs="Times New Roman"/>
          <w:sz w:val="24"/>
          <w:szCs w:val="24"/>
        </w:rPr>
        <w:br w:type="page"/>
      </w:r>
    </w:p>
    <w:p w14:paraId="206614EC" w14:textId="4DF3E865" w:rsidR="006D301B" w:rsidRPr="003C2B2B" w:rsidRDefault="006D301B" w:rsidP="006D301B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>Supplementary Figure 5: Principal coordinates analysis (PCoA) with Bray-Curtis dissimilarity performed on the taxonomic profile (at the OTU level) of compounds in conditioned soils. R- and P-values were evaluated via Adonis test</w:t>
      </w:r>
      <w:r w:rsidRPr="003C2B2B">
        <w:rPr>
          <w:rFonts w:eastAsia="DengXian" w:cs="Times New Roman" w:hint="eastAsia"/>
          <w:sz w:val="24"/>
          <w:szCs w:val="24"/>
        </w:rPr>
        <w:t>.</w:t>
      </w:r>
      <w:r w:rsidRPr="003C2B2B">
        <w:rPr>
          <w:rFonts w:eastAsia="DengXian" w:cs="Times New Roman"/>
          <w:sz w:val="24"/>
          <w:szCs w:val="24"/>
        </w:rPr>
        <w:t xml:space="preserve"> </w:t>
      </w:r>
    </w:p>
    <w:p w14:paraId="39B2DAB6" w14:textId="77777777" w:rsidR="00A923CB" w:rsidRPr="003C2B2B" w:rsidRDefault="00A923CB" w:rsidP="00B178FC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</w:p>
    <w:p w14:paraId="69820DD1" w14:textId="22DCAF7E" w:rsidR="0052054E" w:rsidRPr="003C2B2B" w:rsidRDefault="00CC6A70" w:rsidP="00CE7941">
      <w:pPr>
        <w:tabs>
          <w:tab w:val="left" w:pos="5310"/>
        </w:tabs>
        <w:spacing w:line="360" w:lineRule="auto"/>
        <w:jc w:val="center"/>
        <w:rPr>
          <w:rFonts w:eastAsia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3C2B2B">
        <w:rPr>
          <w:rFonts w:eastAsia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E7941" w:rsidRPr="003C2B2B">
        <w:rPr>
          <w:rFonts w:eastAsia="Times New Roman" w:cs="Times New Roman"/>
          <w:noProof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en-US"/>
        </w:rPr>
        <w:drawing>
          <wp:anchor distT="0" distB="0" distL="114300" distR="114300" simplePos="0" relativeHeight="251658240" behindDoc="0" locked="0" layoutInCell="1" allowOverlap="1" wp14:anchorId="26F6E2F5" wp14:editId="118F1DFB">
            <wp:simplePos x="0" y="0"/>
            <wp:positionH relativeFrom="column">
              <wp:posOffset>791210</wp:posOffset>
            </wp:positionH>
            <wp:positionV relativeFrom="paragraph">
              <wp:posOffset>98425</wp:posOffset>
            </wp:positionV>
            <wp:extent cx="3688080" cy="3569970"/>
            <wp:effectExtent l="0" t="0" r="7620" b="0"/>
            <wp:wrapTopAndBottom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452B40" w14:textId="0398EBC1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C98F2C1" w14:textId="32A58CF6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41D91B6" w14:textId="4D6BAC83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6C5FCAD" w14:textId="647B3F94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742FC96" w14:textId="0FE0EEF2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33B7555" w14:textId="5B11194A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A041CCD" w14:textId="1D3CF60D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DengXian" w:cs="Times New Roman"/>
          <w:b/>
          <w:bCs/>
          <w:sz w:val="24"/>
          <w:szCs w:val="24"/>
        </w:rPr>
      </w:pPr>
    </w:p>
    <w:p w14:paraId="46B80938" w14:textId="1D468189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DengXian" w:cs="Times New Roman"/>
          <w:b/>
          <w:bCs/>
          <w:sz w:val="24"/>
          <w:szCs w:val="24"/>
        </w:rPr>
      </w:pPr>
    </w:p>
    <w:p w14:paraId="34E43698" w14:textId="320F262F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DengXian" w:cs="Times New Roman"/>
          <w:b/>
          <w:bCs/>
          <w:sz w:val="24"/>
          <w:szCs w:val="24"/>
        </w:rPr>
      </w:pPr>
    </w:p>
    <w:p w14:paraId="0A389F10" w14:textId="393ACEF4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DengXian" w:cs="Times New Roman"/>
          <w:b/>
          <w:bCs/>
          <w:sz w:val="24"/>
          <w:szCs w:val="24"/>
        </w:rPr>
      </w:pPr>
    </w:p>
    <w:p w14:paraId="20222B94" w14:textId="59EE8470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DengXian" w:cs="Times New Roman"/>
          <w:b/>
          <w:bCs/>
          <w:sz w:val="24"/>
          <w:szCs w:val="24"/>
        </w:rPr>
      </w:pPr>
    </w:p>
    <w:p w14:paraId="3FD1B82B" w14:textId="77777777" w:rsidR="00CE7941" w:rsidRPr="003C2B2B" w:rsidRDefault="00CE7941" w:rsidP="00CE7941">
      <w:pPr>
        <w:tabs>
          <w:tab w:val="left" w:pos="5310"/>
        </w:tabs>
        <w:spacing w:line="360" w:lineRule="auto"/>
        <w:jc w:val="center"/>
        <w:rPr>
          <w:rFonts w:eastAsia="DengXian" w:cs="Times New Roman"/>
          <w:b/>
          <w:bCs/>
          <w:sz w:val="24"/>
          <w:szCs w:val="24"/>
        </w:rPr>
      </w:pPr>
    </w:p>
    <w:p w14:paraId="696B1E57" w14:textId="77777777" w:rsidR="00095E21" w:rsidRPr="003C2B2B" w:rsidRDefault="00095E21" w:rsidP="00095E21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 xml:space="preserve">Supplementary Figure 6 Principal coordinates analysis (PCoA) with Bray-Curtis dissimilarity performed on the metagenome profile of two soils conditioned with metabolites. S1C1 means soil1 conditioned by metabolites at concentration of </w:t>
      </w:r>
      <w:r w:rsidRPr="003C2B2B">
        <w:rPr>
          <w:rFonts w:cs="Times New Roman"/>
          <w:sz w:val="24"/>
          <w:szCs w:val="24"/>
        </w:rPr>
        <w:t>1 μM</w:t>
      </w:r>
      <w:r w:rsidRPr="003C2B2B">
        <w:rPr>
          <w:rFonts w:eastAsia="DengXian" w:cs="Times New Roman"/>
          <w:sz w:val="24"/>
          <w:szCs w:val="24"/>
        </w:rPr>
        <w:t xml:space="preserve">; S1C2 means soil1 conditioned by metabolites at concentration of </w:t>
      </w:r>
      <w:r w:rsidRPr="003C2B2B">
        <w:rPr>
          <w:rFonts w:cs="Times New Roman"/>
          <w:sz w:val="24"/>
          <w:szCs w:val="24"/>
        </w:rPr>
        <w:t>100 μM</w:t>
      </w:r>
      <w:r w:rsidRPr="003C2B2B">
        <w:rPr>
          <w:rFonts w:eastAsia="DengXian" w:cs="Times New Roman"/>
          <w:sz w:val="24"/>
          <w:szCs w:val="24"/>
        </w:rPr>
        <w:t xml:space="preserve">; S2C1 means soil2 conditioned by metabolites at concentration of </w:t>
      </w:r>
      <w:r w:rsidRPr="003C2B2B">
        <w:rPr>
          <w:rFonts w:cs="Times New Roman"/>
          <w:sz w:val="24"/>
          <w:szCs w:val="24"/>
        </w:rPr>
        <w:t>1 μM</w:t>
      </w:r>
      <w:r w:rsidRPr="003C2B2B">
        <w:rPr>
          <w:rFonts w:eastAsia="DengXian" w:cs="Times New Roman"/>
          <w:sz w:val="24"/>
          <w:szCs w:val="24"/>
        </w:rPr>
        <w:t xml:space="preserve">; S2C2 means soil2 conditioned by metabolites at concentration of </w:t>
      </w:r>
      <w:r w:rsidRPr="003C2B2B">
        <w:rPr>
          <w:rFonts w:cs="Times New Roman"/>
          <w:sz w:val="24"/>
          <w:szCs w:val="24"/>
        </w:rPr>
        <w:t>100 μM</w:t>
      </w:r>
      <w:r w:rsidRPr="003C2B2B">
        <w:rPr>
          <w:rFonts w:eastAsia="DengXian" w:cs="Times New Roman"/>
          <w:sz w:val="24"/>
          <w:szCs w:val="24"/>
        </w:rPr>
        <w:t>.</w:t>
      </w:r>
    </w:p>
    <w:p w14:paraId="0A496BA1" w14:textId="77777777" w:rsidR="00095E21" w:rsidRPr="003C2B2B" w:rsidRDefault="00095E21" w:rsidP="00095E21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</w:p>
    <w:p w14:paraId="3DB2B3F0" w14:textId="11A40212" w:rsidR="00095E21" w:rsidRPr="003C2B2B" w:rsidRDefault="00905B21" w:rsidP="00095E21">
      <w:pPr>
        <w:tabs>
          <w:tab w:val="left" w:pos="5310"/>
        </w:tabs>
        <w:spacing w:line="360" w:lineRule="auto"/>
        <w:jc w:val="center"/>
        <w:rPr>
          <w:rFonts w:cs="Times New Roman"/>
          <w:sz w:val="24"/>
          <w:szCs w:val="24"/>
        </w:rPr>
      </w:pPr>
      <w:r w:rsidRPr="003C2B2B">
        <w:rPr>
          <w:rFonts w:cs="Times New Roman"/>
          <w:noProof/>
          <w:sz w:val="24"/>
          <w:szCs w:val="24"/>
          <w:lang w:eastAsia="en-US"/>
        </w:rPr>
        <w:drawing>
          <wp:inline distT="0" distB="0" distL="0" distR="0" wp14:anchorId="26E37DCD" wp14:editId="707D2E4B">
            <wp:extent cx="3864429" cy="3720974"/>
            <wp:effectExtent l="0" t="0" r="317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758" cy="37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DDDB9" w14:textId="77777777" w:rsidR="00095E21" w:rsidRPr="003C2B2B" w:rsidRDefault="00095E21" w:rsidP="00095E21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cs="Times New Roman"/>
          <w:sz w:val="24"/>
          <w:szCs w:val="24"/>
        </w:rPr>
        <w:br w:type="page"/>
      </w:r>
    </w:p>
    <w:p w14:paraId="1A26F885" w14:textId="3F4C6D75" w:rsidR="003E401F" w:rsidRPr="003C2B2B" w:rsidRDefault="003A44E2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 xml:space="preserve">Supplementary Figure </w:t>
      </w:r>
      <w:r w:rsidR="00095E21" w:rsidRPr="003C2B2B">
        <w:rPr>
          <w:rFonts w:eastAsia="DengXian" w:cs="Times New Roman"/>
          <w:sz w:val="24"/>
          <w:szCs w:val="24"/>
        </w:rPr>
        <w:t>7</w:t>
      </w:r>
      <w:r w:rsidRPr="003C2B2B">
        <w:rPr>
          <w:rFonts w:eastAsia="DengXian" w:cs="Times New Roman"/>
          <w:sz w:val="24"/>
          <w:szCs w:val="24"/>
        </w:rPr>
        <w:t>:</w:t>
      </w:r>
      <w:r w:rsidR="006222A9" w:rsidRPr="003C2B2B">
        <w:rPr>
          <w:rFonts w:eastAsia="DengXian" w:cs="Times New Roman"/>
          <w:sz w:val="24"/>
          <w:szCs w:val="24"/>
        </w:rPr>
        <w:t xml:space="preserve"> </w:t>
      </w:r>
      <w:r w:rsidR="00045944" w:rsidRPr="003C2B2B">
        <w:rPr>
          <w:rFonts w:eastAsia="DengXian" w:cs="Times New Roman"/>
          <w:sz w:val="24"/>
          <w:szCs w:val="24"/>
        </w:rPr>
        <w:t xml:space="preserve">GSVA was performed to identify </w:t>
      </w:r>
      <w:r w:rsidR="00AA167F" w:rsidRPr="003C2B2B">
        <w:rPr>
          <w:rFonts w:eastAsia="DengXian" w:cs="Times New Roman"/>
          <w:sz w:val="24"/>
          <w:szCs w:val="24"/>
        </w:rPr>
        <w:t xml:space="preserve">significantly </w:t>
      </w:r>
      <w:r w:rsidR="00045944" w:rsidRPr="003C2B2B">
        <w:rPr>
          <w:rFonts w:eastAsia="DengXian" w:cs="Times New Roman"/>
          <w:sz w:val="24"/>
          <w:szCs w:val="24"/>
        </w:rPr>
        <w:t xml:space="preserve">enriched </w:t>
      </w:r>
      <w:r w:rsidR="00175650" w:rsidRPr="003C2B2B">
        <w:rPr>
          <w:rFonts w:eastAsia="DengXian" w:cs="Times New Roman"/>
          <w:sz w:val="24"/>
          <w:szCs w:val="24"/>
        </w:rPr>
        <w:t xml:space="preserve">(P-value &lt; 0.05, </w:t>
      </w:r>
      <w:r w:rsidR="00AA167F" w:rsidRPr="003C2B2B">
        <w:rPr>
          <w:rFonts w:eastAsia="DengXian" w:cs="Times New Roman"/>
          <w:sz w:val="24"/>
          <w:szCs w:val="24"/>
        </w:rPr>
        <w:t>t</w:t>
      </w:r>
      <w:r w:rsidR="00175650" w:rsidRPr="003C2B2B">
        <w:rPr>
          <w:rFonts w:eastAsia="DengXian" w:cs="Times New Roman"/>
          <w:sz w:val="24"/>
          <w:szCs w:val="24"/>
        </w:rPr>
        <w:t>wo-sided unpaired limma)</w:t>
      </w:r>
      <w:r w:rsidR="00045944" w:rsidRPr="003C2B2B">
        <w:rPr>
          <w:rFonts w:eastAsia="DengXian" w:cs="Times New Roman"/>
          <w:sz w:val="24"/>
          <w:szCs w:val="24"/>
        </w:rPr>
        <w:t xml:space="preserve"> biological pathways between S1C1 and S1CK. Bubble</w:t>
      </w:r>
      <w:r w:rsidR="00AA167F" w:rsidRPr="003C2B2B">
        <w:rPr>
          <w:rFonts w:eastAsia="DengXian" w:cs="Times New Roman"/>
          <w:sz w:val="24"/>
          <w:szCs w:val="24"/>
        </w:rPr>
        <w:t>s</w:t>
      </w:r>
      <w:r w:rsidR="00045944" w:rsidRPr="003C2B2B">
        <w:rPr>
          <w:rFonts w:eastAsia="DengXian" w:cs="Times New Roman"/>
          <w:sz w:val="24"/>
          <w:szCs w:val="24"/>
        </w:rPr>
        <w:t xml:space="preserve"> </w:t>
      </w:r>
      <w:r w:rsidR="00AA167F" w:rsidRPr="003C2B2B">
        <w:rPr>
          <w:rFonts w:eastAsia="DengXian" w:cs="Times New Roman"/>
          <w:sz w:val="24"/>
          <w:szCs w:val="24"/>
        </w:rPr>
        <w:t>indicated</w:t>
      </w:r>
      <w:r w:rsidR="00045944" w:rsidRPr="003C2B2B">
        <w:rPr>
          <w:rFonts w:eastAsia="DengXian" w:cs="Times New Roman"/>
          <w:sz w:val="24"/>
          <w:szCs w:val="24"/>
        </w:rPr>
        <w:t xml:space="preserve"> GSVA enrichment score of</w:t>
      </w:r>
      <w:r w:rsidR="00175650" w:rsidRPr="003C2B2B">
        <w:rPr>
          <w:rFonts w:eastAsia="DengXian" w:cs="Times New Roman"/>
          <w:sz w:val="24"/>
          <w:szCs w:val="24"/>
        </w:rPr>
        <w:t xml:space="preserve"> these</w:t>
      </w:r>
      <w:r w:rsidR="00045944" w:rsidRPr="003C2B2B">
        <w:rPr>
          <w:rFonts w:eastAsia="DengXian" w:cs="Times New Roman"/>
          <w:sz w:val="24"/>
          <w:szCs w:val="24"/>
        </w:rPr>
        <w:t xml:space="preserve"> pathways</w:t>
      </w:r>
      <w:r w:rsidR="00175650" w:rsidRPr="003C2B2B">
        <w:rPr>
          <w:rFonts w:eastAsia="DengXian" w:cs="Times New Roman"/>
          <w:sz w:val="24"/>
          <w:szCs w:val="24"/>
        </w:rPr>
        <w:t>.</w:t>
      </w:r>
    </w:p>
    <w:p w14:paraId="246E48FB" w14:textId="4DC8260D" w:rsidR="003E401F" w:rsidRPr="003C2B2B" w:rsidRDefault="00EC234A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noProof/>
          <w:lang w:eastAsia="en-US"/>
        </w:rPr>
        <w:drawing>
          <wp:inline distT="0" distB="0" distL="0" distR="0" wp14:anchorId="501251B2" wp14:editId="643F8D33">
            <wp:extent cx="5274310" cy="641413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1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D51FB" w14:textId="1CD653D1" w:rsidR="0052054E" w:rsidRPr="003C2B2B" w:rsidRDefault="0052054E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br w:type="page"/>
      </w:r>
    </w:p>
    <w:p w14:paraId="084B2424" w14:textId="4D4A7505" w:rsidR="00CC6A70" w:rsidRPr="003C2B2B" w:rsidRDefault="006222A9" w:rsidP="00E957F8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 xml:space="preserve">Supplementary Figure </w:t>
      </w:r>
      <w:r w:rsidR="00887D50" w:rsidRPr="003C2B2B">
        <w:rPr>
          <w:rFonts w:eastAsia="DengXian" w:cs="Times New Roman"/>
          <w:sz w:val="24"/>
          <w:szCs w:val="24"/>
        </w:rPr>
        <w:t>8</w:t>
      </w:r>
      <w:r w:rsidRPr="003C2B2B">
        <w:rPr>
          <w:rFonts w:eastAsia="DengXian" w:cs="Times New Roman"/>
          <w:sz w:val="24"/>
          <w:szCs w:val="24"/>
        </w:rPr>
        <w:t xml:space="preserve">: </w:t>
      </w:r>
      <w:r w:rsidR="00E957F8" w:rsidRPr="003C2B2B">
        <w:rPr>
          <w:rFonts w:eastAsia="DengXian" w:cs="Times New Roman"/>
          <w:sz w:val="24"/>
          <w:szCs w:val="24"/>
        </w:rPr>
        <w:t>GSVA was performed to identify significantly enriched (P-value &lt; 0.05, two-sided unpaired limma) biological pathways between S1C2 and S1CK. Bubbles indicated GSVA enrichment score of these pathways.</w:t>
      </w:r>
    </w:p>
    <w:p w14:paraId="717B3995" w14:textId="5A095B6C" w:rsidR="006222A9" w:rsidRPr="003C2B2B" w:rsidRDefault="006222A9" w:rsidP="006222A9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</w:p>
    <w:p w14:paraId="779E3D1A" w14:textId="0FE3288A" w:rsidR="0052054E" w:rsidRPr="003C2B2B" w:rsidRDefault="00CE7610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noProof/>
          <w:lang w:eastAsia="en-US"/>
        </w:rPr>
        <w:drawing>
          <wp:inline distT="0" distB="0" distL="0" distR="0" wp14:anchorId="148D34D8" wp14:editId="078B8E6A">
            <wp:extent cx="5274310" cy="20453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4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2B2B">
        <w:rPr>
          <w:rFonts w:eastAsia="DengXian" w:cs="Times New Roman"/>
          <w:sz w:val="24"/>
          <w:szCs w:val="24"/>
        </w:rPr>
        <w:t xml:space="preserve"> </w:t>
      </w:r>
      <w:r w:rsidR="0052054E" w:rsidRPr="003C2B2B">
        <w:rPr>
          <w:rFonts w:eastAsia="DengXian" w:cs="Times New Roman"/>
          <w:sz w:val="24"/>
          <w:szCs w:val="24"/>
        </w:rPr>
        <w:br w:type="page"/>
      </w:r>
    </w:p>
    <w:p w14:paraId="15EA3983" w14:textId="76990DC2" w:rsidR="00CC6A70" w:rsidRPr="003C2B2B" w:rsidRDefault="006222A9" w:rsidP="00CC6A70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 xml:space="preserve">Supplementary Figure </w:t>
      </w:r>
      <w:r w:rsidR="00887D50" w:rsidRPr="003C2B2B">
        <w:rPr>
          <w:rFonts w:eastAsia="DengXian" w:cs="Times New Roman"/>
          <w:sz w:val="24"/>
          <w:szCs w:val="24"/>
        </w:rPr>
        <w:t>9</w:t>
      </w:r>
      <w:r w:rsidRPr="003C2B2B">
        <w:rPr>
          <w:rFonts w:eastAsia="DengXian" w:cs="Times New Roman"/>
          <w:sz w:val="24"/>
          <w:szCs w:val="24"/>
        </w:rPr>
        <w:t xml:space="preserve">: </w:t>
      </w:r>
      <w:r w:rsidR="00E957F8" w:rsidRPr="003C2B2B">
        <w:rPr>
          <w:rFonts w:eastAsia="DengXian" w:cs="Times New Roman"/>
          <w:sz w:val="24"/>
          <w:szCs w:val="24"/>
        </w:rPr>
        <w:t>GSVA was performed to identify significantly enriched (P-value &lt; 0.05, two-sided unpaired limma) biological pathways between S2C1 and S2CK. Bubbles indicated GSVA enrichment score of these pathways.</w:t>
      </w:r>
    </w:p>
    <w:p w14:paraId="7371AE73" w14:textId="01086A5C" w:rsidR="00CE7941" w:rsidRPr="003C2B2B" w:rsidRDefault="00CE7610" w:rsidP="00CE7941">
      <w:pPr>
        <w:tabs>
          <w:tab w:val="left" w:pos="5310"/>
        </w:tabs>
        <w:spacing w:line="360" w:lineRule="auto"/>
        <w:jc w:val="center"/>
        <w:rPr>
          <w:rFonts w:eastAsia="DengXian" w:cs="Times New Roman"/>
          <w:sz w:val="24"/>
          <w:szCs w:val="24"/>
        </w:rPr>
      </w:pPr>
      <w:r w:rsidRPr="003C2B2B">
        <w:rPr>
          <w:noProof/>
          <w:lang w:eastAsia="en-US"/>
        </w:rPr>
        <w:drawing>
          <wp:inline distT="0" distB="0" distL="0" distR="0" wp14:anchorId="45E67759" wp14:editId="1728F7C4">
            <wp:extent cx="4477976" cy="7826645"/>
            <wp:effectExtent l="0" t="0" r="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605" cy="78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95EEA" w14:textId="6311EAFD" w:rsidR="00D02357" w:rsidRPr="003C2B2B" w:rsidRDefault="00D02357" w:rsidP="00CE7941">
      <w:pPr>
        <w:widowControl/>
        <w:jc w:val="left"/>
        <w:rPr>
          <w:rFonts w:eastAsia="DengXian" w:cs="Times New Roman"/>
          <w:sz w:val="24"/>
          <w:szCs w:val="24"/>
        </w:rPr>
      </w:pPr>
    </w:p>
    <w:p w14:paraId="466714E7" w14:textId="426CD1BA" w:rsidR="00E957F8" w:rsidRPr="003C2B2B" w:rsidRDefault="00882306" w:rsidP="00E957F8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t xml:space="preserve">Supplementary Figure </w:t>
      </w:r>
      <w:r w:rsidR="00887D50" w:rsidRPr="003C2B2B">
        <w:rPr>
          <w:rFonts w:eastAsia="DengXian" w:cs="Times New Roman"/>
          <w:sz w:val="24"/>
          <w:szCs w:val="24"/>
        </w:rPr>
        <w:t>10</w:t>
      </w:r>
      <w:r w:rsidRPr="003C2B2B">
        <w:rPr>
          <w:rFonts w:eastAsia="DengXian" w:cs="Times New Roman"/>
          <w:sz w:val="24"/>
          <w:szCs w:val="24"/>
        </w:rPr>
        <w:t xml:space="preserve">: </w:t>
      </w:r>
      <w:r w:rsidR="00E957F8" w:rsidRPr="003C2B2B">
        <w:rPr>
          <w:rFonts w:eastAsia="DengXian" w:cs="Times New Roman"/>
          <w:sz w:val="24"/>
          <w:szCs w:val="24"/>
        </w:rPr>
        <w:t>GSVA was performed to identify significantly enriched (P-value &lt; 0.05, two-sided unpaired limma) biological pathways between S2C2 and S2CK. Bubbles indicated GSVA enrichment score of these pathways.</w:t>
      </w:r>
    </w:p>
    <w:p w14:paraId="7E59C03B" w14:textId="5EED085F" w:rsidR="00F36549" w:rsidRPr="003C2B2B" w:rsidRDefault="00F36549" w:rsidP="00F36549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</w:p>
    <w:p w14:paraId="28D41E1C" w14:textId="570E27EA" w:rsidR="003E401F" w:rsidRPr="003C2B2B" w:rsidRDefault="00A277AA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noProof/>
          <w:lang w:eastAsia="en-US"/>
        </w:rPr>
        <w:drawing>
          <wp:inline distT="0" distB="0" distL="0" distR="0" wp14:anchorId="1F2764EC" wp14:editId="3F0FD575">
            <wp:extent cx="5274310" cy="290068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69337" w14:textId="7062EB3A" w:rsidR="0052054E" w:rsidRPr="003C2B2B" w:rsidRDefault="0052054E" w:rsidP="00CE7941">
      <w:pPr>
        <w:widowControl/>
        <w:jc w:val="left"/>
        <w:rPr>
          <w:rFonts w:cs="Times New Roman"/>
          <w:sz w:val="24"/>
          <w:szCs w:val="24"/>
        </w:rPr>
      </w:pPr>
      <w:r w:rsidRPr="003C2B2B">
        <w:rPr>
          <w:rFonts w:cs="Times New Roman"/>
          <w:sz w:val="24"/>
          <w:szCs w:val="24"/>
        </w:rPr>
        <w:br w:type="page"/>
      </w:r>
    </w:p>
    <w:p w14:paraId="4EF5CE31" w14:textId="75F0FED5" w:rsidR="0017592D" w:rsidRPr="003C2B2B" w:rsidRDefault="0017592D" w:rsidP="0017592D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 xml:space="preserve">Supplementary Figure </w:t>
      </w:r>
      <w:r w:rsidR="00664586" w:rsidRPr="003C2B2B">
        <w:rPr>
          <w:rFonts w:eastAsia="DengXian" w:cs="Times New Roman"/>
          <w:sz w:val="24"/>
          <w:szCs w:val="24"/>
        </w:rPr>
        <w:t>1</w:t>
      </w:r>
      <w:r w:rsidR="00095E21" w:rsidRPr="003C2B2B">
        <w:rPr>
          <w:rFonts w:eastAsia="DengXian" w:cs="Times New Roman"/>
          <w:sz w:val="24"/>
          <w:szCs w:val="24"/>
        </w:rPr>
        <w:t>1</w:t>
      </w:r>
      <w:r w:rsidRPr="003C2B2B">
        <w:rPr>
          <w:rFonts w:eastAsia="DengXian" w:cs="Times New Roman"/>
          <w:sz w:val="24"/>
          <w:szCs w:val="24"/>
        </w:rPr>
        <w:t>: Principal coordinates analysis (PCoA) with Bray-Curtis dissimilarity performed on the metagenome profile</w:t>
      </w:r>
      <w:r w:rsidR="006244FE" w:rsidRPr="003C2B2B">
        <w:rPr>
          <w:rFonts w:eastAsia="DengXian" w:cs="Times New Roman"/>
          <w:sz w:val="24"/>
          <w:szCs w:val="24"/>
        </w:rPr>
        <w:t xml:space="preserve"> </w:t>
      </w:r>
      <w:r w:rsidR="006244FE" w:rsidRPr="003C2B2B">
        <w:rPr>
          <w:rFonts w:eastAsia="DengXian" w:cs="Times New Roman" w:hint="eastAsia"/>
          <w:sz w:val="24"/>
          <w:szCs w:val="24"/>
        </w:rPr>
        <w:t>of</w:t>
      </w:r>
      <w:r w:rsidR="006244FE" w:rsidRPr="003C2B2B">
        <w:rPr>
          <w:rFonts w:eastAsia="DengXian" w:cs="Times New Roman"/>
          <w:sz w:val="24"/>
          <w:szCs w:val="24"/>
        </w:rPr>
        <w:t xml:space="preserve"> </w:t>
      </w:r>
      <w:r w:rsidR="006244FE" w:rsidRPr="003C2B2B">
        <w:rPr>
          <w:rFonts w:eastAsia="DengXian" w:cs="Times New Roman" w:hint="eastAsia"/>
          <w:sz w:val="24"/>
          <w:szCs w:val="24"/>
        </w:rPr>
        <w:t>rhizosphere</w:t>
      </w:r>
      <w:r w:rsidR="006244FE" w:rsidRPr="003C2B2B">
        <w:rPr>
          <w:rFonts w:eastAsia="DengXian" w:cs="Times New Roman"/>
          <w:sz w:val="24"/>
          <w:szCs w:val="24"/>
        </w:rPr>
        <w:t xml:space="preserve"> soil samples collected from the 1</w:t>
      </w:r>
      <w:r w:rsidR="006244FE" w:rsidRPr="003C2B2B">
        <w:rPr>
          <w:rFonts w:eastAsia="DengXian" w:cs="Times New Roman"/>
          <w:sz w:val="24"/>
          <w:szCs w:val="24"/>
          <w:vertAlign w:val="superscript"/>
        </w:rPr>
        <w:t>st</w:t>
      </w:r>
      <w:r w:rsidR="006244FE" w:rsidRPr="003C2B2B">
        <w:rPr>
          <w:rFonts w:eastAsia="DengXian" w:cs="Times New Roman"/>
          <w:sz w:val="24"/>
          <w:szCs w:val="24"/>
        </w:rPr>
        <w:t xml:space="preserve"> and 8</w:t>
      </w:r>
      <w:r w:rsidR="006244FE" w:rsidRPr="003C2B2B">
        <w:rPr>
          <w:rFonts w:eastAsia="DengXian" w:cs="Times New Roman"/>
          <w:sz w:val="24"/>
          <w:szCs w:val="24"/>
          <w:vertAlign w:val="superscript"/>
        </w:rPr>
        <w:t>th</w:t>
      </w:r>
      <w:r w:rsidR="006244FE" w:rsidRPr="003C2B2B">
        <w:rPr>
          <w:rFonts w:eastAsia="DengXian" w:cs="Times New Roman"/>
          <w:sz w:val="24"/>
          <w:szCs w:val="24"/>
        </w:rPr>
        <w:t xml:space="preserve"> generation</w:t>
      </w:r>
      <w:r w:rsidRPr="003C2B2B">
        <w:rPr>
          <w:rFonts w:eastAsia="DengXian" w:cs="Times New Roman"/>
          <w:sz w:val="24"/>
          <w:szCs w:val="24"/>
        </w:rPr>
        <w:t xml:space="preserve">. </w:t>
      </w:r>
    </w:p>
    <w:p w14:paraId="31A34798" w14:textId="5BF03644" w:rsidR="0017592D" w:rsidRPr="003C2B2B" w:rsidRDefault="00905B21" w:rsidP="00AA167F">
      <w:pPr>
        <w:tabs>
          <w:tab w:val="left" w:pos="5310"/>
        </w:tabs>
        <w:spacing w:line="360" w:lineRule="auto"/>
        <w:jc w:val="center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noProof/>
          <w:sz w:val="24"/>
          <w:szCs w:val="24"/>
          <w:lang w:eastAsia="en-US"/>
        </w:rPr>
        <w:drawing>
          <wp:inline distT="0" distB="0" distL="0" distR="0" wp14:anchorId="73F8D9B1" wp14:editId="36DB2278">
            <wp:extent cx="3439886" cy="3283585"/>
            <wp:effectExtent l="0" t="0" r="825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352" cy="328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4B23B" w14:textId="5B36720D" w:rsidR="006244FE" w:rsidRPr="003C2B2B" w:rsidRDefault="006244FE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</w:p>
    <w:p w14:paraId="2D22B3CD" w14:textId="595BB69C" w:rsidR="0052054E" w:rsidRPr="003C2B2B" w:rsidRDefault="0052054E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br w:type="page"/>
      </w:r>
    </w:p>
    <w:p w14:paraId="091EB05B" w14:textId="1B8DF456" w:rsidR="00B178FC" w:rsidRPr="003C2B2B" w:rsidRDefault="00045C4E" w:rsidP="00045C4E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 xml:space="preserve">Supplementary Figure </w:t>
      </w:r>
      <w:r w:rsidR="006D301B" w:rsidRPr="003C2B2B">
        <w:rPr>
          <w:rFonts w:eastAsia="DengXian" w:cs="Times New Roman"/>
          <w:sz w:val="24"/>
          <w:szCs w:val="24"/>
        </w:rPr>
        <w:t>1</w:t>
      </w:r>
      <w:r w:rsidR="00C4537C" w:rsidRPr="003C2B2B">
        <w:rPr>
          <w:rFonts w:eastAsia="DengXian" w:cs="Times New Roman"/>
          <w:sz w:val="24"/>
          <w:szCs w:val="24"/>
        </w:rPr>
        <w:t>2</w:t>
      </w:r>
      <w:r w:rsidRPr="003C2B2B">
        <w:rPr>
          <w:rFonts w:eastAsia="DengXian" w:cs="Times New Roman"/>
          <w:sz w:val="24"/>
          <w:szCs w:val="24"/>
        </w:rPr>
        <w:t xml:space="preserve">: </w:t>
      </w:r>
      <w:r w:rsidR="00F10324" w:rsidRPr="003C2B2B">
        <w:rPr>
          <w:rFonts w:eastAsia="DengXian" w:cs="Times New Roman"/>
          <w:sz w:val="24"/>
          <w:szCs w:val="24"/>
        </w:rPr>
        <w:t>GSVA was performed to identify significantly enriched (P-value &lt; 0.05, two-sided unpaired limma) biological pathways between 1</w:t>
      </w:r>
      <w:r w:rsidR="00F10324" w:rsidRPr="003C2B2B">
        <w:rPr>
          <w:rFonts w:eastAsia="DengXian" w:cs="Times New Roman"/>
          <w:sz w:val="24"/>
          <w:szCs w:val="24"/>
          <w:vertAlign w:val="superscript"/>
        </w:rPr>
        <w:t>st</w:t>
      </w:r>
      <w:r w:rsidR="00F10324" w:rsidRPr="003C2B2B">
        <w:rPr>
          <w:rFonts w:eastAsia="DengXian" w:cs="Times New Roman"/>
          <w:sz w:val="24"/>
          <w:szCs w:val="24"/>
        </w:rPr>
        <w:t xml:space="preserve"> and 8</w:t>
      </w:r>
      <w:r w:rsidR="00F10324" w:rsidRPr="003C2B2B">
        <w:rPr>
          <w:rFonts w:eastAsia="DengXian" w:cs="Times New Roman"/>
          <w:sz w:val="24"/>
          <w:szCs w:val="24"/>
          <w:vertAlign w:val="superscript"/>
        </w:rPr>
        <w:t>th</w:t>
      </w:r>
      <w:r w:rsidR="00F10324" w:rsidRPr="003C2B2B">
        <w:rPr>
          <w:rFonts w:eastAsia="DengXian" w:cs="Times New Roman"/>
          <w:sz w:val="24"/>
          <w:szCs w:val="24"/>
        </w:rPr>
        <w:t>. Bubbles indicated GSVA enrichment score of these pathways.</w:t>
      </w:r>
    </w:p>
    <w:p w14:paraId="7DC6A434" w14:textId="2C7E7E80" w:rsidR="00B178FC" w:rsidRPr="003C2B2B" w:rsidRDefault="004710ED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noProof/>
          <w:lang w:eastAsia="en-US"/>
        </w:rPr>
        <w:drawing>
          <wp:inline distT="0" distB="0" distL="0" distR="0" wp14:anchorId="5A37EB9B" wp14:editId="64EA6BFF">
            <wp:extent cx="5274310" cy="650176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0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1ED5A" w14:textId="77777777" w:rsidR="009F72B0" w:rsidRPr="003C2B2B" w:rsidRDefault="009F72B0" w:rsidP="00D14A5D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</w:p>
    <w:p w14:paraId="02FB809A" w14:textId="74E5766D" w:rsidR="003C2B2B" w:rsidRDefault="003C2B2B" w:rsidP="00D14A5D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>
        <w:rPr>
          <w:rFonts w:eastAsia="DengXian" w:cs="Times New Roman"/>
          <w:sz w:val="24"/>
          <w:szCs w:val="24"/>
        </w:rPr>
        <w:br w:type="page"/>
      </w:r>
    </w:p>
    <w:p w14:paraId="4F9635EC" w14:textId="2C395501" w:rsidR="00D14A5D" w:rsidRPr="003C2B2B" w:rsidRDefault="00D14A5D" w:rsidP="00D14A5D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>Supplementary Figure 13: The relative abundance information for FM1 and FM2 between 1</w:t>
      </w:r>
      <w:r w:rsidRPr="003C2B2B">
        <w:rPr>
          <w:rFonts w:eastAsia="DengXian" w:cs="Times New Roman"/>
          <w:sz w:val="24"/>
          <w:szCs w:val="24"/>
          <w:vertAlign w:val="superscript"/>
        </w:rPr>
        <w:t>st</w:t>
      </w:r>
      <w:r w:rsidRPr="003C2B2B">
        <w:rPr>
          <w:rFonts w:eastAsia="DengXian" w:cs="Times New Roman"/>
          <w:sz w:val="24"/>
          <w:szCs w:val="24"/>
        </w:rPr>
        <w:t xml:space="preserve"> and 8</w:t>
      </w:r>
      <w:r w:rsidRPr="003C2B2B">
        <w:rPr>
          <w:rFonts w:eastAsia="DengXian" w:cs="Times New Roman"/>
          <w:sz w:val="24"/>
          <w:szCs w:val="24"/>
          <w:vertAlign w:val="superscript"/>
        </w:rPr>
        <w:t>th</w:t>
      </w:r>
      <w:r w:rsidRPr="003C2B2B">
        <w:rPr>
          <w:rFonts w:eastAsia="DengXian" w:cs="Times New Roman"/>
          <w:sz w:val="24"/>
          <w:szCs w:val="24"/>
        </w:rPr>
        <w:t>.</w:t>
      </w:r>
    </w:p>
    <w:p w14:paraId="4D8B594A" w14:textId="2D226159" w:rsidR="00B178FC" w:rsidRPr="003C2B2B" w:rsidRDefault="00B178FC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</w:p>
    <w:p w14:paraId="1AFD55B9" w14:textId="2DCC3119" w:rsidR="00517B52" w:rsidRPr="003C2B2B" w:rsidRDefault="00D14A5D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noProof/>
          <w:lang w:eastAsia="en-US"/>
        </w:rPr>
        <w:drawing>
          <wp:inline distT="0" distB="0" distL="0" distR="0" wp14:anchorId="0A68B9D0" wp14:editId="0D846387">
            <wp:extent cx="5274310" cy="3046730"/>
            <wp:effectExtent l="0" t="0" r="254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4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D0BB5" w14:textId="24B8B23D" w:rsidR="005D08D3" w:rsidRPr="003C2B2B" w:rsidRDefault="005D08D3" w:rsidP="000B4ADF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br w:type="page"/>
      </w:r>
    </w:p>
    <w:p w14:paraId="42E902E4" w14:textId="113C919A" w:rsidR="00566631" w:rsidRPr="003C2B2B" w:rsidRDefault="00566631" w:rsidP="00566631">
      <w:pPr>
        <w:tabs>
          <w:tab w:val="left" w:pos="5310"/>
        </w:tabs>
        <w:spacing w:line="360" w:lineRule="auto"/>
        <w:rPr>
          <w:rFonts w:eastAsia="DengXian" w:cs="Times New Roman"/>
          <w:sz w:val="24"/>
          <w:szCs w:val="24"/>
        </w:rPr>
      </w:pPr>
      <w:r w:rsidRPr="003C2B2B">
        <w:rPr>
          <w:rFonts w:eastAsia="DengXian" w:cs="Times New Roman"/>
          <w:sz w:val="24"/>
          <w:szCs w:val="24"/>
        </w:rPr>
        <w:lastRenderedPageBreak/>
        <w:t>Supplementary Figure 14 Contributions of deterministic and stochastic processes on community assembly</w:t>
      </w:r>
      <w:r w:rsidRPr="003C2B2B">
        <w:t xml:space="preserve"> </w:t>
      </w:r>
      <w:r w:rsidRPr="003C2B2B">
        <w:rPr>
          <w:rFonts w:eastAsia="DengXian" w:cs="Times New Roman"/>
          <w:sz w:val="24"/>
          <w:szCs w:val="24"/>
        </w:rPr>
        <w:t>in the soil treated with SMOAs and Control.</w:t>
      </w:r>
    </w:p>
    <w:p w14:paraId="0020B8D4" w14:textId="77777777" w:rsidR="00566631" w:rsidRPr="003C2B2B" w:rsidRDefault="00566631" w:rsidP="00566631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  <w:r w:rsidRPr="003C2B2B">
        <w:rPr>
          <w:noProof/>
          <w:lang w:eastAsia="en-US"/>
        </w:rPr>
        <w:drawing>
          <wp:inline distT="0" distB="0" distL="0" distR="0" wp14:anchorId="1B6F3CAB" wp14:editId="15772B80">
            <wp:extent cx="5274310" cy="3514725"/>
            <wp:effectExtent l="0" t="0" r="254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F41E2" w14:textId="77777777" w:rsidR="00566631" w:rsidRPr="003C2B2B" w:rsidRDefault="00566631" w:rsidP="00566631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</w:p>
    <w:p w14:paraId="1496F4E7" w14:textId="77777777" w:rsidR="00395AC7" w:rsidRPr="003C2B2B" w:rsidRDefault="00395AC7" w:rsidP="003C2B2B">
      <w:pPr>
        <w:tabs>
          <w:tab w:val="left" w:pos="5310"/>
        </w:tabs>
        <w:spacing w:line="360" w:lineRule="auto"/>
        <w:rPr>
          <w:rFonts w:cs="Times New Roman"/>
          <w:sz w:val="24"/>
          <w:szCs w:val="24"/>
        </w:rPr>
      </w:pPr>
      <w:bookmarkStart w:id="1" w:name="_GoBack"/>
      <w:bookmarkEnd w:id="1"/>
    </w:p>
    <w:sectPr w:rsidR="00395AC7" w:rsidRPr="003C2B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6D2EC8" w14:textId="77777777" w:rsidR="00852701" w:rsidRDefault="00852701" w:rsidP="003D6378">
      <w:r>
        <w:separator/>
      </w:r>
    </w:p>
  </w:endnote>
  <w:endnote w:type="continuationSeparator" w:id="0">
    <w:p w14:paraId="0B2A0F0F" w14:textId="77777777" w:rsidR="00852701" w:rsidRDefault="00852701" w:rsidP="003D6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8FAC5A" w14:textId="77777777" w:rsidR="00852701" w:rsidRDefault="00852701" w:rsidP="003D6378">
      <w:r>
        <w:separator/>
      </w:r>
    </w:p>
  </w:footnote>
  <w:footnote w:type="continuationSeparator" w:id="0">
    <w:p w14:paraId="07A02D38" w14:textId="77777777" w:rsidR="00852701" w:rsidRDefault="00852701" w:rsidP="003D63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D3"/>
    <w:rsid w:val="000002A0"/>
    <w:rsid w:val="00026CEE"/>
    <w:rsid w:val="00027844"/>
    <w:rsid w:val="00044444"/>
    <w:rsid w:val="00045944"/>
    <w:rsid w:val="00045C4E"/>
    <w:rsid w:val="00047496"/>
    <w:rsid w:val="0005521C"/>
    <w:rsid w:val="00064C1E"/>
    <w:rsid w:val="000671AA"/>
    <w:rsid w:val="00095E21"/>
    <w:rsid w:val="000B4ADF"/>
    <w:rsid w:val="000C5716"/>
    <w:rsid w:val="00106506"/>
    <w:rsid w:val="001074F6"/>
    <w:rsid w:val="001131F4"/>
    <w:rsid w:val="00142FBA"/>
    <w:rsid w:val="00161FA7"/>
    <w:rsid w:val="00175650"/>
    <w:rsid w:val="0017592D"/>
    <w:rsid w:val="001B45BD"/>
    <w:rsid w:val="001E0A4C"/>
    <w:rsid w:val="00223156"/>
    <w:rsid w:val="00235D33"/>
    <w:rsid w:val="00237E2B"/>
    <w:rsid w:val="0024634F"/>
    <w:rsid w:val="00256E88"/>
    <w:rsid w:val="0026642C"/>
    <w:rsid w:val="00273BD2"/>
    <w:rsid w:val="002A7B92"/>
    <w:rsid w:val="002B0FB7"/>
    <w:rsid w:val="002B32CF"/>
    <w:rsid w:val="002F05D3"/>
    <w:rsid w:val="002F30E8"/>
    <w:rsid w:val="0030304D"/>
    <w:rsid w:val="003428F9"/>
    <w:rsid w:val="003956C6"/>
    <w:rsid w:val="00395AC7"/>
    <w:rsid w:val="003966A0"/>
    <w:rsid w:val="003972CD"/>
    <w:rsid w:val="003A44E2"/>
    <w:rsid w:val="003C2B2B"/>
    <w:rsid w:val="003C524C"/>
    <w:rsid w:val="003D6378"/>
    <w:rsid w:val="003E401F"/>
    <w:rsid w:val="003E65BC"/>
    <w:rsid w:val="003E7597"/>
    <w:rsid w:val="003F0957"/>
    <w:rsid w:val="00401DCF"/>
    <w:rsid w:val="004047BF"/>
    <w:rsid w:val="0041470C"/>
    <w:rsid w:val="00417E4D"/>
    <w:rsid w:val="004254C4"/>
    <w:rsid w:val="00445296"/>
    <w:rsid w:val="00452F21"/>
    <w:rsid w:val="00456E06"/>
    <w:rsid w:val="004571BB"/>
    <w:rsid w:val="004710ED"/>
    <w:rsid w:val="0049172B"/>
    <w:rsid w:val="004B68AA"/>
    <w:rsid w:val="004C5072"/>
    <w:rsid w:val="004C6999"/>
    <w:rsid w:val="004F043B"/>
    <w:rsid w:val="00510EB8"/>
    <w:rsid w:val="00511053"/>
    <w:rsid w:val="00517B52"/>
    <w:rsid w:val="0052054E"/>
    <w:rsid w:val="005468FA"/>
    <w:rsid w:val="0056618C"/>
    <w:rsid w:val="00566631"/>
    <w:rsid w:val="005B139A"/>
    <w:rsid w:val="005B6072"/>
    <w:rsid w:val="005C1FE2"/>
    <w:rsid w:val="005C269C"/>
    <w:rsid w:val="005D08D3"/>
    <w:rsid w:val="005D458E"/>
    <w:rsid w:val="005D618A"/>
    <w:rsid w:val="005E6A05"/>
    <w:rsid w:val="005F51A8"/>
    <w:rsid w:val="0060528E"/>
    <w:rsid w:val="00605B74"/>
    <w:rsid w:val="00605E87"/>
    <w:rsid w:val="00615F0E"/>
    <w:rsid w:val="006203DE"/>
    <w:rsid w:val="006222A9"/>
    <w:rsid w:val="006244FE"/>
    <w:rsid w:val="00631B4A"/>
    <w:rsid w:val="00634B17"/>
    <w:rsid w:val="00635333"/>
    <w:rsid w:val="00642D4B"/>
    <w:rsid w:val="00664586"/>
    <w:rsid w:val="00667D27"/>
    <w:rsid w:val="00683371"/>
    <w:rsid w:val="006D301B"/>
    <w:rsid w:val="006D66A0"/>
    <w:rsid w:val="006E7E52"/>
    <w:rsid w:val="006F46C0"/>
    <w:rsid w:val="00703457"/>
    <w:rsid w:val="00721D20"/>
    <w:rsid w:val="00726887"/>
    <w:rsid w:val="00737828"/>
    <w:rsid w:val="00756FEC"/>
    <w:rsid w:val="0077414D"/>
    <w:rsid w:val="007861EE"/>
    <w:rsid w:val="00786766"/>
    <w:rsid w:val="00793DB5"/>
    <w:rsid w:val="00794D8B"/>
    <w:rsid w:val="007C3EE8"/>
    <w:rsid w:val="007D60A1"/>
    <w:rsid w:val="007D775B"/>
    <w:rsid w:val="007E548B"/>
    <w:rsid w:val="007E7F86"/>
    <w:rsid w:val="007F3860"/>
    <w:rsid w:val="0080426D"/>
    <w:rsid w:val="00805592"/>
    <w:rsid w:val="00822941"/>
    <w:rsid w:val="00823199"/>
    <w:rsid w:val="0084625B"/>
    <w:rsid w:val="00852701"/>
    <w:rsid w:val="00856AAD"/>
    <w:rsid w:val="00857639"/>
    <w:rsid w:val="0086072A"/>
    <w:rsid w:val="0086309E"/>
    <w:rsid w:val="00872687"/>
    <w:rsid w:val="00875D6F"/>
    <w:rsid w:val="00882306"/>
    <w:rsid w:val="008870BC"/>
    <w:rsid w:val="00887D50"/>
    <w:rsid w:val="008A34D8"/>
    <w:rsid w:val="008E2B0D"/>
    <w:rsid w:val="008F1EF2"/>
    <w:rsid w:val="00903A9A"/>
    <w:rsid w:val="00905B21"/>
    <w:rsid w:val="00906F6B"/>
    <w:rsid w:val="00911881"/>
    <w:rsid w:val="0093022E"/>
    <w:rsid w:val="00957710"/>
    <w:rsid w:val="00961537"/>
    <w:rsid w:val="0098016C"/>
    <w:rsid w:val="00981A28"/>
    <w:rsid w:val="009C0245"/>
    <w:rsid w:val="009E1325"/>
    <w:rsid w:val="009E4F3D"/>
    <w:rsid w:val="009E538D"/>
    <w:rsid w:val="009E74F4"/>
    <w:rsid w:val="009F72B0"/>
    <w:rsid w:val="00A012EC"/>
    <w:rsid w:val="00A04799"/>
    <w:rsid w:val="00A14305"/>
    <w:rsid w:val="00A2256A"/>
    <w:rsid w:val="00A277AA"/>
    <w:rsid w:val="00A43E74"/>
    <w:rsid w:val="00A8555D"/>
    <w:rsid w:val="00A923CB"/>
    <w:rsid w:val="00A9335D"/>
    <w:rsid w:val="00AA167F"/>
    <w:rsid w:val="00AA3A22"/>
    <w:rsid w:val="00AA5AB1"/>
    <w:rsid w:val="00AC6B9B"/>
    <w:rsid w:val="00AE415A"/>
    <w:rsid w:val="00AF07CA"/>
    <w:rsid w:val="00B178FC"/>
    <w:rsid w:val="00B209A0"/>
    <w:rsid w:val="00B3191D"/>
    <w:rsid w:val="00B4000D"/>
    <w:rsid w:val="00B43E09"/>
    <w:rsid w:val="00B52C39"/>
    <w:rsid w:val="00B84035"/>
    <w:rsid w:val="00B94819"/>
    <w:rsid w:val="00BA0E50"/>
    <w:rsid w:val="00BD141D"/>
    <w:rsid w:val="00BD4B16"/>
    <w:rsid w:val="00BF703B"/>
    <w:rsid w:val="00C17976"/>
    <w:rsid w:val="00C25257"/>
    <w:rsid w:val="00C32854"/>
    <w:rsid w:val="00C4537C"/>
    <w:rsid w:val="00C53C8A"/>
    <w:rsid w:val="00C71CA0"/>
    <w:rsid w:val="00CC513C"/>
    <w:rsid w:val="00CC6A70"/>
    <w:rsid w:val="00CE0443"/>
    <w:rsid w:val="00CE1E9B"/>
    <w:rsid w:val="00CE7610"/>
    <w:rsid w:val="00CE7941"/>
    <w:rsid w:val="00D02357"/>
    <w:rsid w:val="00D14A5D"/>
    <w:rsid w:val="00D15C42"/>
    <w:rsid w:val="00D43EA5"/>
    <w:rsid w:val="00DB000C"/>
    <w:rsid w:val="00DC11FD"/>
    <w:rsid w:val="00DE1F9E"/>
    <w:rsid w:val="00DE780A"/>
    <w:rsid w:val="00DF1C75"/>
    <w:rsid w:val="00E16363"/>
    <w:rsid w:val="00E21CEB"/>
    <w:rsid w:val="00E50D92"/>
    <w:rsid w:val="00E7033E"/>
    <w:rsid w:val="00E83AB0"/>
    <w:rsid w:val="00E922DE"/>
    <w:rsid w:val="00E957F8"/>
    <w:rsid w:val="00EA7280"/>
    <w:rsid w:val="00EB27A6"/>
    <w:rsid w:val="00EB456E"/>
    <w:rsid w:val="00EC234A"/>
    <w:rsid w:val="00EE1B89"/>
    <w:rsid w:val="00EE1F18"/>
    <w:rsid w:val="00EE680D"/>
    <w:rsid w:val="00EF2E9B"/>
    <w:rsid w:val="00F1012B"/>
    <w:rsid w:val="00F10324"/>
    <w:rsid w:val="00F16557"/>
    <w:rsid w:val="00F2389B"/>
    <w:rsid w:val="00F2420B"/>
    <w:rsid w:val="00F36549"/>
    <w:rsid w:val="00F37979"/>
    <w:rsid w:val="00F62DA0"/>
    <w:rsid w:val="00F65C2E"/>
    <w:rsid w:val="00F66549"/>
    <w:rsid w:val="00F86C9B"/>
    <w:rsid w:val="00F97E6F"/>
    <w:rsid w:val="00FA2AF8"/>
    <w:rsid w:val="00FA4C5E"/>
    <w:rsid w:val="00FA79FB"/>
    <w:rsid w:val="00FC1ED5"/>
    <w:rsid w:val="00FD013A"/>
    <w:rsid w:val="00FF3D6D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67F45C"/>
  <w15:chartTrackingRefBased/>
  <w15:docId w15:val="{67EFA448-8012-4EA0-ABE5-58713F2B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D637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D6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D6378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6CEE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6CE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6CE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6C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6CE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CE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CEE"/>
    <w:rPr>
      <w:sz w:val="18"/>
      <w:szCs w:val="18"/>
    </w:rPr>
  </w:style>
  <w:style w:type="paragraph" w:styleId="Revision">
    <w:name w:val="Revision"/>
    <w:hidden/>
    <w:uiPriority w:val="99"/>
    <w:semiHidden/>
    <w:rsid w:val="0049172B"/>
  </w:style>
  <w:style w:type="table" w:styleId="TableGrid">
    <w:name w:val="Table Grid"/>
    <w:basedOn w:val="TableNormal"/>
    <w:uiPriority w:val="39"/>
    <w:rsid w:val="00395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9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png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1BC3E-98C4-41FE-A11B-C97E32A39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15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 tao</dc:creator>
  <cp:keywords/>
  <dc:description/>
  <cp:lastModifiedBy>Maria Lourdes Vallente</cp:lastModifiedBy>
  <cp:revision>20</cp:revision>
  <dcterms:created xsi:type="dcterms:W3CDTF">2022-08-02T13:16:00Z</dcterms:created>
  <dcterms:modified xsi:type="dcterms:W3CDTF">2022-09-26T05:24:00Z</dcterms:modified>
</cp:coreProperties>
</file>