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307" w:rsidRPr="00377AC1" w:rsidRDefault="004C1307" w:rsidP="004C1307">
      <w:pPr>
        <w:adjustRightInd w:val="0"/>
        <w:snapToGrid w:val="0"/>
        <w:spacing w:line="480" w:lineRule="auto"/>
        <w:rPr>
          <w:rFonts w:cs="Times New Roman"/>
          <w:b/>
          <w:bCs/>
        </w:rPr>
      </w:pPr>
      <w:r w:rsidRPr="00377AC1">
        <w:rPr>
          <w:rFonts w:cs="Times New Roman"/>
          <w:b/>
          <w:bCs/>
        </w:rPr>
        <w:t>Table S8 Spearman correlation coefficients (</w:t>
      </w:r>
      <w:r w:rsidRPr="00377AC1">
        <w:rPr>
          <w:rFonts w:cs="Times New Roman"/>
          <w:b/>
          <w:bCs/>
          <w:i/>
          <w:iCs/>
        </w:rPr>
        <w:t>r</w:t>
      </w:r>
      <w:r w:rsidRPr="00377AC1">
        <w:rPr>
          <w:rFonts w:cs="Times New Roman"/>
          <w:b/>
          <w:bCs/>
        </w:rPr>
        <w:t>) between ASVs and testicular genes in the FMT experiment.</w:t>
      </w:r>
    </w:p>
    <w:tbl>
      <w:tblPr>
        <w:tblStyle w:val="1"/>
        <w:tblW w:w="8217" w:type="dxa"/>
        <w:tblLayout w:type="fixed"/>
        <w:tblLook w:val="04A0" w:firstRow="1" w:lastRow="0" w:firstColumn="1" w:lastColumn="0" w:noHBand="0" w:noVBand="1"/>
      </w:tblPr>
      <w:tblGrid>
        <w:gridCol w:w="1413"/>
        <w:gridCol w:w="900"/>
        <w:gridCol w:w="801"/>
        <w:gridCol w:w="709"/>
        <w:gridCol w:w="992"/>
        <w:gridCol w:w="850"/>
        <w:gridCol w:w="851"/>
        <w:gridCol w:w="850"/>
        <w:gridCol w:w="851"/>
      </w:tblGrid>
      <w:tr w:rsidR="004C1307" w:rsidRPr="00377AC1" w:rsidTr="0042087A">
        <w:trPr>
          <w:trHeight w:val="217"/>
        </w:trPr>
        <w:tc>
          <w:tcPr>
            <w:tcW w:w="1413" w:type="dxa"/>
            <w:vMerge w:val="restart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Genus</w:t>
            </w:r>
          </w:p>
        </w:tc>
        <w:tc>
          <w:tcPr>
            <w:tcW w:w="900" w:type="dxa"/>
            <w:vMerge w:val="restart"/>
            <w:tcBorders>
              <w:right w:val="single" w:sz="4" w:space="0" w:color="auto"/>
              <w:tl2br w:val="single" w:sz="4" w:space="0" w:color="auto"/>
            </w:tcBorders>
            <w:vAlign w:val="center"/>
          </w:tcPr>
          <w:p w:rsidR="004C1307" w:rsidRPr="00377AC1" w:rsidRDefault="004C1307" w:rsidP="004C1307">
            <w:pPr>
              <w:adjustRightInd w:val="0"/>
              <w:snapToGrid w:val="0"/>
              <w:spacing w:line="312" w:lineRule="auto"/>
              <w:ind w:firstLineChars="150" w:firstLine="226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Genes</w:t>
            </w:r>
          </w:p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sz w:val="15"/>
                <w:szCs w:val="15"/>
              </w:rPr>
              <w:t>ASVs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b/>
                <w:bCs/>
                <w:i/>
                <w:iCs/>
                <w:sz w:val="15"/>
                <w:szCs w:val="15"/>
              </w:rPr>
              <w:t>D</w:t>
            </w: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io2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Dio3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b/>
                <w:bCs/>
                <w:i/>
                <w:iCs/>
                <w:sz w:val="15"/>
                <w:szCs w:val="15"/>
              </w:rPr>
              <w:t>D</w:t>
            </w: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io2/Dio3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b/>
                <w:bCs/>
                <w:i/>
                <w:iCs/>
                <w:sz w:val="15"/>
                <w:szCs w:val="15"/>
              </w:rPr>
              <w:t>K</w:t>
            </w: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iss-1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b/>
                <w:bCs/>
                <w:i/>
                <w:iCs/>
                <w:sz w:val="15"/>
                <w:szCs w:val="15"/>
              </w:rPr>
              <w:t>G</w:t>
            </w: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PR54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GnRH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 w:hint="eastAsia"/>
                <w:b/>
                <w:bCs/>
                <w:i/>
                <w:iCs/>
                <w:sz w:val="15"/>
                <w:szCs w:val="15"/>
              </w:rPr>
              <w:t>S</w:t>
            </w: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tra8</w:t>
            </w:r>
          </w:p>
        </w:tc>
      </w:tr>
      <w:tr w:rsidR="004C1307" w:rsidRPr="00377AC1" w:rsidTr="0042087A">
        <w:trPr>
          <w:trHeight w:val="217"/>
        </w:trPr>
        <w:tc>
          <w:tcPr>
            <w:tcW w:w="1413" w:type="dxa"/>
            <w:vMerge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900" w:type="dxa"/>
            <w:vMerge/>
            <w:tcBorders>
              <w:right w:val="single" w:sz="4" w:space="0" w:color="auto"/>
              <w:tl2br w:val="single" w:sz="4" w:space="0" w:color="auto"/>
            </w:tcBorders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i/>
                <w:i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jc w:val="center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cs="Times New Roman"/>
                <w:b/>
                <w:bCs/>
                <w:i/>
                <w:iCs/>
                <w:sz w:val="15"/>
                <w:szCs w:val="15"/>
              </w:rPr>
              <w:t>r</w:t>
            </w:r>
          </w:p>
        </w:tc>
      </w:tr>
      <w:tr w:rsidR="004C1307" w:rsidRPr="00377AC1" w:rsidTr="0042087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Barnesiella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ASV_615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0.094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0.130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-0.201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0.302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-0.358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-0.261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-0.619 </w:t>
            </w:r>
          </w:p>
        </w:tc>
      </w:tr>
      <w:tr w:rsidR="004C1307" w:rsidRPr="00377AC1" w:rsidTr="0042087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Prevotella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ASV_1006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0.004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-0.539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0.724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0.081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-0.098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0.324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0.307 </w:t>
            </w:r>
          </w:p>
        </w:tc>
      </w:tr>
      <w:tr w:rsidR="004C1307" w:rsidRPr="00377AC1" w:rsidTr="0042087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Alistipes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ASV_205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0.114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0.189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-0.221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0.475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-0.111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-0.117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-0.362 </w:t>
            </w:r>
          </w:p>
        </w:tc>
      </w:tr>
      <w:tr w:rsidR="004C1307" w:rsidRPr="00377AC1" w:rsidTr="0042087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Desulfovibrio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ASV_514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0.417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0.315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-0.126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0.340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0.123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-0.214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-0.012 </w:t>
            </w:r>
          </w:p>
        </w:tc>
      </w:tr>
      <w:tr w:rsidR="004C1307" w:rsidRPr="00377AC1" w:rsidTr="0042087A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Saccharibacteria_genera_incertae_sedis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ASV_171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-0.057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0.248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-0.629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-0.033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-0.022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0.550 </w:t>
            </w:r>
          </w:p>
        </w:tc>
      </w:tr>
      <w:tr w:rsidR="004C1307" w:rsidRPr="00377AC1" w:rsidTr="0042087A"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ASV_381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-0.248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-0.534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0.414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-0.116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-0.363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0.187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-0.024 </w:t>
            </w:r>
          </w:p>
        </w:tc>
      </w:tr>
      <w:tr w:rsidR="004C1307" w:rsidRPr="00377AC1" w:rsidTr="0042087A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Clostridium_XlVa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ASV_25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-0.385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-0.115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0.064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-0.212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0.057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0.052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0.182 </w:t>
            </w:r>
          </w:p>
        </w:tc>
      </w:tr>
      <w:tr w:rsidR="004C1307" w:rsidRPr="00377AC1" w:rsidTr="0042087A"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ASV_256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-0.074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0.144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-0.277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0.117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-0.168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0.025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-0.569 </w:t>
            </w:r>
          </w:p>
        </w:tc>
      </w:tr>
      <w:tr w:rsidR="004C1307" w:rsidRPr="00377AC1" w:rsidTr="0042087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Roseburia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ASV_99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0.128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0.376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-0.106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0.152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0.229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0.289 </w:t>
            </w:r>
          </w:p>
        </w:tc>
      </w:tr>
      <w:tr w:rsidR="004C1307" w:rsidRPr="00377AC1" w:rsidTr="0042087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Flavonifractor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ASV_342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-0.171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0.251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-0.036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0.194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0.123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0.381 </w:t>
            </w:r>
          </w:p>
        </w:tc>
      </w:tr>
      <w:tr w:rsidR="004C1307" w:rsidRPr="00377AC1" w:rsidTr="0042087A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Oscillibacter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ASV_484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0.288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-0.168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0.411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0.015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0.352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0.304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0.383 </w:t>
            </w:r>
          </w:p>
        </w:tc>
      </w:tr>
      <w:tr w:rsidR="004C1307" w:rsidRPr="00377AC1" w:rsidTr="0042087A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  <w:proofErr w:type="spellStart"/>
            <w:r w:rsidRPr="00377AC1">
              <w:rPr>
                <w:rFonts w:cs="Times New Roman"/>
                <w:i/>
                <w:iCs/>
                <w:sz w:val="15"/>
                <w:szCs w:val="15"/>
              </w:rPr>
              <w:t>Ruminococcus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ASV_258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0.158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-0.331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eastAsia="等线"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b/>
                <w:bCs/>
                <w:sz w:val="15"/>
                <w:szCs w:val="15"/>
              </w:rPr>
              <w:t xml:space="preserve">0.522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-0.047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0.003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0.239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0.206 </w:t>
            </w:r>
          </w:p>
        </w:tc>
      </w:tr>
      <w:tr w:rsidR="004C1307" w:rsidRPr="00377AC1" w:rsidTr="0042087A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ASV_456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0.386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0.505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0.133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0.115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0.000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0.408 </w:t>
            </w:r>
          </w:p>
        </w:tc>
      </w:tr>
      <w:tr w:rsidR="004C1307" w:rsidRPr="00377AC1" w:rsidTr="0042087A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ASV_324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0.147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-0.196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0.288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-0.174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0.006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0.171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0.443 </w:t>
            </w:r>
          </w:p>
        </w:tc>
      </w:tr>
      <w:tr w:rsidR="004C1307" w:rsidRPr="00377AC1" w:rsidTr="0042087A">
        <w:trPr>
          <w:trHeight w:val="50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>ASV_373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0.278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-0.231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b/>
                <w:bCs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0.403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-0.173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0.142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-0.112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307" w:rsidRPr="00377AC1" w:rsidRDefault="004C1307" w:rsidP="0042087A">
            <w:pPr>
              <w:adjustRightInd w:val="0"/>
              <w:snapToGrid w:val="0"/>
              <w:spacing w:line="312" w:lineRule="auto"/>
              <w:rPr>
                <w:rFonts w:cs="Times New Roman"/>
                <w:sz w:val="15"/>
                <w:szCs w:val="15"/>
              </w:rPr>
            </w:pPr>
            <w:r w:rsidRPr="00377AC1">
              <w:rPr>
                <w:rFonts w:eastAsia="等线" w:cs="Times New Roman"/>
                <w:sz w:val="15"/>
                <w:szCs w:val="15"/>
              </w:rPr>
              <w:t xml:space="preserve">0.488 </w:t>
            </w:r>
          </w:p>
        </w:tc>
      </w:tr>
    </w:tbl>
    <w:p w:rsidR="004C1307" w:rsidRPr="00377AC1" w:rsidRDefault="004C1307" w:rsidP="004C1307">
      <w:pPr>
        <w:adjustRightInd w:val="0"/>
        <w:snapToGrid w:val="0"/>
        <w:spacing w:line="480" w:lineRule="auto"/>
        <w:rPr>
          <w:rFonts w:cs="Times New Roman"/>
          <w:szCs w:val="28"/>
        </w:rPr>
      </w:pPr>
      <w:proofErr w:type="gramStart"/>
      <w:r w:rsidRPr="00377AC1">
        <w:rPr>
          <w:rFonts w:cs="Times New Roman"/>
          <w:szCs w:val="28"/>
        </w:rPr>
        <w:t xml:space="preserve">Correlation between gut </w:t>
      </w:r>
      <w:proofErr w:type="spellStart"/>
      <w:r w:rsidRPr="00377AC1">
        <w:rPr>
          <w:rFonts w:cs="Times New Roman"/>
          <w:szCs w:val="28"/>
        </w:rPr>
        <w:t>microbiome</w:t>
      </w:r>
      <w:proofErr w:type="spellEnd"/>
      <w:r w:rsidRPr="00377AC1">
        <w:rPr>
          <w:rFonts w:cs="Times New Roman"/>
          <w:szCs w:val="28"/>
        </w:rPr>
        <w:t xml:space="preserve"> (at ASVs levels) and testicular genes in F-LD and F-SD groups.</w:t>
      </w:r>
      <w:proofErr w:type="gramEnd"/>
      <w:r w:rsidRPr="00377AC1">
        <w:rPr>
          <w:rFonts w:cs="Times New Roman"/>
          <w:szCs w:val="28"/>
        </w:rPr>
        <w:t xml:space="preserve"> </w:t>
      </w:r>
      <w:proofErr w:type="gramStart"/>
      <w:r w:rsidRPr="00377AC1">
        <w:rPr>
          <w:rFonts w:cs="Times New Roman"/>
          <w:i/>
          <w:iCs/>
          <w:szCs w:val="28"/>
        </w:rPr>
        <w:t>r</w:t>
      </w:r>
      <w:proofErr w:type="gramEnd"/>
      <w:r w:rsidRPr="00377AC1">
        <w:rPr>
          <w:rFonts w:cs="Times New Roman"/>
          <w:szCs w:val="28"/>
        </w:rPr>
        <w:t xml:space="preserve"> represents correlation coefficient</w:t>
      </w:r>
      <w:r w:rsidRPr="00377AC1">
        <w:rPr>
          <w:rFonts w:cs="Times New Roman"/>
        </w:rPr>
        <w:t xml:space="preserve"> </w:t>
      </w:r>
      <w:r w:rsidRPr="00377AC1">
        <w:rPr>
          <w:rFonts w:cs="Times New Roman"/>
          <w:szCs w:val="28"/>
        </w:rPr>
        <w:t>between ASVs and testicular genes. Boldface indicates a significant correlation between ASVs and testicular genes (</w:t>
      </w:r>
      <w:r w:rsidRPr="00377AC1">
        <w:rPr>
          <w:rFonts w:cs="Times New Roman"/>
          <w:i/>
          <w:iCs/>
          <w:szCs w:val="28"/>
        </w:rPr>
        <w:t>|r|</w:t>
      </w:r>
      <w:r w:rsidRPr="00377AC1">
        <w:rPr>
          <w:rFonts w:cs="Times New Roman"/>
          <w:szCs w:val="28"/>
        </w:rPr>
        <w:t xml:space="preserve"> &gt; 0.5).</w:t>
      </w:r>
      <w:r w:rsidRPr="00377AC1">
        <w:rPr>
          <w:rFonts w:cs="Times New Roman"/>
          <w:i/>
          <w:iCs/>
          <w:szCs w:val="28"/>
        </w:rPr>
        <w:t xml:space="preserve"> Dio2:</w:t>
      </w:r>
      <w:r w:rsidRPr="00377AC1">
        <w:rPr>
          <w:rFonts w:cs="Times New Roman"/>
          <w:szCs w:val="28"/>
        </w:rPr>
        <w:t xml:space="preserve"> </w:t>
      </w:r>
      <w:proofErr w:type="spellStart"/>
      <w:r w:rsidRPr="00377AC1">
        <w:rPr>
          <w:rFonts w:cs="Times New Roman"/>
          <w:szCs w:val="28"/>
        </w:rPr>
        <w:t>iodothyronine</w:t>
      </w:r>
      <w:proofErr w:type="spellEnd"/>
      <w:r w:rsidRPr="00377AC1">
        <w:rPr>
          <w:rFonts w:cs="Times New Roman"/>
          <w:szCs w:val="28"/>
        </w:rPr>
        <w:t xml:space="preserve"> </w:t>
      </w:r>
      <w:proofErr w:type="spellStart"/>
      <w:r w:rsidRPr="00377AC1">
        <w:rPr>
          <w:rFonts w:cs="Times New Roman"/>
          <w:szCs w:val="28"/>
        </w:rPr>
        <w:t>deiodinase</w:t>
      </w:r>
      <w:proofErr w:type="spellEnd"/>
      <w:r w:rsidRPr="00377AC1">
        <w:rPr>
          <w:rFonts w:cs="Times New Roman"/>
          <w:szCs w:val="28"/>
        </w:rPr>
        <w:t xml:space="preserve"> 2; </w:t>
      </w:r>
      <w:r w:rsidRPr="00377AC1">
        <w:rPr>
          <w:rFonts w:cs="Times New Roman"/>
          <w:i/>
          <w:iCs/>
          <w:szCs w:val="28"/>
        </w:rPr>
        <w:t>Dio3</w:t>
      </w:r>
      <w:r w:rsidRPr="00377AC1">
        <w:rPr>
          <w:rFonts w:cs="Times New Roman"/>
          <w:szCs w:val="28"/>
        </w:rPr>
        <w:t xml:space="preserve">: </w:t>
      </w:r>
      <w:proofErr w:type="spellStart"/>
      <w:r w:rsidRPr="00377AC1">
        <w:rPr>
          <w:rFonts w:cs="Times New Roman"/>
          <w:szCs w:val="28"/>
        </w:rPr>
        <w:t>iodothyronine</w:t>
      </w:r>
      <w:proofErr w:type="spellEnd"/>
      <w:r w:rsidRPr="00377AC1">
        <w:rPr>
          <w:rFonts w:cs="Times New Roman"/>
          <w:szCs w:val="28"/>
        </w:rPr>
        <w:t xml:space="preserve"> </w:t>
      </w:r>
      <w:proofErr w:type="spellStart"/>
      <w:r w:rsidRPr="00377AC1">
        <w:rPr>
          <w:rFonts w:cs="Times New Roman"/>
          <w:szCs w:val="28"/>
        </w:rPr>
        <w:t>deiodinase</w:t>
      </w:r>
      <w:proofErr w:type="spellEnd"/>
      <w:r w:rsidRPr="00377AC1">
        <w:rPr>
          <w:rFonts w:cs="Times New Roman"/>
          <w:szCs w:val="28"/>
        </w:rPr>
        <w:t xml:space="preserve"> </w:t>
      </w:r>
      <w:proofErr w:type="gramStart"/>
      <w:r w:rsidRPr="00377AC1">
        <w:rPr>
          <w:rFonts w:cs="Times New Roman"/>
          <w:szCs w:val="28"/>
        </w:rPr>
        <w:t>3</w:t>
      </w:r>
      <w:proofErr w:type="gramEnd"/>
      <w:r w:rsidRPr="00377AC1">
        <w:rPr>
          <w:rFonts w:cs="Times New Roman"/>
          <w:szCs w:val="28"/>
        </w:rPr>
        <w:t xml:space="preserve">; </w:t>
      </w:r>
      <w:r w:rsidRPr="00377AC1">
        <w:rPr>
          <w:rFonts w:cs="Times New Roman"/>
          <w:i/>
          <w:iCs/>
        </w:rPr>
        <w:t>Dio2/Dio3</w:t>
      </w:r>
      <w:r w:rsidRPr="00377AC1">
        <w:rPr>
          <w:rFonts w:cs="Times New Roman"/>
        </w:rPr>
        <w:t>:</w:t>
      </w:r>
      <w:r w:rsidRPr="00377AC1">
        <w:t xml:space="preserve"> </w:t>
      </w:r>
      <w:r w:rsidRPr="00377AC1">
        <w:rPr>
          <w:rFonts w:cs="Times New Roman"/>
        </w:rPr>
        <w:t xml:space="preserve">the ratio of </w:t>
      </w:r>
      <w:r w:rsidRPr="00377AC1">
        <w:rPr>
          <w:rFonts w:cs="Times New Roman"/>
          <w:i/>
          <w:iCs/>
        </w:rPr>
        <w:t>Dio2</w:t>
      </w:r>
      <w:r w:rsidRPr="00377AC1">
        <w:rPr>
          <w:rFonts w:cs="Times New Roman"/>
        </w:rPr>
        <w:t xml:space="preserve"> to </w:t>
      </w:r>
      <w:r w:rsidRPr="00377AC1">
        <w:rPr>
          <w:rFonts w:cs="Times New Roman"/>
          <w:i/>
          <w:iCs/>
        </w:rPr>
        <w:t>Dio3</w:t>
      </w:r>
      <w:r w:rsidRPr="00377AC1">
        <w:rPr>
          <w:rFonts w:cs="Times New Roman"/>
        </w:rPr>
        <w:t xml:space="preserve"> expression; </w:t>
      </w:r>
      <w:r w:rsidRPr="00377AC1">
        <w:rPr>
          <w:rFonts w:cs="Times New Roman"/>
          <w:i/>
          <w:iCs/>
          <w:szCs w:val="28"/>
        </w:rPr>
        <w:t>Kiss-1</w:t>
      </w:r>
      <w:r w:rsidRPr="00377AC1">
        <w:rPr>
          <w:rFonts w:cs="Times New Roman"/>
          <w:szCs w:val="28"/>
        </w:rPr>
        <w:t xml:space="preserve">: Kisspeptin-1; </w:t>
      </w:r>
      <w:r w:rsidRPr="00377AC1">
        <w:rPr>
          <w:rFonts w:cs="Times New Roman"/>
          <w:i/>
          <w:iCs/>
          <w:szCs w:val="28"/>
        </w:rPr>
        <w:t>GPR54</w:t>
      </w:r>
      <w:r w:rsidRPr="00377AC1">
        <w:rPr>
          <w:rFonts w:cs="Times New Roman"/>
          <w:szCs w:val="28"/>
        </w:rPr>
        <w:t xml:space="preserve">: G protein-coupled receptor 54; </w:t>
      </w:r>
      <w:proofErr w:type="spellStart"/>
      <w:r w:rsidRPr="00377AC1">
        <w:rPr>
          <w:rFonts w:cs="Times New Roman"/>
          <w:i/>
          <w:iCs/>
          <w:szCs w:val="28"/>
        </w:rPr>
        <w:t>GnRH</w:t>
      </w:r>
      <w:proofErr w:type="spellEnd"/>
      <w:r w:rsidRPr="00377AC1">
        <w:rPr>
          <w:rFonts w:cs="Times New Roman"/>
          <w:szCs w:val="28"/>
        </w:rPr>
        <w:t xml:space="preserve">: encode gonadotropin-releasing hormone; </w:t>
      </w:r>
      <w:r w:rsidRPr="00377AC1">
        <w:rPr>
          <w:rFonts w:cs="Times New Roman"/>
          <w:i/>
          <w:iCs/>
          <w:szCs w:val="28"/>
        </w:rPr>
        <w:t>Stra8</w:t>
      </w:r>
      <w:r w:rsidRPr="00377AC1">
        <w:rPr>
          <w:rFonts w:cs="Times New Roman"/>
          <w:szCs w:val="28"/>
        </w:rPr>
        <w:t>: stimulated by retinoic acid 8.</w:t>
      </w:r>
    </w:p>
    <w:p w:rsidR="004C1307" w:rsidRPr="00377AC1" w:rsidRDefault="004C1307" w:rsidP="004C1307">
      <w:pPr>
        <w:adjustRightInd w:val="0"/>
        <w:snapToGrid w:val="0"/>
        <w:spacing w:line="480" w:lineRule="auto"/>
        <w:rPr>
          <w:rFonts w:cs="Times New Roman"/>
          <w:szCs w:val="28"/>
        </w:rPr>
      </w:pPr>
      <w:r w:rsidRPr="00377AC1">
        <w:rPr>
          <w:rFonts w:cs="Times New Roman"/>
          <w:szCs w:val="28"/>
        </w:rPr>
        <w:br w:type="page"/>
      </w:r>
    </w:p>
    <w:p w:rsidR="004C6C92" w:rsidRPr="004C1307" w:rsidRDefault="004C6C92" w:rsidP="004C1307">
      <w:bookmarkStart w:id="0" w:name="_GoBack"/>
      <w:bookmarkEnd w:id="0"/>
    </w:p>
    <w:sectPr w:rsidR="004C6C92" w:rsidRPr="004C13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ED"/>
    <w:rsid w:val="000A5977"/>
    <w:rsid w:val="000B1D67"/>
    <w:rsid w:val="000B5801"/>
    <w:rsid w:val="000E2071"/>
    <w:rsid w:val="00273681"/>
    <w:rsid w:val="00281BA0"/>
    <w:rsid w:val="002D2CF7"/>
    <w:rsid w:val="003A2979"/>
    <w:rsid w:val="00406DAE"/>
    <w:rsid w:val="00437730"/>
    <w:rsid w:val="0045130B"/>
    <w:rsid w:val="00452DCE"/>
    <w:rsid w:val="00460D8A"/>
    <w:rsid w:val="004822A1"/>
    <w:rsid w:val="0049295E"/>
    <w:rsid w:val="004A2C8F"/>
    <w:rsid w:val="004C1307"/>
    <w:rsid w:val="004C6C92"/>
    <w:rsid w:val="004E0841"/>
    <w:rsid w:val="004F7293"/>
    <w:rsid w:val="00516E9C"/>
    <w:rsid w:val="00555B1A"/>
    <w:rsid w:val="00571A52"/>
    <w:rsid w:val="00574321"/>
    <w:rsid w:val="005966E6"/>
    <w:rsid w:val="005A3946"/>
    <w:rsid w:val="005D6A70"/>
    <w:rsid w:val="00640AF6"/>
    <w:rsid w:val="0069339D"/>
    <w:rsid w:val="006A12D5"/>
    <w:rsid w:val="006A29B4"/>
    <w:rsid w:val="006B5ED7"/>
    <w:rsid w:val="006E5BA4"/>
    <w:rsid w:val="00727622"/>
    <w:rsid w:val="00745DFE"/>
    <w:rsid w:val="00774D30"/>
    <w:rsid w:val="0079024E"/>
    <w:rsid w:val="007C12C5"/>
    <w:rsid w:val="007C6DC9"/>
    <w:rsid w:val="008245C3"/>
    <w:rsid w:val="0089067F"/>
    <w:rsid w:val="008920AD"/>
    <w:rsid w:val="008C402A"/>
    <w:rsid w:val="008E17BC"/>
    <w:rsid w:val="008F2098"/>
    <w:rsid w:val="008F7A9A"/>
    <w:rsid w:val="00944694"/>
    <w:rsid w:val="0096395A"/>
    <w:rsid w:val="009748F1"/>
    <w:rsid w:val="00986823"/>
    <w:rsid w:val="009E2CCB"/>
    <w:rsid w:val="00A12792"/>
    <w:rsid w:val="00A21437"/>
    <w:rsid w:val="00AE7F00"/>
    <w:rsid w:val="00B00B66"/>
    <w:rsid w:val="00B22EF8"/>
    <w:rsid w:val="00B376ED"/>
    <w:rsid w:val="00C0702E"/>
    <w:rsid w:val="00C32E79"/>
    <w:rsid w:val="00C55835"/>
    <w:rsid w:val="00C66223"/>
    <w:rsid w:val="00CC032F"/>
    <w:rsid w:val="00CE5FB6"/>
    <w:rsid w:val="00D36C6F"/>
    <w:rsid w:val="00D9262D"/>
    <w:rsid w:val="00DB571A"/>
    <w:rsid w:val="00DF5332"/>
    <w:rsid w:val="00E37543"/>
    <w:rsid w:val="00EE555C"/>
    <w:rsid w:val="00EE5B56"/>
    <w:rsid w:val="00F31656"/>
    <w:rsid w:val="00F400D5"/>
    <w:rsid w:val="00F7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table" w:styleId="TableGrid">
    <w:name w:val="Table Grid"/>
    <w:basedOn w:val="TableNormal"/>
    <w:uiPriority w:val="39"/>
    <w:rsid w:val="008E17BC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TableNormal"/>
    <w:next w:val="TableGrid"/>
    <w:uiPriority w:val="39"/>
    <w:rsid w:val="003A2979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  <w:style w:type="table" w:styleId="TableGrid">
    <w:name w:val="Table Grid"/>
    <w:basedOn w:val="TableNormal"/>
    <w:uiPriority w:val="39"/>
    <w:rsid w:val="008E17BC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TableNormal"/>
    <w:next w:val="TableGrid"/>
    <w:uiPriority w:val="39"/>
    <w:rsid w:val="003A2979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2</cp:revision>
  <cp:lastPrinted>2022-10-07T06:10:00Z</cp:lastPrinted>
  <dcterms:created xsi:type="dcterms:W3CDTF">2022-10-07T06:11:00Z</dcterms:created>
  <dcterms:modified xsi:type="dcterms:W3CDTF">2022-10-07T06:11:00Z</dcterms:modified>
</cp:coreProperties>
</file>