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firstLine="0"/>
        <w:jc w:val="left"/>
        <w:textAlignment w:val="auto"/>
        <w:rPr>
          <w:rFonts w:hint="default" w:ascii="Arial" w:hAnsi="Arial" w:cs="Arial" w:eastAsiaTheme="minorEastAsia"/>
          <w:b w:val="0"/>
          <w:bCs w:val="0"/>
          <w:i w:val="0"/>
          <w:iCs w:val="0"/>
          <w:color w:val="auto"/>
          <w:kern w:val="24"/>
          <w:sz w:val="21"/>
          <w:szCs w:val="21"/>
          <w:u w:val="none"/>
          <w:lang w:val="en-US" w:eastAsia="zh-CN"/>
        </w:rPr>
      </w:pPr>
      <w:r>
        <w:rPr>
          <w:rFonts w:hint="default" w:ascii="Arial" w:hAnsi="Arial" w:cs="Arial"/>
          <w:b w:val="0"/>
          <w:bCs w:val="0"/>
          <w:i w:val="0"/>
          <w:iCs w:val="0"/>
          <w:color w:val="auto"/>
          <w:kern w:val="24"/>
          <w:sz w:val="21"/>
          <w:szCs w:val="21"/>
          <w:u w:val="none"/>
        </w:rPr>
        <w:t xml:space="preserve">Supplementary Table </w:t>
      </w:r>
      <w:r>
        <w:rPr>
          <w:rFonts w:hint="eastAsia" w:ascii="Arial" w:hAnsi="Arial" w:cs="Arial"/>
          <w:b w:val="0"/>
          <w:bCs w:val="0"/>
          <w:i w:val="0"/>
          <w:iCs w:val="0"/>
          <w:color w:val="auto"/>
          <w:kern w:val="24"/>
          <w:sz w:val="21"/>
          <w:szCs w:val="21"/>
          <w:u w:val="none"/>
          <w:lang w:val="en-US" w:eastAsia="zh-CN"/>
        </w:rPr>
        <w:t>2</w:t>
      </w:r>
      <w:r>
        <w:rPr>
          <w:rFonts w:hint="default" w:ascii="Arial" w:hAnsi="Arial" w:cs="Arial"/>
          <w:b w:val="0"/>
          <w:bCs w:val="0"/>
          <w:i w:val="0"/>
          <w:iCs w:val="0"/>
          <w:color w:val="auto"/>
          <w:kern w:val="24"/>
          <w:sz w:val="21"/>
          <w:szCs w:val="21"/>
          <w:u w:val="none"/>
        </w:rPr>
        <w:t>. Characteristics of the participants at baseline</w:t>
      </w:r>
      <w:r>
        <w:rPr>
          <w:rFonts w:hint="eastAsia" w:ascii="Arial" w:hAnsi="Arial" w:cs="Arial"/>
          <w:b w:val="0"/>
          <w:bCs w:val="0"/>
          <w:i w:val="0"/>
          <w:iCs w:val="0"/>
          <w:color w:val="auto"/>
          <w:kern w:val="24"/>
          <w:sz w:val="21"/>
          <w:szCs w:val="21"/>
          <w:u w:val="none"/>
          <w:lang w:val="en-US" w:eastAsia="zh-CN"/>
        </w:rPr>
        <w:t xml:space="preserve"> in faecal samples.</w:t>
      </w:r>
      <w:bookmarkStart w:id="1" w:name="_GoBack"/>
      <w:bookmarkEnd w:id="1"/>
    </w:p>
    <w:tbl>
      <w:tblPr>
        <w:tblStyle w:val="3"/>
        <w:tblpPr w:leftFromText="180" w:rightFromText="180" w:vertAnchor="text" w:horzAnchor="page" w:tblpXSpec="center" w:tblpY="608"/>
        <w:tblOverlap w:val="never"/>
        <w:tblW w:w="79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30"/>
        <w:gridCol w:w="2350"/>
        <w:gridCol w:w="2300"/>
        <w:gridCol w:w="9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  <w:jc w:val="center"/>
        </w:trPr>
        <w:tc>
          <w:tcPr>
            <w:tcW w:w="2330" w:type="dxa"/>
            <w:vMerge w:val="restart"/>
            <w:tcBorders>
              <w:top w:val="single" w:color="080000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Calcification</w:t>
            </w:r>
          </w:p>
        </w:tc>
        <w:tc>
          <w:tcPr>
            <w:tcW w:w="4650" w:type="dxa"/>
            <w:gridSpan w:val="2"/>
            <w:tcBorders>
              <w:top w:val="single" w:color="080000" w:sz="8" w:space="0"/>
              <w:left w:val="nil"/>
              <w:bottom w:val="single" w:color="080000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eastAsia="宋体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Feces</w:t>
            </w:r>
          </w:p>
        </w:tc>
        <w:tc>
          <w:tcPr>
            <w:tcW w:w="980" w:type="dxa"/>
            <w:vMerge w:val="restart"/>
            <w:tcBorders>
              <w:top w:val="single" w:color="080000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P-value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330" w:type="dxa"/>
            <w:vMerge w:val="continue"/>
            <w:tcBorders>
              <w:top w:val="single" w:color="080000" w:sz="8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  <w:tc>
          <w:tcPr>
            <w:tcW w:w="2350" w:type="dxa"/>
            <w:tcBorders>
              <w:top w:val="single" w:color="080000" w:sz="8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No (n=41)</w:t>
            </w:r>
          </w:p>
        </w:tc>
        <w:tc>
          <w:tcPr>
            <w:tcW w:w="2300" w:type="dxa"/>
            <w:tcBorders>
              <w:top w:val="single" w:color="080000" w:sz="8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Yes (n=26)</w:t>
            </w:r>
          </w:p>
        </w:tc>
        <w:tc>
          <w:tcPr>
            <w:tcW w:w="980" w:type="dxa"/>
            <w:vMerge w:val="continue"/>
            <w:tcBorders>
              <w:top w:val="single" w:color="080000" w:sz="8" w:space="0"/>
              <w:left w:val="nil"/>
              <w:bottom w:val="single" w:color="auto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TAC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Score</w:t>
            </w:r>
          </w:p>
        </w:tc>
        <w:tc>
          <w:tcPr>
            <w:tcW w:w="235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0.0 (0.0-0.0)</w:t>
            </w:r>
          </w:p>
        </w:tc>
        <w:tc>
          <w:tcPr>
            <w:tcW w:w="230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195.8 (55.7-596.0)</w:t>
            </w:r>
          </w:p>
        </w:tc>
        <w:tc>
          <w:tcPr>
            <w:tcW w:w="98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Age (years)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39.0 (35.0-43.0)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43.5 (39.2-44.0)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Male, n (%)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36 (87.8)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24 (92.3)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0.557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 w:eastAsiaTheme="minorEastAsia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BMI (kg/m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22.5 ± 3.0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26.8 ± 3.1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CPDQS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54.5 ± 7.8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51.1 ± 8.9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0.123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Diabetes, n (%)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4 (9.8)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7 (26.9)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000000" w:themeColor="text1"/>
                <w:kern w:val="24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  <w:t>0.065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Hypertension, n (%)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13 (31.7)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5 (19.2)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0.262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CHD, n (%)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15 (36.6)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14 (53.8)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0.165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Smoking, n (%)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25 (61.0)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17 (65.4)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0.716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Drinking, n (%)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5 (12.2)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6 (23.1)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0.241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  <w:lang w:val="en-US" w:eastAsia="zh-CN"/>
              </w:rPr>
              <w:t xml:space="preserve">TC 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(mmol/L)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3.91 ± 1.76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5.20 ± 2.13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LDL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  <w:lang w:val="en-US" w:eastAsia="zh-CN"/>
              </w:rPr>
              <w:t>-C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 xml:space="preserve"> (mmol/L)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2.48 ± 0.96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3.71 ± 1.78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Arial" w:hAnsi="Arial" w:cs="Arial"/>
                <w:sz w:val="21"/>
                <w:szCs w:val="21"/>
                <w:lang w:val="en-US" w:eastAsia="zh-CN"/>
              </w:rPr>
              <w:t xml:space="preserve">FBG 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(mmol/L)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5.26 ± 1.43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6.87 ± 2.59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eGFR (ml/min/1.73m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position w:val="0"/>
                <w:sz w:val="21"/>
                <w:szCs w:val="21"/>
                <w:u w:val="none"/>
                <w:vertAlign w:val="superscript"/>
              </w:rPr>
              <w:t>2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105.39 (97.93-111.55)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105.43 (96.50-110.25)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0.893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Arial" w:hAnsi="Arial" w:cs="Arial"/>
                <w:sz w:val="21"/>
                <w:szCs w:val="21"/>
                <w:lang w:val="en-US" w:eastAsia="zh-CN"/>
              </w:rPr>
              <w:t>BUN</w:t>
            </w: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 xml:space="preserve"> (mmol/L)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4.25 (3.53-5.19)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4.20 (3.70-5.59)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0.689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Uric acid (umol/L)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397.6 ± 97.6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409.0 ± 119.8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Arial" w:hAnsi="Arial" w:cs="Arial"/>
                <w:b w:val="0"/>
                <w:bCs w:val="0"/>
                <w:i w:val="0"/>
                <w:iCs w:val="0"/>
                <w:color w:val="auto"/>
                <w:kern w:val="24"/>
                <w:sz w:val="21"/>
                <w:szCs w:val="21"/>
                <w:u w:val="none"/>
              </w:rPr>
              <w:t>0.679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2"/>
            <w:r>
              <w:rPr>
                <w:rFonts w:hint="eastAsia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</w:t>
            </w: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cetate</w:t>
            </w:r>
            <w:bookmarkEnd w:id="0"/>
            <w:r>
              <w:rPr>
                <w:rFonts w:hint="eastAsia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(mg/kg)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2328.6 ± 692.3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2006.3 ± 771.3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both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eastAsia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</w:t>
            </w: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ropionate</w:t>
            </w:r>
            <w:r>
              <w:rPr>
                <w:rFonts w:hint="eastAsia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(mg/kg)</w:t>
            </w:r>
          </w:p>
        </w:tc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492.3 (319.6-1013.0)</w:t>
            </w: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62.0 (38.8-237.9)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both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atLeast"/>
          <w:jc w:val="center"/>
        </w:trPr>
        <w:tc>
          <w:tcPr>
            <w:tcW w:w="2330" w:type="dxa"/>
            <w:tcBorders>
              <w:top w:val="nil"/>
              <w:left w:val="nil"/>
              <w:bottom w:val="single" w:color="080000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left"/>
              <w:rPr>
                <w:rFonts w:hint="eastAsia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</w:t>
            </w: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utyrate</w:t>
            </w:r>
            <w:r>
              <w:rPr>
                <w:rFonts w:hint="eastAsia" w:ascii="Arial" w:hAnsi="Arial" w:cs="Arial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(mg/kg)</w:t>
            </w:r>
          </w:p>
        </w:tc>
        <w:tc>
          <w:tcPr>
            <w:tcW w:w="2350" w:type="dxa"/>
            <w:tcBorders>
              <w:top w:val="nil"/>
              <w:left w:val="nil"/>
              <w:bottom w:val="single" w:color="080000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83.6 (40.4-179.6)</w:t>
            </w:r>
          </w:p>
        </w:tc>
        <w:tc>
          <w:tcPr>
            <w:tcW w:w="2300" w:type="dxa"/>
            <w:tcBorders>
              <w:top w:val="nil"/>
              <w:left w:val="nil"/>
              <w:bottom w:val="single" w:color="080000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center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41.9 (18.3-70.1)</w:t>
            </w:r>
          </w:p>
        </w:tc>
        <w:tc>
          <w:tcPr>
            <w:tcW w:w="980" w:type="dxa"/>
            <w:tcBorders>
              <w:top w:val="nil"/>
              <w:left w:val="nil"/>
              <w:bottom w:val="single" w:color="080000" w:sz="8" w:space="0"/>
              <w:right w:val="nil"/>
            </w:tcBorders>
            <w:shd w:val="clear" w:color="auto" w:fill="FFFFFF" w:themeFill="background1"/>
            <w:tcMar>
              <w:top w:w="10" w:type="dxa"/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pacing w:before="0" w:beforeAutospacing="0" w:after="0" w:afterAutospacing="0"/>
              <w:ind w:left="0" w:firstLine="0"/>
              <w:jc w:val="both"/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Arial" w:hAnsi="Arial" w:cs="Arial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0.006</w:t>
            </w:r>
          </w:p>
        </w:tc>
      </w:tr>
    </w:tbl>
    <w:p>
      <w:pPr>
        <w:bidi w:val="0"/>
        <w:rPr>
          <w:rFonts w:asciiTheme="minorHAnsi" w:hAnsiTheme="minorHAnsi" w:eastAsiaTheme="minorEastAsia" w:cstheme="minorBidi"/>
          <w:color w:val="000000" w:themeColor="text1"/>
          <w:kern w:val="2"/>
          <w:sz w:val="21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480" w:lineRule="auto"/>
        <w:textAlignment w:val="auto"/>
        <w:rPr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Data are presented as mean ± standard deviation (SD), median (interquartile range [IQR]) or n (%). P value &lt; 0.05 was considered statistically significant. </w:t>
      </w:r>
      <w:r>
        <w:rPr>
          <w:rFonts w:hint="eastAsia" w:ascii="Arial" w:hAnsi="Arial" w:cs="Arial"/>
          <w:b w:val="0"/>
          <w:bCs w:val="0"/>
          <w:i w:val="0"/>
          <w:iCs w:val="0"/>
          <w:color w:val="000000" w:themeColor="text1"/>
          <w:kern w:val="24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BMI: Body Mass Index; </w:t>
      </w:r>
      <w:r>
        <w:rPr>
          <w:rFonts w:hint="eastAsia" w:ascii="Arial" w:hAnsi="Arial" w:cs="Ari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BUN: </w:t>
      </w:r>
      <w:r>
        <w:rPr>
          <w:rFonts w:hint="default" w:ascii="Arial" w:hAnsi="Arial" w:cs="Arial"/>
          <w:b w:val="0"/>
          <w:bCs w:val="0"/>
          <w:i w:val="0"/>
          <w:iCs w:val="0"/>
          <w:color w:val="000000" w:themeColor="text1"/>
          <w:kern w:val="24"/>
          <w:sz w:val="21"/>
          <w:szCs w:val="21"/>
          <w:u w:val="none"/>
          <w14:textFill>
            <w14:solidFill>
              <w14:schemeClr w14:val="tx1"/>
            </w14:solidFill>
          </w14:textFill>
        </w:rPr>
        <w:t>Blood urea nitrogen</w:t>
      </w:r>
      <w:r>
        <w:rPr>
          <w:rFonts w:hint="eastAsia" w:ascii="Arial" w:hAnsi="Arial" w:cs="Arial"/>
          <w:b w:val="0"/>
          <w:bCs w:val="0"/>
          <w:i w:val="0"/>
          <w:iCs w:val="0"/>
          <w:color w:val="000000" w:themeColor="text1"/>
          <w:kern w:val="24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hint="default" w:ascii="Arial" w:hAnsi="Arial" w:cs="Ari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CHD: </w:t>
      </w:r>
      <w:r>
        <w:rPr>
          <w:rFonts w:hint="eastAsia" w:ascii="Arial" w:hAnsi="Arial" w:cs="Ari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Arial" w:hAnsi="Arial" w:cs="Ari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oronary heart disease; </w:t>
      </w:r>
      <w:r>
        <w:rPr>
          <w:rFonts w:hint="default" w:ascii="Arial" w:hAnsi="Arial" w:cs="Arial"/>
          <w:b w:val="0"/>
          <w:bCs w:val="0"/>
          <w:i w:val="0"/>
          <w:iCs w:val="0"/>
          <w:color w:val="000000" w:themeColor="text1"/>
          <w:kern w:val="24"/>
          <w:sz w:val="21"/>
          <w:szCs w:val="21"/>
          <w:u w:val="none"/>
          <w14:textFill>
            <w14:solidFill>
              <w14:schemeClr w14:val="tx1"/>
            </w14:solidFill>
          </w14:textFill>
        </w:rPr>
        <w:t>CPDQS</w:t>
      </w:r>
      <w:r>
        <w:rPr>
          <w:rFonts w:hint="eastAsia" w:ascii="Arial" w:hAnsi="Arial" w:cs="Arial"/>
          <w:b w:val="0"/>
          <w:bCs w:val="0"/>
          <w:i w:val="0"/>
          <w:iCs w:val="0"/>
          <w:color w:val="000000" w:themeColor="text1"/>
          <w:kern w:val="24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: China Prime Diet Quality Score; </w:t>
      </w:r>
      <w:r>
        <w:rPr>
          <w:rFonts w:hint="default" w:ascii="Arial" w:hAnsi="Arial" w:cs="Ari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EGFR: Estimated glomerular filtration rate; </w:t>
      </w:r>
      <w:r>
        <w:rPr>
          <w:rFonts w:hint="eastAsia" w:ascii="Arial" w:hAnsi="Arial" w:cs="Ari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FBG: Fasting blood glucose; </w:t>
      </w:r>
      <w:r>
        <w:rPr>
          <w:rFonts w:hint="default" w:ascii="Arial" w:hAnsi="Arial" w:cs="Ari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IQR: Interquartile range; LDL-C: low-density lipoprotein cholesterol; SD: Standard deviation; TAC: Thoracic aortic calcification</w:t>
      </w:r>
      <w:r>
        <w:rPr>
          <w:rFonts w:hint="eastAsia" w:ascii="Arial" w:hAnsi="Arial" w:cs="Ari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; TC: Total cholesterol</w:t>
      </w:r>
      <w:r>
        <w:rPr>
          <w:rFonts w:hint="default" w:ascii="Arial" w:hAnsi="Arial" w:cs="Arial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M3NjJkOGE1MmFmYzRkNDkwYWFhMWQ0Zjg1MWJjMDkifQ=="/>
  </w:docVars>
  <w:rsids>
    <w:rsidRoot w:val="00000000"/>
    <w:rsid w:val="067702F3"/>
    <w:rsid w:val="07F338D1"/>
    <w:rsid w:val="2CB25B7C"/>
    <w:rsid w:val="5B4D6AFE"/>
    <w:rsid w:val="5E63422D"/>
    <w:rsid w:val="743E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1294</Characters>
  <Lines>0</Lines>
  <Paragraphs>0</Paragraphs>
  <TotalTime>1</TotalTime>
  <ScaleCrop>false</ScaleCrop>
  <LinksUpToDate>false</LinksUpToDate>
  <CharactersWithSpaces>1451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2022-05-14T07:58:00Z</dcterms:created>
  <dc:creator>93542</dc:creator>
  <cp:lastModifiedBy>未定义</cp:lastModifiedBy>
  <dcterms:modified xsi:type="dcterms:W3CDTF">2022-06-11T02:49:36Z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787F35AF2DE34CB2B71D9655D1702B83</vt:lpwstr>
  </property>
</Properties>
</file>