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ind w:leftChars="0"/>
        <w:jc w:val="both"/>
        <w:textAlignment w:val="auto"/>
        <w:rPr>
          <w:rFonts w:hint="default" w:ascii="Arial" w:hAnsi="Arial" w:cs="Arial" w:eastAsiaTheme="minorEastAsia"/>
          <w:b w:val="0"/>
          <w:bCs w:val="0"/>
          <w:i w:val="0"/>
          <w:iCs w:val="0"/>
          <w:color w:val="auto"/>
          <w:kern w:val="24"/>
          <w:sz w:val="21"/>
          <w:szCs w:val="21"/>
          <w:u w:val="none"/>
          <w:lang w:val="en-US" w:eastAsia="zh-CN" w:bidi="ar"/>
        </w:rPr>
      </w:pPr>
      <w:r>
        <w:rPr>
          <w:rFonts w:hint="default" w:ascii="Arial" w:hAnsi="Arial" w:cs="Arial" w:eastAsiaTheme="minorEastAsia"/>
          <w:b w:val="0"/>
          <w:bCs w:val="0"/>
          <w:i w:val="0"/>
          <w:iCs w:val="0"/>
          <w:color w:val="auto"/>
          <w:kern w:val="24"/>
          <w:sz w:val="21"/>
          <w:szCs w:val="21"/>
          <w:u w:val="none"/>
          <w:lang w:val="en-US" w:eastAsia="zh-CN" w:bidi="ar"/>
        </w:rPr>
        <w:t>Supplementary</w:t>
      </w:r>
      <w:r>
        <w:rPr>
          <w:rFonts w:hint="eastAsia" w:ascii="Arial" w:hAnsi="Arial" w:cs="Arial" w:eastAsiaTheme="minorEastAsia"/>
          <w:b w:val="0"/>
          <w:bCs w:val="0"/>
          <w:i w:val="0"/>
          <w:iCs w:val="0"/>
          <w:color w:val="auto"/>
          <w:kern w:val="24"/>
          <w:sz w:val="21"/>
          <w:szCs w:val="21"/>
          <w:u w:val="none"/>
          <w:lang w:val="en-US" w:eastAsia="zh-CN" w:bidi="ar"/>
        </w:rPr>
        <w:t xml:space="preserve"> </w:t>
      </w:r>
      <w:r>
        <w:rPr>
          <w:rFonts w:hint="default" w:ascii="Arial" w:hAnsi="Arial" w:cs="Arial" w:eastAsiaTheme="minorEastAsia"/>
          <w:b w:val="0"/>
          <w:bCs w:val="0"/>
          <w:i w:val="0"/>
          <w:iCs w:val="0"/>
          <w:color w:val="auto"/>
          <w:kern w:val="24"/>
          <w:sz w:val="21"/>
          <w:szCs w:val="21"/>
          <w:u w:val="none"/>
          <w:lang w:val="en-US" w:eastAsia="zh-CN" w:bidi="ar"/>
        </w:rPr>
        <w:t>Table 3. Relationship between short-chain fatty acids in plasma samples and clinical indicators</w:t>
      </w:r>
      <w:r>
        <w:rPr>
          <w:rFonts w:hint="eastAsia" w:ascii="Arial" w:hAnsi="Arial" w:cs="Arial" w:eastAsiaTheme="minorEastAsia"/>
          <w:b w:val="0"/>
          <w:bCs w:val="0"/>
          <w:i w:val="0"/>
          <w:iCs w:val="0"/>
          <w:color w:val="auto"/>
          <w:kern w:val="24"/>
          <w:sz w:val="21"/>
          <w:szCs w:val="21"/>
          <w:u w:val="none"/>
          <w:lang w:val="en-US" w:eastAsia="zh-CN" w:bidi="ar"/>
        </w:rPr>
        <w:t>.</w:t>
      </w:r>
    </w:p>
    <w:tbl>
      <w:tblPr>
        <w:tblStyle w:val="3"/>
        <w:tblW w:w="89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7"/>
        <w:gridCol w:w="1050"/>
        <w:gridCol w:w="1075"/>
        <w:gridCol w:w="1438"/>
        <w:gridCol w:w="1112"/>
        <w:gridCol w:w="1213"/>
        <w:gridCol w:w="10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067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  <w:lang w:val="en-US" w:eastAsia="zh-CN"/>
              </w:rPr>
              <w:t>Plasma samples</w:t>
            </w:r>
          </w:p>
        </w:tc>
        <w:tc>
          <w:tcPr>
            <w:tcW w:w="105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Acetate</w:t>
            </w:r>
          </w:p>
        </w:tc>
        <w:tc>
          <w:tcPr>
            <w:tcW w:w="107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  <w:tc>
          <w:tcPr>
            <w:tcW w:w="1438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Propionate</w:t>
            </w:r>
          </w:p>
        </w:tc>
        <w:tc>
          <w:tcPr>
            <w:tcW w:w="1112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  <w:tc>
          <w:tcPr>
            <w:tcW w:w="1213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Butyrate</w:t>
            </w:r>
          </w:p>
        </w:tc>
        <w:tc>
          <w:tcPr>
            <w:tcW w:w="102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06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</w:t>
            </w:r>
          </w:p>
        </w:tc>
        <w:tc>
          <w:tcPr>
            <w:tcW w:w="105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-0.1219</w:t>
            </w:r>
          </w:p>
        </w:tc>
        <w:tc>
          <w:tcPr>
            <w:tcW w:w="1075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0.2607</w:t>
            </w:r>
          </w:p>
        </w:tc>
        <w:tc>
          <w:tcPr>
            <w:tcW w:w="143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-0.2363</w:t>
            </w:r>
          </w:p>
        </w:tc>
        <w:tc>
          <w:tcPr>
            <w:tcW w:w="1112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0.0413</w:t>
            </w:r>
          </w:p>
        </w:tc>
        <w:tc>
          <w:tcPr>
            <w:tcW w:w="1213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-0.2248</w:t>
            </w:r>
          </w:p>
        </w:tc>
        <w:tc>
          <w:tcPr>
            <w:tcW w:w="1025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LDL-C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-0.3278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0.0270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-0.2372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0.0435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-0.2153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FBG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-0.1348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0.2255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-0.3176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0.0195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-0.2757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BMI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-0.2774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0.0364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-0.241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0.0544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-0.2721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06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CPDQS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0.1726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0.1664</w:t>
            </w:r>
          </w:p>
        </w:tc>
        <w:tc>
          <w:tcPr>
            <w:tcW w:w="1438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0.2616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0.0476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0.26430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0.0598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480" w:lineRule="auto"/>
        <w:textAlignment w:val="auto"/>
        <w:rPr>
          <w:sz w:val="21"/>
          <w:szCs w:val="21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The adjusted P-value was calculated with Benjamini-Hochberg false discovery rate (FDR) method to correct </w:t>
      </w:r>
      <w:r>
        <w:rPr>
          <w:rFonts w:hint="eastAsia" w:ascii="Arial" w:hAnsi="Arial" w:eastAsia="宋体" w:cs="Arial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s</w:t>
      </w: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pearm</w:t>
      </w:r>
      <w:bookmarkStart w:id="0" w:name="_GoBack"/>
      <w:bookmarkEnd w:id="0"/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an’s correlations.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BMI: Body Mass Index; CPDQS: China Prime Diet Quality Score; FBG: Fasting blood glucose; LDL-C: Low-density lipoprotein cholesterol; TC: Total cholesterol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3NjJkOGE1MmFmYzRkNDkwYWFhMWQ0Zjg1MWJjMDkifQ=="/>
  </w:docVars>
  <w:rsids>
    <w:rsidRoot w:val="00000000"/>
    <w:rsid w:val="0E795140"/>
    <w:rsid w:val="12400672"/>
    <w:rsid w:val="15A87D9D"/>
    <w:rsid w:val="1E9C712B"/>
    <w:rsid w:val="26BA6768"/>
    <w:rsid w:val="4A2D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611</Characters>
  <Lines>0</Lines>
  <Paragraphs>0</Paragraphs>
  <TotalTime>2</TotalTime>
  <ScaleCrop>false</ScaleCrop>
  <LinksUpToDate>false</LinksUpToDate>
  <CharactersWithSpaces>664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2022-06-10T13:44:00Z</dcterms:created>
  <dc:creator>93542</dc:creator>
  <cp:lastModifiedBy>未定义</cp:lastModifiedBy>
  <dcterms:modified xsi:type="dcterms:W3CDTF">2022-10-01T09:43:21Z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B57C7728CF5945ADB9836C3B4B553ED2</vt:lpwstr>
  </property>
</Properties>
</file>