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10F327" w14:textId="77777777" w:rsidR="004415D5" w:rsidRDefault="00056192">
      <w:r>
        <w:t>Supplementary files</w:t>
      </w:r>
    </w:p>
    <w:p w14:paraId="624D096A" w14:textId="77777777" w:rsidR="004415D5" w:rsidRDefault="004415D5"/>
    <w:p w14:paraId="406F1714" w14:textId="1746427C" w:rsidR="004415D5" w:rsidRDefault="00931ADD">
      <w:r>
        <w:rPr>
          <w:noProof/>
          <w:lang w:val="en-US" w:eastAsia="en-US"/>
        </w:rPr>
        <w:drawing>
          <wp:inline distT="0" distB="0" distL="0" distR="0" wp14:anchorId="7D715746" wp14:editId="7363E041">
            <wp:extent cx="5733415" cy="293751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3415" cy="2937510"/>
                    </a:xfrm>
                    <a:prstGeom prst="rect">
                      <a:avLst/>
                    </a:prstGeom>
                  </pic:spPr>
                </pic:pic>
              </a:graphicData>
            </a:graphic>
          </wp:inline>
        </w:drawing>
      </w:r>
      <w:bookmarkStart w:id="0" w:name="_GoBack"/>
      <w:bookmarkEnd w:id="0"/>
    </w:p>
    <w:p w14:paraId="00D51F81" w14:textId="77777777" w:rsidR="004415D5" w:rsidRDefault="004415D5"/>
    <w:p w14:paraId="0B26450C" w14:textId="239E8FEE" w:rsidR="004415D5" w:rsidRPr="00473BDA" w:rsidRDefault="00056192">
      <w:pPr>
        <w:rPr>
          <w:b/>
          <w:bCs/>
        </w:rPr>
      </w:pPr>
      <w:r w:rsidRPr="00473BDA">
        <w:rPr>
          <w:b/>
          <w:bCs/>
        </w:rPr>
        <w:t>Supplementary Figure 1.  Droplet Digital PCR to quantify 16S rDNA copy number of bacteria</w:t>
      </w:r>
    </w:p>
    <w:p w14:paraId="5633A524" w14:textId="77777777" w:rsidR="004415D5" w:rsidRDefault="00056192">
      <w:r>
        <w:t>The PCR mixture containing extracted DNA from coral branches was prepared and introduced into a microfluidic device for droplet generation. After thermal cycling, droplets were re-introduced into a microfluidic device for fluorescence detection. The number of total droplets and fluorescence-positive droplets were calculated with a custom designed optical system. The 16S rDNA copy number per 1 ng of DNA was calculated by the rate of fluorescence-positive droplets and the Poisson statistics.</w:t>
      </w:r>
    </w:p>
    <w:p w14:paraId="16533BDF" w14:textId="77777777" w:rsidR="004415D5" w:rsidRDefault="004415D5"/>
    <w:p w14:paraId="122C9775" w14:textId="77777777" w:rsidR="004415D5" w:rsidRDefault="00056192">
      <w:pPr>
        <w:pStyle w:val="Heading2"/>
      </w:pPr>
      <w:bookmarkStart w:id="1" w:name="_yjbwt8azljpe" w:colFirst="0" w:colLast="0"/>
      <w:bookmarkEnd w:id="1"/>
      <w:r>
        <w:rPr>
          <w:noProof/>
          <w:sz w:val="22"/>
          <w:szCs w:val="22"/>
          <w:lang w:val="en-US" w:eastAsia="en-US"/>
        </w:rPr>
        <w:lastRenderedPageBreak/>
        <w:drawing>
          <wp:inline distT="114300" distB="114300" distL="114300" distR="114300" wp14:anchorId="441AA1D6" wp14:editId="4CBF735F">
            <wp:extent cx="5731200" cy="6146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31200" cy="6146800"/>
                    </a:xfrm>
                    <a:prstGeom prst="rect">
                      <a:avLst/>
                    </a:prstGeom>
                    <a:ln/>
                  </pic:spPr>
                </pic:pic>
              </a:graphicData>
            </a:graphic>
          </wp:inline>
        </w:drawing>
      </w:r>
    </w:p>
    <w:p w14:paraId="53BB14E1" w14:textId="77777777" w:rsidR="004415D5" w:rsidRDefault="004415D5"/>
    <w:p w14:paraId="4B1CF07A" w14:textId="77777777" w:rsidR="004415D5" w:rsidRPr="00473BDA" w:rsidRDefault="00056192">
      <w:pPr>
        <w:rPr>
          <w:b/>
          <w:bCs/>
        </w:rPr>
      </w:pPr>
      <w:r w:rsidRPr="00473BDA">
        <w:rPr>
          <w:b/>
          <w:bCs/>
        </w:rPr>
        <w:t xml:space="preserve">Supplementary Figure 2. Order level </w:t>
      </w:r>
      <w:proofErr w:type="spellStart"/>
      <w:r w:rsidRPr="00473BDA">
        <w:rPr>
          <w:b/>
          <w:bCs/>
        </w:rPr>
        <w:t>barplot</w:t>
      </w:r>
      <w:proofErr w:type="spellEnd"/>
      <w:r w:rsidRPr="00473BDA">
        <w:rPr>
          <w:b/>
          <w:bCs/>
        </w:rPr>
        <w:t xml:space="preserve"> and </w:t>
      </w:r>
      <w:proofErr w:type="spellStart"/>
      <w:r w:rsidRPr="00473BDA">
        <w:rPr>
          <w:b/>
          <w:bCs/>
        </w:rPr>
        <w:t>PCoA</w:t>
      </w:r>
      <w:proofErr w:type="spellEnd"/>
      <w:r w:rsidRPr="00473BDA">
        <w:rPr>
          <w:b/>
          <w:bCs/>
        </w:rPr>
        <w:t xml:space="preserve"> plot based on </w:t>
      </w:r>
      <w:proofErr w:type="spellStart"/>
      <w:r w:rsidRPr="00473BDA">
        <w:rPr>
          <w:b/>
          <w:bCs/>
        </w:rPr>
        <w:t>UniFrac</w:t>
      </w:r>
      <w:proofErr w:type="spellEnd"/>
      <w:r w:rsidRPr="00473BDA">
        <w:rPr>
          <w:b/>
          <w:bCs/>
        </w:rPr>
        <w:t xml:space="preserve"> distance of </w:t>
      </w:r>
      <w:proofErr w:type="spellStart"/>
      <w:r w:rsidRPr="00473BDA">
        <w:rPr>
          <w:b/>
          <w:bCs/>
        </w:rPr>
        <w:t>Endozoicomonas</w:t>
      </w:r>
      <w:proofErr w:type="spellEnd"/>
      <w:r w:rsidRPr="00473BDA">
        <w:rPr>
          <w:b/>
          <w:bCs/>
        </w:rPr>
        <w:t xml:space="preserve"> genus in four sampling points</w:t>
      </w:r>
    </w:p>
    <w:p w14:paraId="30425203" w14:textId="77777777" w:rsidR="004415D5" w:rsidRPr="002748D2" w:rsidRDefault="00056192">
      <w:pPr>
        <w:rPr>
          <w:lang w:val="en-US"/>
        </w:rPr>
      </w:pPr>
      <w:r>
        <w:t xml:space="preserve">A: </w:t>
      </w:r>
      <w:proofErr w:type="spellStart"/>
      <w:r>
        <w:t>Barplot</w:t>
      </w:r>
      <w:proofErr w:type="spellEnd"/>
      <w:r>
        <w:t xml:space="preserve"> of Order level, showing the major 3 orders.</w:t>
      </w:r>
    </w:p>
    <w:p w14:paraId="7B5100D2" w14:textId="00FA2B63" w:rsidR="004415D5" w:rsidRDefault="00056192">
      <w:r>
        <w:t>B:</w:t>
      </w:r>
      <w:r w:rsidR="002748D2">
        <w:t xml:space="preserve"> </w:t>
      </w:r>
      <w:proofErr w:type="spellStart"/>
      <w:r w:rsidR="002748D2" w:rsidRPr="002748D2">
        <w:t>PCoA</w:t>
      </w:r>
      <w:proofErr w:type="spellEnd"/>
      <w:r w:rsidR="002748D2" w:rsidRPr="002748D2">
        <w:t xml:space="preserve"> plot of ASVs assigned to Endozoicomonas genus based on </w:t>
      </w:r>
      <w:r w:rsidR="002748D2">
        <w:t xml:space="preserve">weighted </w:t>
      </w:r>
      <w:proofErr w:type="spellStart"/>
      <w:r w:rsidR="002748D2">
        <w:t>UniFrac</w:t>
      </w:r>
      <w:proofErr w:type="spellEnd"/>
    </w:p>
    <w:p w14:paraId="6D998048" w14:textId="3ADEFAA6" w:rsidR="004415D5" w:rsidRDefault="00056192">
      <w:r>
        <w:t xml:space="preserve">C: </w:t>
      </w:r>
      <w:proofErr w:type="spellStart"/>
      <w:r w:rsidR="002748D2" w:rsidRPr="002748D2">
        <w:t>PCoA</w:t>
      </w:r>
      <w:proofErr w:type="spellEnd"/>
      <w:r w:rsidR="002748D2" w:rsidRPr="002748D2">
        <w:t xml:space="preserve"> plot of ASVs assigned to Endozoicomonas genus based on</w:t>
      </w:r>
      <w:r>
        <w:t xml:space="preserve"> </w:t>
      </w:r>
      <w:r w:rsidR="002748D2">
        <w:t>u</w:t>
      </w:r>
      <w:r>
        <w:t xml:space="preserve">nweighted </w:t>
      </w:r>
      <w:proofErr w:type="spellStart"/>
      <w:r>
        <w:t>UniFrac</w:t>
      </w:r>
      <w:proofErr w:type="spellEnd"/>
    </w:p>
    <w:p w14:paraId="34DB3E12" w14:textId="77777777" w:rsidR="004415D5" w:rsidRDefault="004415D5"/>
    <w:p w14:paraId="59E91260" w14:textId="77777777" w:rsidR="004415D5" w:rsidRDefault="004415D5"/>
    <w:p w14:paraId="5D72E4E9" w14:textId="77777777" w:rsidR="004415D5" w:rsidRDefault="004415D5"/>
    <w:p w14:paraId="1BC49809" w14:textId="77777777" w:rsidR="004415D5" w:rsidRDefault="004415D5"/>
    <w:p w14:paraId="60095F7E" w14:textId="77777777" w:rsidR="004415D5" w:rsidRDefault="00056192">
      <w:r>
        <w:rPr>
          <w:noProof/>
          <w:lang w:val="en-US" w:eastAsia="en-US"/>
        </w:rPr>
        <w:lastRenderedPageBreak/>
        <w:drawing>
          <wp:inline distT="114300" distB="114300" distL="114300" distR="114300" wp14:anchorId="67B9DB2D" wp14:editId="601A3B1E">
            <wp:extent cx="4709649" cy="7510463"/>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709649" cy="7510463"/>
                    </a:xfrm>
                    <a:prstGeom prst="rect">
                      <a:avLst/>
                    </a:prstGeom>
                    <a:ln/>
                  </pic:spPr>
                </pic:pic>
              </a:graphicData>
            </a:graphic>
          </wp:inline>
        </w:drawing>
      </w:r>
    </w:p>
    <w:p w14:paraId="62A156E3" w14:textId="77777777" w:rsidR="004415D5" w:rsidRDefault="004415D5"/>
    <w:p w14:paraId="628F34CE" w14:textId="77777777" w:rsidR="004415D5" w:rsidRPr="00473BDA" w:rsidRDefault="00056192">
      <w:pPr>
        <w:rPr>
          <w:b/>
          <w:bCs/>
        </w:rPr>
      </w:pPr>
      <w:r w:rsidRPr="00473BDA">
        <w:rPr>
          <w:b/>
          <w:bCs/>
        </w:rPr>
        <w:t xml:space="preserve">Supplementary Figure 3. Average Nucleotide Identity (ANI) and Average Amino Acid Identity (AAI) of Endozoicomonas genomes </w:t>
      </w:r>
    </w:p>
    <w:p w14:paraId="2AE9A3B8" w14:textId="77777777" w:rsidR="004415D5" w:rsidRDefault="00056192">
      <w:r>
        <w:t>A: Average Nucleotide Identity</w:t>
      </w:r>
    </w:p>
    <w:p w14:paraId="603A9E5C" w14:textId="77777777" w:rsidR="004415D5" w:rsidRDefault="00056192">
      <w:r>
        <w:t>B: Average Amino Acid Identity</w:t>
      </w:r>
    </w:p>
    <w:p w14:paraId="43DA2B6E" w14:textId="77777777" w:rsidR="004415D5" w:rsidRDefault="004415D5"/>
    <w:p w14:paraId="23C0E60B" w14:textId="77777777" w:rsidR="004415D5" w:rsidRDefault="004415D5"/>
    <w:p w14:paraId="3A45E79F" w14:textId="77777777" w:rsidR="004415D5" w:rsidRPr="00056192" w:rsidRDefault="00F81FF9">
      <w:pPr>
        <w:rPr>
          <w:lang w:val="en-US"/>
        </w:rPr>
      </w:pPr>
      <w:r>
        <w:rPr>
          <w:noProof/>
          <w:lang w:val="en-US" w:eastAsia="en-US"/>
        </w:rPr>
        <w:lastRenderedPageBreak/>
        <w:drawing>
          <wp:inline distT="0" distB="0" distL="0" distR="0" wp14:anchorId="695ACBB5" wp14:editId="5B45C87A">
            <wp:extent cx="5733415" cy="3431540"/>
            <wp:effectExtent l="0" t="0" r="0" b="0"/>
            <wp:docPr id="3" name="図 3" descr="ダイアグラム, 概略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ダイアグラム, 概略図&#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3415" cy="3431540"/>
                    </a:xfrm>
                    <a:prstGeom prst="rect">
                      <a:avLst/>
                    </a:prstGeom>
                  </pic:spPr>
                </pic:pic>
              </a:graphicData>
            </a:graphic>
          </wp:inline>
        </w:drawing>
      </w:r>
    </w:p>
    <w:p w14:paraId="1F6F73A9" w14:textId="53EAB92C" w:rsidR="004415D5" w:rsidRDefault="00056192">
      <w:r w:rsidRPr="00473BDA">
        <w:rPr>
          <w:b/>
          <w:bCs/>
        </w:rPr>
        <w:t>Supplementary Figure 4. Comparison of gene structures of Coral-like ephrin genes</w:t>
      </w:r>
      <w:r w:rsidR="00473BDA">
        <w:rPr>
          <w:b/>
          <w:bCs/>
        </w:rPr>
        <w:t xml:space="preserve"> |</w:t>
      </w:r>
      <w:r w:rsidR="00F81FF9">
        <w:t xml:space="preserve"> </w:t>
      </w:r>
      <w:r w:rsidR="00473BDA" w:rsidRPr="00473BDA">
        <w:t xml:space="preserve">The left column shows the phylogenetic tree was constructed by </w:t>
      </w:r>
      <w:proofErr w:type="spellStart"/>
      <w:r w:rsidR="00473BDA" w:rsidRPr="00473BDA">
        <w:t>mafft</w:t>
      </w:r>
      <w:proofErr w:type="spellEnd"/>
      <w:r w:rsidR="00473BDA" w:rsidRPr="00473BDA">
        <w:t xml:space="preserve"> and by IQ-TREE. In the middle column, the red arrows are the coding regions for amino acids. The blue arrows are untranslated eukaryotic mRNAs. The right column shows the domain structure of the protein, and the yellow triangles indicate splicing</w:t>
      </w:r>
      <w:r w:rsidR="00473BDA">
        <w:t xml:space="preserve"> point</w:t>
      </w:r>
      <w:r w:rsidR="00473BDA" w:rsidRPr="00473BDA">
        <w:t>.</w:t>
      </w:r>
    </w:p>
    <w:sectPr w:rsidR="004415D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5D5"/>
    <w:rsid w:val="00056192"/>
    <w:rsid w:val="002748D2"/>
    <w:rsid w:val="004415D5"/>
    <w:rsid w:val="00473BDA"/>
    <w:rsid w:val="00931ADD"/>
    <w:rsid w:val="00AC43B2"/>
    <w:rsid w:val="00F81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26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2"/>
        <w:szCs w:val="22"/>
        <w:lang w:val="en" w:eastAsia="ja-JP"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eastAsia="Arial"/>
      <w:color w:val="666666"/>
      <w:sz w:val="30"/>
      <w:szCs w:val="30"/>
    </w:rPr>
  </w:style>
  <w:style w:type="paragraph" w:styleId="BalloonText">
    <w:name w:val="Balloon Text"/>
    <w:basedOn w:val="Normal"/>
    <w:link w:val="BalloonTextChar"/>
    <w:uiPriority w:val="99"/>
    <w:semiHidden/>
    <w:unhideWhenUsed/>
    <w:rsid w:val="00931AD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A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2"/>
        <w:szCs w:val="22"/>
        <w:lang w:val="en" w:eastAsia="ja-JP"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eastAsia="Arial"/>
      <w:color w:val="666666"/>
      <w:sz w:val="30"/>
      <w:szCs w:val="30"/>
    </w:rPr>
  </w:style>
  <w:style w:type="paragraph" w:styleId="BalloonText">
    <w:name w:val="Balloon Text"/>
    <w:basedOn w:val="Normal"/>
    <w:link w:val="BalloonTextChar"/>
    <w:uiPriority w:val="99"/>
    <w:semiHidden/>
    <w:unhideWhenUsed/>
    <w:rsid w:val="00931AD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A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Elvie Quio</cp:lastModifiedBy>
  <cp:revision>3</cp:revision>
  <dcterms:created xsi:type="dcterms:W3CDTF">2022-04-22T09:32:00Z</dcterms:created>
  <dcterms:modified xsi:type="dcterms:W3CDTF">2022-11-29T03:40:00Z</dcterms:modified>
</cp:coreProperties>
</file>