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794B" w14:textId="77777777" w:rsidR="005C36CB" w:rsidRDefault="005C36CB" w:rsidP="000B783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0038802"/>
      <w:r>
        <w:rPr>
          <w:rFonts w:ascii="Times New Roman" w:hAnsi="Times New Roman" w:cs="Times New Roman"/>
          <w:b/>
          <w:bCs/>
          <w:sz w:val="24"/>
          <w:szCs w:val="24"/>
        </w:rPr>
        <w:t>Supplementary Discussion</w:t>
      </w:r>
    </w:p>
    <w:p w14:paraId="18CD269D" w14:textId="77777777" w:rsidR="005C36CB" w:rsidRPr="003B3767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1" w:name="OLE_LINK259"/>
      <w:bookmarkEnd w:id="0"/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Significant change of fatty acid profiles in body composition, serum and urine</w:t>
      </w:r>
    </w:p>
    <w:bookmarkEnd w:id="1"/>
    <w:p w14:paraId="114F0BE3" w14:textId="77777777" w:rsidR="005C36CB" w:rsidRPr="003B3767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A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 decreased trend of N-acetyl-L-aspartic acid</w:t>
      </w:r>
      <w:r w:rsidRPr="003B3767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>N-</w:t>
      </w:r>
      <w:proofErr w:type="spellStart"/>
      <w:r w:rsidRPr="003B3767">
        <w:rPr>
          <w:rFonts w:ascii="Times New Roman" w:eastAsiaTheme="minorHAnsi" w:hAnsi="Times New Roman" w:cs="Times New Roman"/>
          <w:sz w:val="24"/>
          <w:szCs w:val="24"/>
        </w:rPr>
        <w:t>acetylaspartate</w:t>
      </w:r>
      <w:proofErr w:type="spellEnd"/>
      <w:r w:rsidRPr="003B3767">
        <w:rPr>
          <w:rFonts w:ascii="Times New Roman" w:eastAsiaTheme="minorHAnsi" w:hAnsi="Times New Roman" w:cs="Times New Roman"/>
          <w:sz w:val="24"/>
          <w:szCs w:val="24"/>
        </w:rPr>
        <w:t>) was observed in urine (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Fig. 1h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), which is considered a critical energy metabolite for lipid turnover and whole-body energy homeostasis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[1]</w:t>
      </w:r>
      <w:r w:rsidRPr="003B3767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>In addition, the concentrations of caffeic acid and its derivative (trans-3-hydroxycinnamic acid) in urine (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Fig. 1h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), and </w:t>
      </w:r>
      <w:proofErr w:type="spellStart"/>
      <w:r w:rsidRPr="003B3767">
        <w:rPr>
          <w:rFonts w:ascii="Times New Roman" w:eastAsiaTheme="minorHAnsi" w:hAnsi="Times New Roman" w:cs="Times New Roman"/>
          <w:sz w:val="24"/>
          <w:szCs w:val="24"/>
        </w:rPr>
        <w:t>leucrose</w:t>
      </w:r>
      <w:proofErr w:type="spellEnd"/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 in serum (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Fig. 1g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r w:rsidRPr="00026AE2">
        <w:rPr>
          <w:rFonts w:ascii="Times New Roman" w:hAnsi="Times New Roman" w:cs="Times New Roman"/>
          <w:sz w:val="24"/>
          <w:szCs w:val="24"/>
        </w:rPr>
        <w:t xml:space="preserve">increased with age, both of which </w:t>
      </w:r>
      <w:r>
        <w:rPr>
          <w:rFonts w:ascii="Times New Roman" w:hAnsi="Times New Roman" w:cs="Times New Roman"/>
          <w:sz w:val="24"/>
          <w:szCs w:val="24"/>
        </w:rPr>
        <w:t>have been linked</w:t>
      </w:r>
      <w:r w:rsidRPr="00026AE2">
        <w:rPr>
          <w:rFonts w:ascii="Times New Roman" w:hAnsi="Times New Roman" w:cs="Times New Roman"/>
          <w:sz w:val="24"/>
          <w:szCs w:val="24"/>
        </w:rPr>
        <w:t xml:space="preserve"> to increase</w:t>
      </w:r>
      <w:r>
        <w:rPr>
          <w:rFonts w:ascii="Times New Roman" w:hAnsi="Times New Roman" w:cs="Times New Roman"/>
          <w:sz w:val="24"/>
          <w:szCs w:val="24"/>
        </w:rPr>
        <w:t>s in</w:t>
      </w:r>
      <w:r w:rsidRPr="00026AE2">
        <w:rPr>
          <w:rFonts w:ascii="Times New Roman" w:hAnsi="Times New Roman" w:cs="Times New Roman"/>
          <w:sz w:val="24"/>
          <w:szCs w:val="24"/>
        </w:rPr>
        <w:t xml:space="preserve"> fatty acid β-oxidation, and significantly inhibit</w:t>
      </w:r>
      <w:r>
        <w:rPr>
          <w:rFonts w:ascii="Times New Roman" w:hAnsi="Times New Roman" w:cs="Times New Roman"/>
          <w:sz w:val="24"/>
          <w:szCs w:val="24"/>
        </w:rPr>
        <w:t>ion of</w:t>
      </w:r>
      <w:r w:rsidRPr="00026AE2">
        <w:rPr>
          <w:rFonts w:ascii="Times New Roman" w:hAnsi="Times New Roman" w:cs="Times New Roman"/>
          <w:sz w:val="24"/>
          <w:szCs w:val="24"/>
        </w:rPr>
        <w:t xml:space="preserve"> fatty acid accumulation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[2, 3]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bookmarkStart w:id="2" w:name="_Hlk87359215"/>
      <w:r w:rsidRPr="00026AE2">
        <w:rPr>
          <w:rFonts w:ascii="Times New Roman" w:hAnsi="Times New Roman" w:cs="Times New Roman"/>
          <w:sz w:val="24"/>
          <w:szCs w:val="24"/>
        </w:rPr>
        <w:t xml:space="preserve">Taken together, we interpret this </w:t>
      </w:r>
      <w:r w:rsidRPr="0008386A">
        <w:rPr>
          <w:rFonts w:ascii="Times New Roman" w:hAnsi="Times New Roman" w:cs="Times New Roman"/>
          <w:sz w:val="24"/>
          <w:szCs w:val="24"/>
        </w:rPr>
        <w:t xml:space="preserve">signature </w:t>
      </w:r>
      <w:r w:rsidRPr="00026AE2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805BCA">
        <w:rPr>
          <w:rFonts w:ascii="Times New Roman" w:hAnsi="Times New Roman" w:cs="Times New Roman"/>
          <w:sz w:val="24"/>
          <w:szCs w:val="24"/>
        </w:rPr>
        <w:t>indicat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026AE2">
        <w:rPr>
          <w:rFonts w:ascii="Times New Roman" w:hAnsi="Times New Roman" w:cs="Times New Roman"/>
          <w:sz w:val="24"/>
          <w:szCs w:val="24"/>
        </w:rPr>
        <w:t xml:space="preserve"> that the increased efficiency of fatty acid </w:t>
      </w:r>
      <w:r>
        <w:rPr>
          <w:rFonts w:ascii="Times New Roman" w:hAnsi="Times New Roman" w:cs="Times New Roman"/>
          <w:sz w:val="24"/>
          <w:szCs w:val="24"/>
        </w:rPr>
        <w:t>oxidation</w:t>
      </w:r>
      <w:r w:rsidRPr="00026AE2">
        <w:rPr>
          <w:rFonts w:ascii="Times New Roman" w:hAnsi="Times New Roman" w:cs="Times New Roman"/>
          <w:sz w:val="24"/>
          <w:szCs w:val="24"/>
        </w:rPr>
        <w:t xml:space="preserve"> result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026AE2">
        <w:rPr>
          <w:rFonts w:ascii="Times New Roman" w:hAnsi="Times New Roman" w:cs="Times New Roman"/>
          <w:sz w:val="24"/>
          <w:szCs w:val="24"/>
        </w:rPr>
        <w:t xml:space="preserve"> in the change of body composition </w:t>
      </w:r>
      <w:r>
        <w:rPr>
          <w:rFonts w:ascii="Times New Roman" w:hAnsi="Times New Roman" w:cs="Times New Roman"/>
          <w:sz w:val="24"/>
          <w:szCs w:val="24"/>
        </w:rPr>
        <w:t xml:space="preserve">phenotype that was </w:t>
      </w:r>
      <w:r w:rsidRPr="00026AE2">
        <w:rPr>
          <w:rFonts w:ascii="Times New Roman" w:hAnsi="Times New Roman" w:cs="Times New Roman"/>
          <w:sz w:val="24"/>
          <w:szCs w:val="24"/>
        </w:rPr>
        <w:t>feature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26AE2">
        <w:rPr>
          <w:rFonts w:ascii="Times New Roman" w:hAnsi="Times New Roman" w:cs="Times New Roman"/>
          <w:sz w:val="24"/>
          <w:szCs w:val="24"/>
        </w:rPr>
        <w:t xml:space="preserve"> during early life</w:t>
      </w:r>
      <w:r>
        <w:rPr>
          <w:rFonts w:ascii="Times New Roman" w:hAnsi="Times New Roman" w:cs="Times New Roman"/>
          <w:sz w:val="24"/>
          <w:szCs w:val="24"/>
        </w:rPr>
        <w:t xml:space="preserve"> for these animals.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bookmarkEnd w:id="2"/>
    </w:p>
    <w:p w14:paraId="2087B572" w14:textId="77777777" w:rsidR="005C36CB" w:rsidRPr="003B3767" w:rsidRDefault="005C36CB" w:rsidP="000B7839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B3767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Global transcriptome and metabolome revealing change of hepatic fatty acid metabolism </w:t>
      </w:r>
    </w:p>
    <w:p w14:paraId="11488FD0" w14:textId="77777777" w:rsidR="005C36CB" w:rsidRPr="001965CE" w:rsidRDefault="005C36CB" w:rsidP="000B7839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W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found the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 specifically up-regulated 8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39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399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differently expressed genes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DEGs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Day 70 and Day 42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 were enriched in lysosome, endocytosis, mitophagy, and cholesterol metabolism in hepatic function 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from preweaning to postweaning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which involved in the genes 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related to 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cholesterol </w:t>
      </w:r>
      <w:r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metabolism 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including</w:t>
      </w:r>
      <w:r w:rsidRPr="001965CE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ipa</w:t>
      </w:r>
      <w:r w:rsidRPr="003B3767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amp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</w:t>
      </w:r>
      <w:r w:rsidRPr="003B3767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dlr</w:t>
      </w:r>
      <w:proofErr w:type="spellEnd"/>
      <w:r w:rsidRPr="003B3767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pc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</w:t>
      </w:r>
      <w:r w:rsidRPr="003B3767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caa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</w:t>
      </w:r>
      <w:r w:rsidRPr="003B3767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csl</w:t>
      </w:r>
      <w:proofErr w:type="spellEnd"/>
      <w:r w:rsidRPr="003B3767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and 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pt</w:t>
      </w:r>
      <w:r w:rsidRPr="003B3767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1</w:t>
      </w:r>
      <w:r w:rsidRPr="0012017F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12017F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Fig. 2c and Table S2</w:t>
      </w:r>
      <w:r w:rsidRPr="0012017F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. Lysosomes promote lipid catabolism and transport; both of which are critical in maintaining cellular lipid homeostasis </w:t>
      </w:r>
      <w:r>
        <w:rPr>
          <w:rFonts w:ascii="Times New Roman" w:eastAsia="宋体" w:hAnsi="Times New Roman" w:cs="Times New Roman"/>
          <w:noProof/>
          <w:color w:val="000000"/>
          <w:sz w:val="24"/>
          <w:szCs w:val="24"/>
          <w:shd w:val="clear" w:color="auto" w:fill="FFFFFF"/>
        </w:rPr>
        <w:t>[4]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. The low-density lipoprotein receptor (</w:t>
      </w:r>
      <w:proofErr w:type="spellStart"/>
      <w:r w:rsidRPr="00BB741C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Ldlr</w:t>
      </w:r>
      <w:proofErr w:type="spellEnd"/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) is involved in the control of blood cholesterol by clearing cholesterol-laden low-density lipoprotein (LDL) particles via endocytosis </w:t>
      </w:r>
      <w:r>
        <w:rPr>
          <w:rFonts w:ascii="Times New Roman" w:eastAsia="宋体" w:hAnsi="Times New Roman" w:cs="Times New Roman"/>
          <w:noProof/>
          <w:color w:val="000000"/>
          <w:sz w:val="24"/>
          <w:szCs w:val="24"/>
          <w:shd w:val="clear" w:color="auto" w:fill="FFFFFF"/>
        </w:rPr>
        <w:t>[5]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LDL particles are attacked by the lysosomal acid lipase type A (</w:t>
      </w:r>
      <w:r w:rsidRPr="00DA41DE">
        <w:rPr>
          <w:rFonts w:ascii="Times New Roman" w:eastAsiaTheme="minorHAnsi" w:hAnsi="Times New Roman" w:cs="Times New Roman"/>
          <w:i/>
          <w:iCs/>
          <w:sz w:val="24"/>
          <w:szCs w:val="24"/>
        </w:rPr>
        <w:t>Lipa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sz w:val="24"/>
          <w:szCs w:val="24"/>
        </w:rPr>
        <w:t>,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a hydrolase that de-esterifies the cholesterol and triglyceride molecules releasing free fatty acids, which are then transported to mitochondria for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FA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β-oxidation to produce ATP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[6]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LAMP2 is one of the limiting lysosomal membrane glycoproteins, which is more critical for the cholesterol transport, and affect </w:t>
      </w:r>
      <w:r w:rsidRPr="00A7581C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>NPC2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, which has been proposed to act in cholesterol efflux by binding cholesterol in the lysosomal lumen and delivering it to other proteins </w:t>
      </w:r>
      <w:r>
        <w:rPr>
          <w:rFonts w:ascii="Times New Roman" w:eastAsia="宋体" w:hAnsi="Times New Roman" w:cs="Times New Roman"/>
          <w:noProof/>
          <w:color w:val="000000"/>
          <w:sz w:val="24"/>
          <w:szCs w:val="24"/>
          <w:shd w:val="clear" w:color="auto" w:fill="FFFFFF"/>
        </w:rPr>
        <w:t>[7]</w:t>
      </w:r>
      <w:r w:rsidRPr="001965CE"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Carnitine </w:t>
      </w:r>
      <w:proofErr w:type="spellStart"/>
      <w:r w:rsidRPr="001965CE">
        <w:rPr>
          <w:rFonts w:ascii="Times New Roman" w:eastAsiaTheme="minorHAnsi" w:hAnsi="Times New Roman" w:cs="Times New Roman"/>
          <w:sz w:val="24"/>
          <w:szCs w:val="24"/>
        </w:rPr>
        <w:t>palmitoyltransferase</w:t>
      </w:r>
      <w:proofErr w:type="spellEnd"/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1 (</w:t>
      </w:r>
      <w:r w:rsidRPr="00BB741C">
        <w:rPr>
          <w:rFonts w:ascii="Times New Roman" w:eastAsiaTheme="minorHAnsi" w:hAnsi="Times New Roman" w:cs="Times New Roman"/>
          <w:i/>
          <w:iCs/>
          <w:sz w:val="24"/>
          <w:szCs w:val="24"/>
        </w:rPr>
        <w:t>Cpt1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) is one key carnitine-dependent cycle enzyme that plays a role in the transportation of long-fatty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acids into the mitochondria for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FA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β-oxidation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[8]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. Acetyl-CoA acyltransferase 2 (</w:t>
      </w:r>
      <w:r w:rsidRPr="00A7581C">
        <w:rPr>
          <w:rFonts w:ascii="Times New Roman" w:eastAsiaTheme="minorHAnsi" w:hAnsi="Times New Roman" w:cs="Times New Roman"/>
          <w:i/>
          <w:iCs/>
          <w:sz w:val="24"/>
          <w:szCs w:val="24"/>
        </w:rPr>
        <w:t>Acaa2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) encoding protein catalyzes the last step of the mitochondrial </w:t>
      </w:r>
      <w:r>
        <w:rPr>
          <w:rFonts w:ascii="Times New Roman" w:eastAsiaTheme="minorHAnsi" w:hAnsi="Times New Roman" w:cs="Times New Roman"/>
          <w:sz w:val="24"/>
          <w:szCs w:val="24"/>
        </w:rPr>
        <w:t>FA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β-oxidation spiral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[9]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. Moreover, bile acids synthesized in the liver from cholesterol and are subsequently secreted across the hepatic canalicular membrane by the ATP binding cassette transporter (</w:t>
      </w:r>
      <w:r w:rsidRPr="00BB741C">
        <w:rPr>
          <w:rFonts w:ascii="Times New Roman" w:eastAsiaTheme="minorHAnsi" w:hAnsi="Times New Roman" w:cs="Times New Roman"/>
          <w:i/>
          <w:iCs/>
          <w:sz w:val="24"/>
          <w:szCs w:val="24"/>
        </w:rPr>
        <w:t>Abcb11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[10]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bookmarkStart w:id="3" w:name="_Hlk86658537"/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These results provide evidence that cholesterol transport and metabolism for energy production via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FA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β-oxidation in liver is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likely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enhanced from pre</w:t>
      </w:r>
      <w:r>
        <w:rPr>
          <w:rFonts w:ascii="Times New Roman" w:eastAsiaTheme="minorHAnsi" w:hAnsi="Times New Roman" w:cs="Times New Roman"/>
          <w:sz w:val="24"/>
          <w:szCs w:val="24"/>
        </w:rPr>
        <w:t>weaning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to postweaning for juvenile ruminant, which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could represent a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significant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source for the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changed fatty acids composition of </w:t>
      </w:r>
      <w:r>
        <w:rPr>
          <w:rFonts w:ascii="Times New Roman" w:eastAsiaTheme="minorHAnsi" w:hAnsi="Times New Roman" w:cs="Times New Roman"/>
          <w:sz w:val="24"/>
          <w:szCs w:val="24"/>
        </w:rPr>
        <w:t>body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.</w:t>
      </w:r>
    </w:p>
    <w:bookmarkEnd w:id="3"/>
    <w:p w14:paraId="27C1D749" w14:textId="77777777" w:rsidR="005C36CB" w:rsidRPr="003B3767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Immediately diverse and regional microbe colonization across GIT after birth</w:t>
      </w:r>
    </w:p>
    <w:p w14:paraId="526CD240" w14:textId="77777777" w:rsidR="005C36CB" w:rsidRPr="003B3767" w:rsidRDefault="005C36CB" w:rsidP="000B7839">
      <w:pPr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In this study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>
        <w:rPr>
          <w:rFonts w:ascii="Times New Roman" w:eastAsiaTheme="minorHAnsi" w:hAnsi="Times New Roman" w:cs="Times New Roman"/>
          <w:sz w:val="24"/>
          <w:szCs w:val="24"/>
        </w:rPr>
        <w:t>detection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of protozoa</w:t>
      </w:r>
      <w:r>
        <w:rPr>
          <w:rFonts w:ascii="Times New Roman" w:eastAsiaTheme="minorHAnsi" w:hAnsi="Times New Roman" w:cs="Times New Roman"/>
          <w:sz w:val="24"/>
          <w:szCs w:val="24"/>
        </w:rPr>
        <w:t>l species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Eimeria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spp.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in the small intestine (jejunum and ileum)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did not agree with previous finding in cal</w:t>
      </w:r>
      <w:r>
        <w:rPr>
          <w:rFonts w:ascii="Times New Roman" w:eastAsiaTheme="minorHAnsi" w:hAnsi="Times New Roman" w:cs="Times New Roman"/>
          <w:sz w:val="24"/>
          <w:szCs w:val="24"/>
        </w:rPr>
        <w:t>ves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dominated by </w:t>
      </w:r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Cryptosporidium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spp.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[11]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The genus </w:t>
      </w:r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Eimeria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has been shown to be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specific for each host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where they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develop in the small and large intestine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and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could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particularly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cause infection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young animal</w:t>
      </w:r>
      <w:r>
        <w:rPr>
          <w:rFonts w:ascii="Times New Roman" w:eastAsiaTheme="minorHAnsi" w:hAnsi="Times New Roman" w:cs="Times New Roman"/>
          <w:sz w:val="24"/>
          <w:szCs w:val="24"/>
        </w:rPr>
        <w:t>s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[12]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14:paraId="33CACD13" w14:textId="77777777" w:rsidR="005C36CB" w:rsidRPr="003B3767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found that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the specific core microbiota for each distinct GIT region such as the r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umen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r w:rsidRPr="001965CE">
        <w:rPr>
          <w:rFonts w:ascii="Times New Roman" w:hAnsi="Times New Roman" w:cs="Times New Roman"/>
          <w:i/>
          <w:iCs/>
          <w:sz w:val="24"/>
          <w:szCs w:val="24"/>
        </w:rPr>
        <w:t>Lactobacillus</w:t>
      </w:r>
      <w:r w:rsidRPr="001965CE">
        <w:rPr>
          <w:rFonts w:ascii="Times New Roman" w:hAnsi="Times New Roman" w:cs="Times New Roman"/>
          <w:sz w:val="24"/>
          <w:szCs w:val="24"/>
        </w:rPr>
        <w:t xml:space="preserve"> spp.</w:t>
      </w:r>
      <w:r>
        <w:rPr>
          <w:rFonts w:ascii="Times New Roman" w:eastAsiaTheme="minorHAnsi" w:hAnsi="Times New Roman" w:cs="Times New Roman"/>
          <w:sz w:val="24"/>
          <w:szCs w:val="24"/>
        </w:rPr>
        <w:t>)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, small intestine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r w:rsidRPr="001965CE">
        <w:rPr>
          <w:rFonts w:ascii="Times New Roman" w:hAnsi="Times New Roman" w:cs="Times New Roman"/>
          <w:i/>
          <w:iCs/>
          <w:sz w:val="24"/>
          <w:szCs w:val="24"/>
        </w:rPr>
        <w:t>Lactobacillus</w:t>
      </w:r>
      <w:r w:rsidRPr="001965CE">
        <w:rPr>
          <w:rFonts w:ascii="Times New Roman" w:hAnsi="Times New Roman" w:cs="Times New Roman"/>
          <w:sz w:val="24"/>
          <w:szCs w:val="24"/>
        </w:rPr>
        <w:t xml:space="preserve"> spp.</w:t>
      </w:r>
      <w:r>
        <w:rPr>
          <w:rFonts w:ascii="Times New Roman" w:eastAsiaTheme="minorHAnsi" w:hAnsi="Times New Roman" w:cs="Times New Roman"/>
          <w:sz w:val="24"/>
          <w:szCs w:val="24"/>
        </w:rPr>
        <w:t>)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, and large intestine </w:t>
      </w:r>
      <w:r>
        <w:rPr>
          <w:rFonts w:ascii="Times New Roman" w:eastAsiaTheme="minorHAnsi" w:hAnsi="Times New Roman" w:cs="Times New Roman"/>
          <w:sz w:val="24"/>
          <w:szCs w:val="24"/>
        </w:rPr>
        <w:t>(</w:t>
      </w:r>
      <w:r w:rsidRPr="001965CE">
        <w:rPr>
          <w:rFonts w:ascii="Times New Roman" w:hAnsi="Times New Roman" w:cs="Times New Roman"/>
          <w:i/>
          <w:iCs/>
          <w:sz w:val="24"/>
          <w:szCs w:val="24"/>
        </w:rPr>
        <w:t>Bacteroides</w:t>
      </w:r>
      <w:r w:rsidRPr="001965CE">
        <w:rPr>
          <w:rFonts w:ascii="Times New Roman" w:hAnsi="Times New Roman" w:cs="Times New Roman"/>
          <w:sz w:val="24"/>
          <w:szCs w:val="24"/>
        </w:rPr>
        <w:t xml:space="preserve"> spp.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), </w:t>
      </w:r>
      <w:r w:rsidRPr="001965CE">
        <w:rPr>
          <w:rFonts w:ascii="Times New Roman" w:hAnsi="Times New Roman" w:cs="Times New Roman"/>
          <w:sz w:val="24"/>
          <w:szCs w:val="24"/>
        </w:rPr>
        <w:t xml:space="preserve">showed the most noticeable and significant decrease </w:t>
      </w:r>
      <w:r>
        <w:rPr>
          <w:rFonts w:ascii="Times New Roman" w:hAnsi="Times New Roman" w:cs="Times New Roman"/>
          <w:sz w:val="24"/>
          <w:szCs w:val="24"/>
        </w:rPr>
        <w:t>at days 42 and 70</w:t>
      </w:r>
      <w:r w:rsidRPr="00196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 compared to day 1</w:t>
      </w:r>
      <w:r w:rsidRPr="003B3767">
        <w:rPr>
          <w:rFonts w:ascii="Times New Roman" w:hAnsi="Times New Roman" w:cs="Times New Roman"/>
          <w:sz w:val="24"/>
          <w:szCs w:val="24"/>
        </w:rPr>
        <w:t xml:space="preserve"> 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>(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Fig. 3f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1965CE">
        <w:rPr>
          <w:rFonts w:ascii="Times New Roman" w:hAnsi="Times New Roman" w:cs="Times New Roman"/>
          <w:sz w:val="24"/>
          <w:szCs w:val="24"/>
        </w:rPr>
        <w:t xml:space="preserve">Several species of </w:t>
      </w:r>
      <w:r>
        <w:rPr>
          <w:rFonts w:ascii="Times New Roman" w:hAnsi="Times New Roman" w:cs="Times New Roman"/>
          <w:sz w:val="24"/>
          <w:szCs w:val="24"/>
        </w:rPr>
        <w:t xml:space="preserve">the genus </w:t>
      </w:r>
      <w:r w:rsidRPr="001965CE">
        <w:rPr>
          <w:rFonts w:ascii="Times New Roman" w:hAnsi="Times New Roman" w:cs="Times New Roman"/>
          <w:i/>
          <w:iCs/>
          <w:sz w:val="24"/>
          <w:szCs w:val="24"/>
        </w:rPr>
        <w:t xml:space="preserve">Lactobacillus </w:t>
      </w:r>
      <w:r>
        <w:rPr>
          <w:rFonts w:ascii="Times New Roman" w:hAnsi="Times New Roman" w:cs="Times New Roman"/>
          <w:sz w:val="24"/>
          <w:szCs w:val="24"/>
        </w:rPr>
        <w:t>are known to</w:t>
      </w:r>
      <w:r w:rsidRPr="001965CE">
        <w:rPr>
          <w:rFonts w:ascii="Times New Roman" w:hAnsi="Times New Roman" w:cs="Times New Roman"/>
          <w:sz w:val="24"/>
          <w:szCs w:val="24"/>
        </w:rPr>
        <w:t xml:space="preserve"> ferment sugars to produce lactate, </w:t>
      </w:r>
      <w:r>
        <w:rPr>
          <w:rFonts w:ascii="Times New Roman" w:hAnsi="Times New Roman" w:cs="Times New Roman"/>
          <w:sz w:val="24"/>
          <w:szCs w:val="24"/>
        </w:rPr>
        <w:t>and their</w:t>
      </w:r>
      <w:r w:rsidRPr="001965CE">
        <w:rPr>
          <w:rFonts w:ascii="Times New Roman" w:hAnsi="Times New Roman" w:cs="Times New Roman"/>
          <w:sz w:val="24"/>
          <w:szCs w:val="24"/>
        </w:rPr>
        <w:t xml:space="preserve"> colonization </w:t>
      </w:r>
      <w:r>
        <w:rPr>
          <w:rFonts w:ascii="Times New Roman" w:hAnsi="Times New Roman" w:cs="Times New Roman"/>
          <w:sz w:val="24"/>
          <w:szCs w:val="24"/>
        </w:rPr>
        <w:t xml:space="preserve">in the ileum has been shown to </w:t>
      </w:r>
      <w:r w:rsidRPr="001965CE">
        <w:rPr>
          <w:rFonts w:ascii="Times New Roman" w:hAnsi="Times New Roman" w:cs="Times New Roman"/>
          <w:sz w:val="24"/>
          <w:szCs w:val="24"/>
        </w:rPr>
        <w:t>play a role in regulating immune responses</w:t>
      </w:r>
      <w:r w:rsidRPr="003B3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[11]</w:t>
      </w:r>
      <w:r w:rsidRPr="003B376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Select </w:t>
      </w:r>
      <w:r w:rsidRPr="001965CE">
        <w:rPr>
          <w:rFonts w:ascii="Times New Roman" w:hAnsi="Times New Roman" w:cs="Times New Roman"/>
          <w:i/>
          <w:iCs/>
          <w:sz w:val="24"/>
          <w:szCs w:val="24"/>
        </w:rPr>
        <w:t>Bacteroidetes</w:t>
      </w:r>
      <w:r w:rsidRPr="001965CE">
        <w:rPr>
          <w:rFonts w:ascii="Times New Roman" w:hAnsi="Times New Roman" w:cs="Times New Roman"/>
          <w:sz w:val="24"/>
          <w:szCs w:val="24"/>
        </w:rPr>
        <w:t xml:space="preserve"> spp. </w:t>
      </w:r>
      <w:r>
        <w:rPr>
          <w:rFonts w:ascii="Times New Roman" w:hAnsi="Times New Roman" w:cs="Times New Roman"/>
          <w:sz w:val="24"/>
          <w:szCs w:val="24"/>
        </w:rPr>
        <w:t>encode</w:t>
      </w:r>
      <w:r w:rsidRPr="001965CE">
        <w:rPr>
          <w:rFonts w:ascii="Times New Roman" w:hAnsi="Times New Roman" w:cs="Times New Roman"/>
          <w:sz w:val="24"/>
          <w:szCs w:val="24"/>
        </w:rPr>
        <w:t xml:space="preserve"> the genes that are used to harvest host mucus glycans during human milk oligosaccharides consumption</w:t>
      </w:r>
      <w:r w:rsidRPr="003B3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[13]</w:t>
      </w:r>
      <w:r w:rsidRPr="003B3767">
        <w:rPr>
          <w:rFonts w:ascii="Times New Roman" w:hAnsi="Times New Roman" w:cs="Times New Roman"/>
          <w:sz w:val="24"/>
          <w:szCs w:val="24"/>
        </w:rPr>
        <w:t xml:space="preserve">. These results suggested a determined role of each GIT regions in selecting the pioneer microbial community. Interestingly, we found the higher prevalence of </w:t>
      </w:r>
      <w:r w:rsidRPr="003B3767">
        <w:rPr>
          <w:rFonts w:ascii="Times New Roman" w:hAnsi="Times New Roman" w:cs="Times New Roman"/>
          <w:i/>
          <w:iCs/>
          <w:sz w:val="24"/>
          <w:szCs w:val="24"/>
        </w:rPr>
        <w:t>T7virus</w:t>
      </w:r>
      <w:r w:rsidRPr="003B3767">
        <w:rPr>
          <w:rFonts w:ascii="Times New Roman" w:hAnsi="Times New Roman" w:cs="Times New Roman"/>
          <w:sz w:val="24"/>
          <w:szCs w:val="24"/>
        </w:rPr>
        <w:t xml:space="preserve"> (phage) and </w:t>
      </w:r>
      <w:proofErr w:type="spellStart"/>
      <w:r w:rsidRPr="003B3767">
        <w:rPr>
          <w:rFonts w:ascii="Times New Roman" w:hAnsi="Times New Roman" w:cs="Times New Roman"/>
          <w:i/>
          <w:iCs/>
          <w:sz w:val="24"/>
          <w:szCs w:val="24"/>
        </w:rPr>
        <w:t>Yesrinia</w:t>
      </w:r>
      <w:proofErr w:type="spellEnd"/>
      <w:r w:rsidRPr="003B3767">
        <w:rPr>
          <w:rFonts w:ascii="Times New Roman" w:hAnsi="Times New Roman" w:cs="Times New Roman"/>
          <w:sz w:val="24"/>
          <w:szCs w:val="24"/>
        </w:rPr>
        <w:t xml:space="preserve"> spp. in ileum at day 1. Recent studies revealed that the </w:t>
      </w:r>
      <w:r w:rsidRPr="003B3767">
        <w:rPr>
          <w:rFonts w:ascii="Times New Roman" w:hAnsi="Times New Roman" w:cs="Times New Roman"/>
          <w:i/>
          <w:iCs/>
          <w:sz w:val="24"/>
          <w:szCs w:val="24"/>
        </w:rPr>
        <w:t xml:space="preserve">T7virus </w:t>
      </w:r>
      <w:r w:rsidRPr="003B3767">
        <w:rPr>
          <w:rFonts w:ascii="Times New Roman" w:hAnsi="Times New Roman" w:cs="Times New Roman"/>
          <w:sz w:val="24"/>
          <w:szCs w:val="24"/>
        </w:rPr>
        <w:t xml:space="preserve">was the common phages infecting </w:t>
      </w:r>
      <w:r w:rsidRPr="003B3767">
        <w:rPr>
          <w:rFonts w:ascii="Times New Roman" w:hAnsi="Times New Roman" w:cs="Times New Roman"/>
          <w:i/>
          <w:iCs/>
          <w:sz w:val="24"/>
          <w:szCs w:val="24"/>
        </w:rPr>
        <w:t>Yersinia</w:t>
      </w:r>
      <w:r w:rsidRPr="003B3767">
        <w:rPr>
          <w:rFonts w:ascii="Times New Roman" w:hAnsi="Times New Roman" w:cs="Times New Roman"/>
          <w:sz w:val="24"/>
          <w:szCs w:val="24"/>
        </w:rPr>
        <w:t xml:space="preserve"> species </w:t>
      </w:r>
      <w:r>
        <w:rPr>
          <w:rFonts w:ascii="Times New Roman" w:hAnsi="Times New Roman" w:cs="Times New Roman"/>
          <w:noProof/>
          <w:sz w:val="24"/>
          <w:szCs w:val="24"/>
        </w:rPr>
        <w:t>[14]</w:t>
      </w:r>
      <w:r w:rsidRPr="003B3767">
        <w:rPr>
          <w:rFonts w:ascii="Times New Roman" w:hAnsi="Times New Roman" w:cs="Times New Roman"/>
          <w:sz w:val="24"/>
          <w:szCs w:val="24"/>
        </w:rPr>
        <w:t xml:space="preserve">. These findings indicated that the role of bacteria-phage interaction in affecting microbial succession in ileum needs further examination. </w:t>
      </w:r>
    </w:p>
    <w:p w14:paraId="062A13FE" w14:textId="77777777" w:rsidR="005C36CB" w:rsidRPr="003B3767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The altruism type driven GIT microbiota assembles from birth to postweaning</w:t>
      </w:r>
    </w:p>
    <w:p w14:paraId="174DB2B2" w14:textId="77777777" w:rsidR="005C36CB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082399">
        <w:rPr>
          <w:rFonts w:ascii="Times New Roman" w:hAnsi="Times New Roman" w:cs="Times New Roman"/>
          <w:sz w:val="24"/>
          <w:szCs w:val="24"/>
        </w:rPr>
        <w:t xml:space="preserve">To further understand the </w:t>
      </w:r>
      <w:r w:rsidRPr="00082399">
        <w:rPr>
          <w:rFonts w:ascii="Times New Roman" w:eastAsiaTheme="minorHAnsi" w:hAnsi="Times New Roman" w:cs="Times New Roman"/>
          <w:sz w:val="24"/>
          <w:szCs w:val="24"/>
        </w:rPr>
        <w:t xml:space="preserve">mechanisms behind the microbial community shifts </w:t>
      </w:r>
      <w:r w:rsidRPr="00082399">
        <w:rPr>
          <w:rFonts w:ascii="Times New Roman" w:eastAsiaTheme="minorHAnsi" w:hAnsi="Times New Roman" w:cs="Times New Roman"/>
          <w:sz w:val="24"/>
          <w:szCs w:val="24"/>
        </w:rPr>
        <w:lastRenderedPageBreak/>
        <w:t>observed in our data, we integrated behavioral eco-evolutionary theory to reflect the possible types of microbe-microbe interactions, including mutualism, antagonism, aggression, and altruism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 xml:space="preserve"> [15]</w:t>
      </w:r>
      <w:r w:rsidRPr="00082399">
        <w:rPr>
          <w:rFonts w:ascii="Times New Roman" w:eastAsiaTheme="minorHAnsi" w:hAnsi="Times New Roman" w:cs="Times New Roman"/>
          <w:sz w:val="24"/>
          <w:szCs w:val="24"/>
        </w:rPr>
        <w:t>. The results showed that an altruism network was the dominant interaction type in rumen, jejunum, ileum, cecum, and colon (</w:t>
      </w:r>
      <w:r w:rsidRPr="00082399">
        <w:rPr>
          <w:rFonts w:ascii="Times New Roman" w:eastAsiaTheme="minorHAnsi" w:hAnsi="Times New Roman" w:cs="Times New Roman"/>
          <w:b/>
          <w:bCs/>
          <w:sz w:val="24"/>
          <w:szCs w:val="24"/>
        </w:rPr>
        <w:t>Fig. 4 and S7</w:t>
      </w:r>
      <w:r w:rsidRPr="00082399">
        <w:rPr>
          <w:rFonts w:ascii="Times New Roman" w:eastAsiaTheme="minorHAnsi" w:hAnsi="Times New Roman" w:cs="Times New Roman"/>
          <w:sz w:val="24"/>
          <w:szCs w:val="24"/>
        </w:rPr>
        <w:t xml:space="preserve">), </w:t>
      </w:r>
      <w:bookmarkStart w:id="4" w:name="_Hlk86669193"/>
      <w:r w:rsidRPr="00082399">
        <w:rPr>
          <w:rFonts w:ascii="Times New Roman" w:eastAsiaTheme="minorHAnsi" w:hAnsi="Times New Roman" w:cs="Times New Roman"/>
          <w:sz w:val="24"/>
          <w:szCs w:val="24"/>
        </w:rPr>
        <w:t>suggesting that a cooperative manner is important for GIT microbial community assembly at early life.</w:t>
      </w:r>
      <w:bookmarkEnd w:id="4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Of the hub microbe</w:t>
      </w:r>
      <w:r>
        <w:rPr>
          <w:rFonts w:ascii="Times New Roman" w:eastAsiaTheme="minorHAnsi" w:hAnsi="Times New Roman" w:cs="Times New Roman"/>
          <w:sz w:val="24"/>
          <w:szCs w:val="24"/>
        </w:rPr>
        <w:t>s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bookmarkStart w:id="5" w:name="_Hlk86670142"/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K1gvirus</w:t>
      </w:r>
      <w:bookmarkEnd w:id="5"/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Kagunavirus</w:t>
      </w:r>
      <w:proofErr w:type="spellEnd"/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965CE">
        <w:rPr>
          <w:rFonts w:ascii="Times New Roman" w:eastAsiaTheme="minorHAnsi" w:hAnsi="Times New Roman" w:cs="Times New Roman"/>
          <w:sz w:val="24"/>
          <w:szCs w:val="24"/>
        </w:rPr>
        <w:t>Siphoviridae</w:t>
      </w:r>
      <w:proofErr w:type="spellEnd"/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family) was presented in networks of each GIT region and </w:t>
      </w:r>
      <w:r w:rsidRPr="001965CE">
        <w:rPr>
          <w:rFonts w:ascii="Times New Roman" w:eastAsia="等线" w:hAnsi="Times New Roman" w:cs="Times New Roman"/>
          <w:i/>
          <w:iCs/>
          <w:sz w:val="24"/>
          <w:szCs w:val="24"/>
        </w:rPr>
        <w:t>Acanthamoeba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 spp. (protozoa) in rumen and small intestine</w:t>
      </w:r>
      <w:r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Pr="008F3835">
        <w:rPr>
          <w:rFonts w:ascii="Times New Roman" w:eastAsiaTheme="minorHAnsi" w:hAnsi="Times New Roman" w:cs="Times New Roman"/>
          <w:b/>
          <w:bCs/>
          <w:sz w:val="24"/>
          <w:szCs w:val="24"/>
        </w:rPr>
        <w:t>Fig. 4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). Results of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human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infant</w:t>
      </w:r>
      <w:r>
        <w:rPr>
          <w:rFonts w:ascii="Times New Roman" w:eastAsiaTheme="minorHAnsi" w:hAnsi="Times New Roman" w:cs="Times New Roman"/>
          <w:sz w:val="24"/>
          <w:szCs w:val="24"/>
        </w:rPr>
        <w:t>s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has also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revealed that the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gut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microbiome shifted from a high bacteriophage</w:t>
      </w:r>
      <w:r>
        <w:rPr>
          <w:rFonts w:ascii="Times New Roman" w:eastAsiaTheme="minorHAnsi" w:hAnsi="Times New Roman" w:cs="Times New Roman"/>
          <w:sz w:val="24"/>
          <w:szCs w:val="24"/>
        </w:rPr>
        <w:t>-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low bacterial diversity community at </w:t>
      </w:r>
      <w:r>
        <w:rPr>
          <w:rFonts w:ascii="Times New Roman" w:eastAsiaTheme="minorHAnsi" w:hAnsi="Times New Roman" w:cs="Times New Roman"/>
          <w:sz w:val="24"/>
          <w:szCs w:val="24"/>
        </w:rPr>
        <w:t>birth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toward a low bacteriophage</w:t>
      </w:r>
      <w:r>
        <w:rPr>
          <w:rFonts w:ascii="Times New Roman" w:eastAsiaTheme="minorHAnsi" w:hAnsi="Times New Roman" w:cs="Times New Roman"/>
          <w:sz w:val="24"/>
          <w:szCs w:val="24"/>
        </w:rPr>
        <w:t>-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high bacterial diversity community by 24 months of age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[16]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. The viral colonization in early life is stepwise, with the first phase characterized by the induction of temperate prophages from pioneer bacteria, and a second phase involving colonization with viruses that replicate in human cells, which is modulated by breastfeeding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[17]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 w:cs="Times New Roman"/>
          <w:sz w:val="24"/>
          <w:szCs w:val="24"/>
        </w:rPr>
        <w:t>T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he processive degradation of external polysaccharides by the genus </w:t>
      </w:r>
      <w:proofErr w:type="spellStart"/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Kagunavirus</w:t>
      </w:r>
      <w:proofErr w:type="spellEnd"/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via lytic infection of bacteria play important roles to evolve new host specificities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[18]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1965CE">
        <w:rPr>
          <w:rFonts w:ascii="Times New Roman" w:eastAsiaTheme="minorHAnsi" w:hAnsi="Times New Roman" w:cs="Times New Roman"/>
          <w:i/>
          <w:iCs/>
          <w:sz w:val="24"/>
          <w:szCs w:val="24"/>
        </w:rPr>
        <w:t>Acanthamoeba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may act as a ‘Trojan horse’ facilitating bacterial transmission in human gut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[19]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. Although we could not illuminate the source of phages and protozoa, these data suggested the potential interaction between phage and bacteria, and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the interaction of 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>protozoa and bacteria is hypothesized to help the microbi</w:t>
      </w:r>
      <w:r>
        <w:rPr>
          <w:rFonts w:ascii="Times New Roman" w:eastAsiaTheme="minorHAnsi" w:hAnsi="Times New Roman" w:cs="Times New Roman"/>
          <w:sz w:val="24"/>
          <w:szCs w:val="24"/>
        </w:rPr>
        <w:t>al</w:t>
      </w:r>
      <w:r w:rsidRPr="001965CE">
        <w:rPr>
          <w:rFonts w:ascii="Times New Roman" w:eastAsiaTheme="minorHAnsi" w:hAnsi="Times New Roman" w:cs="Times New Roman"/>
          <w:sz w:val="24"/>
          <w:szCs w:val="24"/>
        </w:rPr>
        <w:t xml:space="preserve"> colonization in GIT of juvenile ruminant.</w:t>
      </w:r>
    </w:p>
    <w:p w14:paraId="1ACD0BB7" w14:textId="77777777" w:rsidR="005C36CB" w:rsidRDefault="005C36CB" w:rsidP="000B7839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B3767">
        <w:rPr>
          <w:rFonts w:ascii="Times New Roman" w:eastAsia="宋体" w:hAnsi="Times New Roman" w:cs="Times New Roman"/>
          <w:b/>
          <w:sz w:val="24"/>
          <w:szCs w:val="24"/>
        </w:rPr>
        <w:t>Transcriptomic analysis of GIT epithelium of sika deer after birth</w:t>
      </w:r>
    </w:p>
    <w:p w14:paraId="47473609" w14:textId="77777777" w:rsidR="005C36CB" w:rsidRPr="003B3767" w:rsidRDefault="005C36CB" w:rsidP="000B7839">
      <w:pPr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082399">
        <w:rPr>
          <w:rFonts w:ascii="Times New Roman" w:eastAsia="等线" w:hAnsi="Times New Roman" w:cs="Times New Roman"/>
          <w:sz w:val="24"/>
          <w:szCs w:val="24"/>
        </w:rPr>
        <w:t>To further explore the adaption and functional changes of the GIT epithelium during growth, we conducted RNA-seq based transcriptomics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We observed that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3B3767">
        <w:rPr>
          <w:rFonts w:ascii="Times New Roman" w:eastAsia="等线" w:hAnsi="Times New Roman" w:cs="Times New Roman"/>
          <w:i/>
          <w:iCs/>
          <w:sz w:val="24"/>
          <w:szCs w:val="24"/>
        </w:rPr>
        <w:t>Pou2af1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 xml:space="preserve">was specially up-regulated in both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>jejunum and ileum (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Fig. S17b</w:t>
      </w:r>
      <w:r w:rsidRPr="003B3767">
        <w:rPr>
          <w:rFonts w:ascii="Times New Roman" w:eastAsiaTheme="minorHAnsi" w:hAnsi="Times New Roman" w:cs="Times New Roman"/>
          <w:sz w:val="24"/>
          <w:szCs w:val="24"/>
        </w:rPr>
        <w:t>)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, which is necessary for B-cell response to antigens and required for germinal centers formation </w:t>
      </w:r>
      <w:r>
        <w:rPr>
          <w:rFonts w:ascii="Times New Roman" w:eastAsia="宋体" w:hAnsi="Times New Roman" w:cs="Times New Roman"/>
          <w:bCs/>
          <w:noProof/>
          <w:sz w:val="24"/>
          <w:szCs w:val="24"/>
        </w:rPr>
        <w:t>[20]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. The </w:t>
      </w:r>
      <w:r w:rsidRPr="003B3767">
        <w:rPr>
          <w:rFonts w:ascii="Times New Roman" w:eastAsia="等线" w:hAnsi="Times New Roman" w:cs="Times New Roman"/>
          <w:sz w:val="24"/>
          <w:szCs w:val="24"/>
        </w:rPr>
        <w:t>intestinal immune network for IgA production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was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also significantly enriched in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the 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>ileum (</w:t>
      </w:r>
      <w:r w:rsidRPr="003B3767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Fig. 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7f and S17d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) in comparison with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the 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>jejunum (</w:t>
      </w:r>
      <w:r w:rsidRPr="003B3767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Fig. 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S17c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>) and cecum (</w:t>
      </w:r>
      <w:r w:rsidRPr="003B3767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Fig. </w:t>
      </w:r>
      <w:r w:rsidRPr="003B3767">
        <w:rPr>
          <w:rFonts w:ascii="Times New Roman" w:eastAsiaTheme="minorHAnsi" w:hAnsi="Times New Roman" w:cs="Times New Roman"/>
          <w:b/>
          <w:bCs/>
          <w:sz w:val="24"/>
          <w:szCs w:val="24"/>
        </w:rPr>
        <w:t>S18c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), which involved the genes 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tgb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7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, 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tga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4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, 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nfrsf13c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, 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C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cr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9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, 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lastRenderedPageBreak/>
        <w:t>T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nfrsf13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B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>, and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 xml:space="preserve"> T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nfsf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13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b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. 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nfsf</w:t>
      </w:r>
      <w:r w:rsidRPr="003B3767"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  <w:t>13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involved in B cell and immunoglobulin A immune system function, whose knockout showed the impaired IgA antibody responses to mucosal immunization </w:t>
      </w:r>
      <w:r>
        <w:rPr>
          <w:rFonts w:ascii="Times New Roman" w:eastAsia="等线" w:hAnsi="Times New Roman" w:cs="Times New Roman"/>
          <w:noProof/>
          <w:color w:val="000000"/>
          <w:sz w:val="24"/>
          <w:szCs w:val="24"/>
        </w:rPr>
        <w:t>[21]</w:t>
      </w:r>
      <w:r w:rsidRPr="003B376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. 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>ITGB7 protein heterodimerizes with ITGA4 (integrin alpha 4) protein to form the gut-homing heterodimer LPAM1 (lymphocyte PP adhesion molecule, α4β7), which reduce the gut-homing efficiency of mature IgA plasma cells when the expression</w:t>
      </w:r>
      <w:r w:rsidRPr="003B3767">
        <w:rPr>
          <w:rFonts w:ascii="Times New Roman" w:hAnsi="Times New Roman" w:cs="Times New Roman"/>
          <w:sz w:val="24"/>
          <w:szCs w:val="24"/>
        </w:rPr>
        <w:t xml:space="preserve"> 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decreased </w:t>
      </w:r>
      <w:r>
        <w:rPr>
          <w:rFonts w:ascii="Times New Roman" w:eastAsia="宋体" w:hAnsi="Times New Roman" w:cs="Times New Roman"/>
          <w:bCs/>
          <w:noProof/>
          <w:sz w:val="24"/>
          <w:szCs w:val="24"/>
        </w:rPr>
        <w:t>[22]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612A7A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Our</w:t>
      </w:r>
      <w:r w:rsidRPr="001965CE">
        <w:rPr>
          <w:rFonts w:ascii="Times New Roman" w:eastAsia="宋体" w:hAnsi="Times New Roman" w:cs="Times New Roman"/>
          <w:bCs/>
          <w:sz w:val="24"/>
          <w:szCs w:val="24"/>
        </w:rPr>
        <w:t xml:space="preserve"> findings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further </w:t>
      </w:r>
      <w:r w:rsidRPr="001965CE">
        <w:rPr>
          <w:rFonts w:ascii="Times New Roman" w:eastAsia="宋体" w:hAnsi="Times New Roman" w:cs="Times New Roman"/>
          <w:bCs/>
          <w:sz w:val="24"/>
          <w:szCs w:val="24"/>
        </w:rPr>
        <w:t xml:space="preserve">address the importance of regulating IgA production in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the </w:t>
      </w:r>
      <w:r w:rsidRPr="001965CE">
        <w:rPr>
          <w:rFonts w:ascii="Times New Roman" w:eastAsia="宋体" w:hAnsi="Times New Roman" w:cs="Times New Roman"/>
          <w:bCs/>
          <w:sz w:val="24"/>
          <w:szCs w:val="24"/>
        </w:rPr>
        <w:t>ileum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after </w:t>
      </w:r>
      <w:r w:rsidRPr="001965CE">
        <w:rPr>
          <w:rFonts w:ascii="Times New Roman" w:eastAsia="宋体" w:hAnsi="Times New Roman" w:cs="Times New Roman"/>
          <w:bCs/>
          <w:sz w:val="24"/>
          <w:szCs w:val="24"/>
        </w:rPr>
        <w:t xml:space="preserve">weaning. 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However, this conclusion is inconsistent with </w:t>
      </w:r>
      <w:r>
        <w:rPr>
          <w:rFonts w:ascii="Times New Roman" w:eastAsia="宋体" w:hAnsi="Times New Roman" w:cs="Times New Roman"/>
          <w:bCs/>
          <w:sz w:val="24"/>
          <w:szCs w:val="24"/>
        </w:rPr>
        <w:t>previous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 xml:space="preserve"> finding that the jejunum is the site for greater secretion of IgA than the ileum of preweaning calf </w:t>
      </w:r>
      <w:r>
        <w:rPr>
          <w:rFonts w:ascii="Times New Roman" w:eastAsia="宋体" w:hAnsi="Times New Roman" w:cs="Times New Roman"/>
          <w:bCs/>
          <w:noProof/>
          <w:sz w:val="24"/>
          <w:szCs w:val="24"/>
        </w:rPr>
        <w:t>[23]</w:t>
      </w:r>
      <w:r w:rsidRPr="003B3767">
        <w:rPr>
          <w:rFonts w:ascii="Times New Roman" w:eastAsia="宋体" w:hAnsi="Times New Roman" w:cs="Times New Roman"/>
          <w:bCs/>
          <w:sz w:val="24"/>
          <w:szCs w:val="24"/>
        </w:rPr>
        <w:t>, which is likely related to different physiology stage (pre- and post-weaning).</w:t>
      </w:r>
    </w:p>
    <w:p w14:paraId="11F0C6D9" w14:textId="77777777" w:rsidR="005C36CB" w:rsidRPr="00664430" w:rsidRDefault="005C36CB" w:rsidP="000B7839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3B3767">
        <w:rPr>
          <w:rFonts w:ascii="Times New Roman" w:eastAsia="等线" w:hAnsi="Times New Roman" w:cs="Times New Roman"/>
          <w:sz w:val="24"/>
          <w:szCs w:val="24"/>
        </w:rPr>
        <w:t>We also found that nitrogen metabolism (</w:t>
      </w:r>
      <w:r w:rsidRPr="003B3767">
        <w:rPr>
          <w:rFonts w:ascii="Times New Roman" w:eastAsia="等线" w:hAnsi="Times New Roman" w:cs="Times New Roman"/>
          <w:i/>
          <w:iCs/>
          <w:sz w:val="24"/>
          <w:szCs w:val="24"/>
        </w:rPr>
        <w:t>Ca3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3B3767">
        <w:rPr>
          <w:rFonts w:ascii="Times New Roman" w:eastAsia="等线" w:hAnsi="Times New Roman" w:cs="Times New Roman"/>
          <w:i/>
          <w:iCs/>
          <w:sz w:val="24"/>
          <w:szCs w:val="24"/>
        </w:rPr>
        <w:t>Ca7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3B3767">
        <w:rPr>
          <w:rFonts w:ascii="Times New Roman" w:eastAsia="等线" w:hAnsi="Times New Roman" w:cs="Times New Roman"/>
          <w:i/>
          <w:iCs/>
          <w:sz w:val="24"/>
          <w:szCs w:val="24"/>
        </w:rPr>
        <w:t>Ca12</w:t>
      </w:r>
      <w:r w:rsidRPr="003B3767">
        <w:rPr>
          <w:rFonts w:ascii="Times New Roman" w:eastAsia="等线" w:hAnsi="Times New Roman" w:cs="Times New Roman"/>
          <w:sz w:val="24"/>
          <w:szCs w:val="24"/>
        </w:rPr>
        <w:t>) were also enriched in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 ileum and large intestine (</w:t>
      </w:r>
      <w:r w:rsidRPr="003B3767">
        <w:rPr>
          <w:rFonts w:ascii="Times New Roman" w:eastAsia="等线" w:hAnsi="Times New Roman" w:cs="Times New Roman"/>
          <w:b/>
          <w:bCs/>
          <w:sz w:val="24"/>
          <w:szCs w:val="24"/>
        </w:rPr>
        <w:t>Fig. 7f and S17d, S18c-d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). The gene </w:t>
      </w:r>
      <w:r w:rsidRPr="003B3767">
        <w:rPr>
          <w:rFonts w:ascii="Times New Roman" w:eastAsia="等线" w:hAnsi="Times New Roman" w:cs="Times New Roman"/>
          <w:i/>
          <w:iCs/>
          <w:sz w:val="24"/>
          <w:szCs w:val="24"/>
        </w:rPr>
        <w:t>C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a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s encoding carbonic anhydrases, that catalyze the hydration of carbon dioxide and dehydration of carbonic acid, which were efficiently activated by tyrosine </w:t>
      </w:r>
      <w:r>
        <w:rPr>
          <w:rFonts w:ascii="Times New Roman" w:eastAsia="等线" w:hAnsi="Times New Roman" w:cs="Times New Roman"/>
          <w:noProof/>
          <w:sz w:val="24"/>
          <w:szCs w:val="24"/>
        </w:rPr>
        <w:t>[24]</w:t>
      </w:r>
      <w:r w:rsidRPr="003B3767">
        <w:rPr>
          <w:rFonts w:ascii="Times New Roman" w:eastAsia="等线" w:hAnsi="Times New Roman" w:cs="Times New Roman"/>
          <w:sz w:val="24"/>
          <w:szCs w:val="24"/>
        </w:rPr>
        <w:t>.</w:t>
      </w:r>
      <w:r w:rsidRPr="00612A7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Of note, 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features of the 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methane metabolism pathway </w:t>
      </w:r>
      <w:r>
        <w:rPr>
          <w:rFonts w:ascii="Times New Roman" w:eastAsia="等线" w:hAnsi="Times New Roman" w:cs="Times New Roman"/>
          <w:sz w:val="24"/>
          <w:szCs w:val="24"/>
        </w:rPr>
        <w:t xml:space="preserve">inferred in 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producing carbon dioxide were significantly enriched, </w:t>
      </w:r>
      <w:r>
        <w:rPr>
          <w:rFonts w:ascii="Times New Roman" w:eastAsia="等线" w:hAnsi="Times New Roman" w:cs="Times New Roman"/>
          <w:sz w:val="24"/>
          <w:szCs w:val="24"/>
        </w:rPr>
        <w:t>while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 the concentration of </w:t>
      </w:r>
      <w:r>
        <w:rPr>
          <w:rFonts w:ascii="Times New Roman" w:eastAsia="等线" w:hAnsi="Times New Roman" w:cs="Times New Roman"/>
          <w:sz w:val="24"/>
          <w:szCs w:val="24"/>
        </w:rPr>
        <w:t>t</w:t>
      </w:r>
      <w:r w:rsidRPr="0034719B">
        <w:rPr>
          <w:rFonts w:ascii="Times New Roman" w:eastAsia="等线" w:hAnsi="Times New Roman" w:cs="Times New Roman"/>
          <w:sz w:val="24"/>
          <w:szCs w:val="24"/>
        </w:rPr>
        <w:t>yrosine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 increased postweaning in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 w:rsidRPr="001965CE">
        <w:rPr>
          <w:rFonts w:ascii="Times New Roman" w:eastAsia="等线" w:hAnsi="Times New Roman" w:cs="Times New Roman"/>
          <w:sz w:val="24"/>
          <w:szCs w:val="24"/>
        </w:rPr>
        <w:t xml:space="preserve"> colon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Pr="003B3767">
        <w:rPr>
          <w:rFonts w:ascii="Times New Roman" w:eastAsia="等线" w:hAnsi="Times New Roman" w:cs="Times New Roman"/>
          <w:b/>
          <w:bCs/>
          <w:sz w:val="24"/>
          <w:szCs w:val="24"/>
        </w:rPr>
        <w:t>Fig. 6d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). It is also observed that linoleic acid accumulated during necroptosis </w:t>
      </w:r>
      <w:r>
        <w:rPr>
          <w:rFonts w:ascii="Times New Roman" w:eastAsia="等线" w:hAnsi="Times New Roman" w:cs="Times New Roman"/>
          <w:noProof/>
          <w:sz w:val="24"/>
          <w:szCs w:val="24"/>
        </w:rPr>
        <w:t>[25]</w:t>
      </w:r>
      <w:r w:rsidRPr="003B3767">
        <w:rPr>
          <w:rFonts w:ascii="Times New Roman" w:eastAsia="等线" w:hAnsi="Times New Roman" w:cs="Times New Roman"/>
          <w:sz w:val="24"/>
          <w:szCs w:val="24"/>
        </w:rPr>
        <w:t xml:space="preserve">, which were also specially increased in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3B3767">
        <w:rPr>
          <w:rFonts w:ascii="Times New Roman" w:eastAsia="等线" w:hAnsi="Times New Roman" w:cs="Times New Roman"/>
          <w:sz w:val="24"/>
          <w:szCs w:val="24"/>
        </w:rPr>
        <w:t>ileum (</w:t>
      </w:r>
      <w:r w:rsidRPr="003B3767">
        <w:rPr>
          <w:rFonts w:ascii="Times New Roman" w:eastAsia="等线" w:hAnsi="Times New Roman" w:cs="Times New Roman"/>
          <w:b/>
          <w:bCs/>
          <w:sz w:val="24"/>
          <w:szCs w:val="24"/>
        </w:rPr>
        <w:t>Fig. S11 and S14d</w:t>
      </w:r>
      <w:r w:rsidRPr="003B3767">
        <w:rPr>
          <w:rFonts w:ascii="Times New Roman" w:eastAsia="等线" w:hAnsi="Times New Roman" w:cs="Times New Roman"/>
          <w:sz w:val="24"/>
          <w:szCs w:val="24"/>
        </w:rPr>
        <w:t>).</w:t>
      </w:r>
      <w:bookmarkStart w:id="6" w:name="_Hlk86675136"/>
      <w:r w:rsidRPr="003B3767">
        <w:rPr>
          <w:rFonts w:ascii="Times New Roman" w:eastAsia="等线" w:hAnsi="Times New Roman" w:cs="Times New Roman"/>
          <w:sz w:val="24"/>
          <w:szCs w:val="24"/>
        </w:rPr>
        <w:t xml:space="preserve"> Thus, we concluded that the metabolism of fatty acid and amino acid may play role in </w:t>
      </w:r>
      <w:bookmarkStart w:id="7" w:name="_Hlk87363225"/>
      <w:r w:rsidRPr="003B3767">
        <w:rPr>
          <w:rFonts w:ascii="Times New Roman" w:eastAsia="等线" w:hAnsi="Times New Roman" w:cs="Times New Roman"/>
          <w:sz w:val="24"/>
          <w:szCs w:val="24"/>
        </w:rPr>
        <w:t>necroptosis and apoptosis</w:t>
      </w:r>
      <w:bookmarkEnd w:id="7"/>
      <w:r w:rsidRPr="003B3767">
        <w:rPr>
          <w:rFonts w:ascii="Times New Roman" w:eastAsia="等线" w:hAnsi="Times New Roman" w:cs="Times New Roman"/>
          <w:sz w:val="24"/>
          <w:szCs w:val="24"/>
        </w:rPr>
        <w:t>, which could affect epithelium development and function of ileum and colon, respectively.</w:t>
      </w:r>
      <w:bookmarkEnd w:id="6"/>
    </w:p>
    <w:p w14:paraId="5D09228F" w14:textId="77777777" w:rsidR="005C36CB" w:rsidRDefault="005C36CB">
      <w:pPr>
        <w:widowControl/>
        <w:jc w:val="left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427FBCD6" w14:textId="77777777" w:rsidR="005C36CB" w:rsidRPr="005C36CB" w:rsidRDefault="005C36CB" w:rsidP="005C36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6C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97C455E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1.</w:t>
      </w:r>
      <w:r w:rsidRPr="005C36CB">
        <w:rPr>
          <w:rFonts w:ascii="Times New Roman" w:hAnsi="Times New Roman" w:cs="Times New Roman"/>
          <w:sz w:val="24"/>
          <w:szCs w:val="24"/>
        </w:rPr>
        <w:tab/>
        <w:t>Hofer DC, Zirkovits G, Pelzmann HJ, Huber K, Pessentheiner AR, Xia W, Uno K, Miyazaki T, Kon K, Tsuneki H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5C36CB">
        <w:rPr>
          <w:rFonts w:ascii="Times New Roman" w:hAnsi="Times New Roman" w:cs="Times New Roman"/>
          <w:sz w:val="24"/>
          <w:szCs w:val="24"/>
        </w:rPr>
        <w:t xml:space="preserve">: </w:t>
      </w:r>
      <w:r w:rsidRPr="005C36CB">
        <w:rPr>
          <w:rFonts w:ascii="Times New Roman" w:hAnsi="Times New Roman" w:cs="Times New Roman"/>
          <w:b/>
          <w:sz w:val="24"/>
          <w:szCs w:val="24"/>
        </w:rPr>
        <w:t>N-acetylaspartate availability is essential for juvenile survival on fat-free diet and determines metabolic health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FASEB J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2019, </w:t>
      </w:r>
      <w:r w:rsidRPr="005C36CB">
        <w:rPr>
          <w:rFonts w:ascii="Times New Roman" w:hAnsi="Times New Roman" w:cs="Times New Roman"/>
          <w:b/>
          <w:sz w:val="24"/>
          <w:szCs w:val="24"/>
        </w:rPr>
        <w:t>33</w:t>
      </w:r>
      <w:r w:rsidRPr="005C36CB">
        <w:rPr>
          <w:rFonts w:ascii="Times New Roman" w:hAnsi="Times New Roman" w:cs="Times New Roman"/>
          <w:sz w:val="24"/>
          <w:szCs w:val="24"/>
        </w:rPr>
        <w:t>(12):13808-13824.</w:t>
      </w:r>
    </w:p>
    <w:p w14:paraId="6F7E0901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Alam MA, Subhan N, Hossain H, Hossain M, Reza HM, Rahman MM, Ullah MO: </w:t>
      </w:r>
      <w:r w:rsidRPr="005C36CB">
        <w:rPr>
          <w:rFonts w:ascii="Times New Roman" w:hAnsi="Times New Roman" w:cs="Times New Roman"/>
          <w:b/>
          <w:sz w:val="24"/>
          <w:szCs w:val="24"/>
        </w:rPr>
        <w:t>Hydroxycinnamic acid derivatives: a potential class of natural compounds for the management of lipid metabolism and obesity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Nutr Metab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2016, </w:t>
      </w:r>
      <w:r w:rsidRPr="005C36CB">
        <w:rPr>
          <w:rFonts w:ascii="Times New Roman" w:hAnsi="Times New Roman" w:cs="Times New Roman"/>
          <w:b/>
          <w:sz w:val="24"/>
          <w:szCs w:val="24"/>
        </w:rPr>
        <w:t>13</w:t>
      </w:r>
      <w:r w:rsidRPr="005C36CB">
        <w:rPr>
          <w:rFonts w:ascii="Times New Roman" w:hAnsi="Times New Roman" w:cs="Times New Roman"/>
          <w:sz w:val="24"/>
          <w:szCs w:val="24"/>
        </w:rPr>
        <w:t>(1):27.</w:t>
      </w:r>
    </w:p>
    <w:p w14:paraId="512C4DBE" w14:textId="2AE5C736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3.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Lee J, Kim E, Kim Y, Yoo S-H: </w:t>
      </w:r>
      <w:r w:rsidRPr="005C36CB">
        <w:rPr>
          <w:rFonts w:ascii="Times New Roman" w:hAnsi="Times New Roman" w:cs="Times New Roman"/>
          <w:b/>
          <w:sz w:val="24"/>
          <w:szCs w:val="24"/>
        </w:rPr>
        <w:t>Leucrose, a sucrose isomer, suppresses hepatic fat accumulation by regulating hepatic lipogenesis and fat oxidation in high-fat diet-induced obese mice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90451552"/>
      <w:r w:rsidRPr="00EB2E2A">
        <w:rPr>
          <w:rFonts w:ascii="Times New Roman" w:hAnsi="Times New Roman" w:cs="Times New Roman"/>
          <w:i/>
          <w:sz w:val="24"/>
          <w:szCs w:val="24"/>
        </w:rPr>
        <w:t>J Cancer Prev</w:t>
      </w:r>
      <w:bookmarkEnd w:id="8"/>
      <w:r w:rsidRPr="005C36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2018, </w:t>
      </w:r>
      <w:r w:rsidRPr="005C36CB">
        <w:rPr>
          <w:rFonts w:ascii="Times New Roman" w:hAnsi="Times New Roman" w:cs="Times New Roman"/>
          <w:b/>
          <w:sz w:val="24"/>
          <w:szCs w:val="24"/>
        </w:rPr>
        <w:t>23</w:t>
      </w:r>
      <w:r w:rsidRPr="005C36CB">
        <w:rPr>
          <w:rFonts w:ascii="Times New Roman" w:hAnsi="Times New Roman" w:cs="Times New Roman"/>
          <w:sz w:val="24"/>
          <w:szCs w:val="24"/>
        </w:rPr>
        <w:t>(2):99-106.</w:t>
      </w:r>
    </w:p>
    <w:p w14:paraId="2BAF5EE5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4.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Thelen AM, Zoncu R: </w:t>
      </w:r>
      <w:r w:rsidRPr="005C36CB">
        <w:rPr>
          <w:rFonts w:ascii="Times New Roman" w:hAnsi="Times New Roman" w:cs="Times New Roman"/>
          <w:b/>
          <w:sz w:val="24"/>
          <w:szCs w:val="24"/>
        </w:rPr>
        <w:t>Emerging roles for the lysosome in lipid metabolism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Trends Cell Biol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2017, </w:t>
      </w:r>
      <w:r w:rsidRPr="005C36CB">
        <w:rPr>
          <w:rFonts w:ascii="Times New Roman" w:hAnsi="Times New Roman" w:cs="Times New Roman"/>
          <w:b/>
          <w:sz w:val="24"/>
          <w:szCs w:val="24"/>
        </w:rPr>
        <w:t>27</w:t>
      </w:r>
      <w:r w:rsidRPr="005C36CB">
        <w:rPr>
          <w:rFonts w:ascii="Times New Roman" w:hAnsi="Times New Roman" w:cs="Times New Roman"/>
          <w:sz w:val="24"/>
          <w:szCs w:val="24"/>
        </w:rPr>
        <w:t>(11):833-850.</w:t>
      </w:r>
    </w:p>
    <w:p w14:paraId="01D84E1D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5.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Jeon H, Blacklow SC: </w:t>
      </w:r>
      <w:r w:rsidRPr="005C36CB">
        <w:rPr>
          <w:rFonts w:ascii="Times New Roman" w:hAnsi="Times New Roman" w:cs="Times New Roman"/>
          <w:b/>
          <w:sz w:val="24"/>
          <w:szCs w:val="24"/>
        </w:rPr>
        <w:t>Structure and physiologic function of the low-density lipoprotein receptor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Annu Rev Biochem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2005, </w:t>
      </w:r>
      <w:r w:rsidRPr="005C36CB">
        <w:rPr>
          <w:rFonts w:ascii="Times New Roman" w:hAnsi="Times New Roman" w:cs="Times New Roman"/>
          <w:b/>
          <w:sz w:val="24"/>
          <w:szCs w:val="24"/>
        </w:rPr>
        <w:t>74</w:t>
      </w:r>
      <w:r w:rsidRPr="005C36CB">
        <w:rPr>
          <w:rFonts w:ascii="Times New Roman" w:hAnsi="Times New Roman" w:cs="Times New Roman"/>
          <w:sz w:val="24"/>
          <w:szCs w:val="24"/>
        </w:rPr>
        <w:t>(1):535-562.</w:t>
      </w:r>
    </w:p>
    <w:p w14:paraId="6239569F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6.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Singh R, Cuervo Ana M: </w:t>
      </w:r>
      <w:r w:rsidRPr="005C36CB">
        <w:rPr>
          <w:rFonts w:ascii="Times New Roman" w:hAnsi="Times New Roman" w:cs="Times New Roman"/>
          <w:b/>
          <w:sz w:val="24"/>
          <w:szCs w:val="24"/>
        </w:rPr>
        <w:t>Autophagy in the cellular energetic balance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Cell Metab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2011, </w:t>
      </w:r>
      <w:r w:rsidRPr="005C36CB">
        <w:rPr>
          <w:rFonts w:ascii="Times New Roman" w:hAnsi="Times New Roman" w:cs="Times New Roman"/>
          <w:b/>
          <w:sz w:val="24"/>
          <w:szCs w:val="24"/>
        </w:rPr>
        <w:t>13</w:t>
      </w:r>
      <w:r w:rsidRPr="005C36CB">
        <w:rPr>
          <w:rFonts w:ascii="Times New Roman" w:hAnsi="Times New Roman" w:cs="Times New Roman"/>
          <w:sz w:val="24"/>
          <w:szCs w:val="24"/>
        </w:rPr>
        <w:t>(5):495-504.</w:t>
      </w:r>
    </w:p>
    <w:p w14:paraId="4CBCF26C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7.</w:t>
      </w:r>
      <w:r w:rsidRPr="005C36CB">
        <w:rPr>
          <w:rFonts w:ascii="Times New Roman" w:hAnsi="Times New Roman" w:cs="Times New Roman"/>
          <w:sz w:val="24"/>
          <w:szCs w:val="24"/>
        </w:rPr>
        <w:tab/>
        <w:t>Schneede A, Schmidt CK, Hölttä-Vuori M, Heeren J, Willenborg M, Blanz J, Domanskyy M, Breiden B, Brodesser S, Landgrebe J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5C36CB">
        <w:rPr>
          <w:rFonts w:ascii="Times New Roman" w:hAnsi="Times New Roman" w:cs="Times New Roman"/>
          <w:sz w:val="24"/>
          <w:szCs w:val="24"/>
        </w:rPr>
        <w:t xml:space="preserve">: </w:t>
      </w:r>
      <w:r w:rsidRPr="005C36CB">
        <w:rPr>
          <w:rFonts w:ascii="Times New Roman" w:hAnsi="Times New Roman" w:cs="Times New Roman"/>
          <w:b/>
          <w:sz w:val="24"/>
          <w:szCs w:val="24"/>
        </w:rPr>
        <w:t>Role for LAMP-2 in endosomal cholesterol transport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J Cell Mol Med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2011, </w:t>
      </w:r>
      <w:r w:rsidRPr="005C36CB">
        <w:rPr>
          <w:rFonts w:ascii="Times New Roman" w:hAnsi="Times New Roman" w:cs="Times New Roman"/>
          <w:b/>
          <w:sz w:val="24"/>
          <w:szCs w:val="24"/>
        </w:rPr>
        <w:t>15</w:t>
      </w:r>
      <w:r w:rsidRPr="005C36CB">
        <w:rPr>
          <w:rFonts w:ascii="Times New Roman" w:hAnsi="Times New Roman" w:cs="Times New Roman"/>
          <w:sz w:val="24"/>
          <w:szCs w:val="24"/>
        </w:rPr>
        <w:t>(2):280-295.</w:t>
      </w:r>
    </w:p>
    <w:p w14:paraId="07ACEFDB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8.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Ogawa E, Kanazawa M, Yamamoto S, Ohtsuka S, Ogawa A, Ohtake A, Takayanagi M, Kohno Y: </w:t>
      </w:r>
      <w:r w:rsidRPr="005C36CB">
        <w:rPr>
          <w:rFonts w:ascii="Times New Roman" w:hAnsi="Times New Roman" w:cs="Times New Roman"/>
          <w:b/>
          <w:sz w:val="24"/>
          <w:szCs w:val="24"/>
        </w:rPr>
        <w:t>Expression analysis of two mutations in carnitine palmitoyltransferase IA deficiency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J Hum Genet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2002, </w:t>
      </w:r>
      <w:r w:rsidRPr="005C36CB">
        <w:rPr>
          <w:rFonts w:ascii="Times New Roman" w:hAnsi="Times New Roman" w:cs="Times New Roman"/>
          <w:b/>
          <w:sz w:val="24"/>
          <w:szCs w:val="24"/>
        </w:rPr>
        <w:t>47</w:t>
      </w:r>
      <w:r w:rsidRPr="005C36CB">
        <w:rPr>
          <w:rFonts w:ascii="Times New Roman" w:hAnsi="Times New Roman" w:cs="Times New Roman"/>
          <w:sz w:val="24"/>
          <w:szCs w:val="24"/>
        </w:rPr>
        <w:t>(7):342-347.</w:t>
      </w:r>
    </w:p>
    <w:p w14:paraId="107A5723" w14:textId="3C46E608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9.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Cao W, Liu N, Tang S, Bao L, Shen L, Yuan H, Zhao X, Lu H: 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Acetyl-Coenzyme A acyltransferase 2 attenuates the apoptotic effects of </w:t>
      </w:r>
      <w:r w:rsidRPr="00160953">
        <w:rPr>
          <w:rFonts w:ascii="Times New Roman" w:hAnsi="Times New Roman" w:cs="Times New Roman"/>
          <w:b/>
          <w:i/>
          <w:iCs/>
          <w:sz w:val="24"/>
          <w:szCs w:val="24"/>
        </w:rPr>
        <w:t>BNIP3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in two human cell lines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bookmarkStart w:id="9" w:name="_Hlk90451579"/>
      <w:r w:rsidRPr="00EB2E2A">
        <w:rPr>
          <w:rFonts w:ascii="Times New Roman" w:hAnsi="Times New Roman" w:cs="Times New Roman"/>
          <w:i/>
          <w:sz w:val="24"/>
          <w:szCs w:val="24"/>
        </w:rPr>
        <w:t>Biochim Biophys Acta Gen Subj</w:t>
      </w:r>
      <w:bookmarkEnd w:id="9"/>
      <w:r w:rsidRPr="005C36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2008, </w:t>
      </w:r>
      <w:r w:rsidRPr="005C36CB">
        <w:rPr>
          <w:rFonts w:ascii="Times New Roman" w:hAnsi="Times New Roman" w:cs="Times New Roman"/>
          <w:b/>
          <w:sz w:val="24"/>
          <w:szCs w:val="24"/>
        </w:rPr>
        <w:t>1780</w:t>
      </w:r>
      <w:r w:rsidRPr="005C36CB">
        <w:rPr>
          <w:rFonts w:ascii="Times New Roman" w:hAnsi="Times New Roman" w:cs="Times New Roman"/>
          <w:sz w:val="24"/>
          <w:szCs w:val="24"/>
        </w:rPr>
        <w:t>(6):873-880.</w:t>
      </w:r>
    </w:p>
    <w:p w14:paraId="406DA47E" w14:textId="37583FD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10.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Henkel AS, Gooijert KER, Havinga R, Boverhof R, Green RM, Verkade HJ: </w:t>
      </w:r>
      <w:r w:rsidRPr="005C36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Hepatic overexpression of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Abcb11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in mice promotes the conservation of bile acids within the enterohepatic circulation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Hlk90451594"/>
      <w:r w:rsidRPr="00EB2E2A">
        <w:rPr>
          <w:rFonts w:ascii="Times New Roman" w:hAnsi="Times New Roman" w:cs="Times New Roman"/>
          <w:i/>
          <w:sz w:val="24"/>
          <w:szCs w:val="24"/>
        </w:rPr>
        <w:t>Am J Physiol Gastrointest Liver Physiol</w:t>
      </w:r>
      <w:bookmarkEnd w:id="10"/>
      <w:r w:rsidRPr="005C36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2012, </w:t>
      </w:r>
      <w:r w:rsidRPr="005C36CB">
        <w:rPr>
          <w:rFonts w:ascii="Times New Roman" w:hAnsi="Times New Roman" w:cs="Times New Roman"/>
          <w:b/>
          <w:sz w:val="24"/>
          <w:szCs w:val="24"/>
        </w:rPr>
        <w:t>304</w:t>
      </w:r>
      <w:r w:rsidRPr="005C36CB">
        <w:rPr>
          <w:rFonts w:ascii="Times New Roman" w:hAnsi="Times New Roman" w:cs="Times New Roman"/>
          <w:sz w:val="24"/>
          <w:szCs w:val="24"/>
        </w:rPr>
        <w:t>(2):G221-G226.</w:t>
      </w:r>
    </w:p>
    <w:p w14:paraId="494C5A41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11.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Malmuthuge N, Liang G, Griebel PJ, Guan LL: </w:t>
      </w:r>
      <w:r w:rsidRPr="005C36CB">
        <w:rPr>
          <w:rFonts w:ascii="Times New Roman" w:hAnsi="Times New Roman" w:cs="Times New Roman"/>
          <w:b/>
          <w:sz w:val="24"/>
          <w:szCs w:val="24"/>
        </w:rPr>
        <w:t>Taxonomic and functional compositions of the small intestinal microbiome in neonatal calves provide a framework for understanding early life gut health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Appl Environ Microbiol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2019, </w:t>
      </w:r>
      <w:r w:rsidRPr="005C36CB">
        <w:rPr>
          <w:rFonts w:ascii="Times New Roman" w:hAnsi="Times New Roman" w:cs="Times New Roman"/>
          <w:b/>
          <w:sz w:val="24"/>
          <w:szCs w:val="24"/>
        </w:rPr>
        <w:t>85</w:t>
      </w:r>
      <w:r w:rsidRPr="005C36CB">
        <w:rPr>
          <w:rFonts w:ascii="Times New Roman" w:hAnsi="Times New Roman" w:cs="Times New Roman"/>
          <w:sz w:val="24"/>
          <w:szCs w:val="24"/>
        </w:rPr>
        <w:t>(6):e02534-02518.</w:t>
      </w:r>
    </w:p>
    <w:p w14:paraId="112F3959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12.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Chartier C, Paraud C: 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Coccidiosis due to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Eimeria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in sheep and goats, a review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Small Ruminant Res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2012, </w:t>
      </w:r>
      <w:r w:rsidRPr="005C36CB">
        <w:rPr>
          <w:rFonts w:ascii="Times New Roman" w:hAnsi="Times New Roman" w:cs="Times New Roman"/>
          <w:b/>
          <w:sz w:val="24"/>
          <w:szCs w:val="24"/>
        </w:rPr>
        <w:t>103</w:t>
      </w:r>
      <w:r w:rsidRPr="005C36CB">
        <w:rPr>
          <w:rFonts w:ascii="Times New Roman" w:hAnsi="Times New Roman" w:cs="Times New Roman"/>
          <w:sz w:val="24"/>
          <w:szCs w:val="24"/>
        </w:rPr>
        <w:t>(1):84-92.</w:t>
      </w:r>
    </w:p>
    <w:p w14:paraId="5BB7B49E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13.</w:t>
      </w:r>
      <w:r w:rsidRPr="005C36CB">
        <w:rPr>
          <w:rFonts w:ascii="Times New Roman" w:hAnsi="Times New Roman" w:cs="Times New Roman"/>
          <w:sz w:val="24"/>
          <w:szCs w:val="24"/>
        </w:rPr>
        <w:tab/>
        <w:t>Marcobal A, Barboza M, Sonnenburg Erica D, Pudlo N, Martens Eric C, Desai P, Lebrilla Carlito B, Weimer Bart C, Mills David A, German JB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5C36CB">
        <w:rPr>
          <w:rFonts w:ascii="Times New Roman" w:hAnsi="Times New Roman" w:cs="Times New Roman"/>
          <w:sz w:val="24"/>
          <w:szCs w:val="24"/>
        </w:rPr>
        <w:t xml:space="preserve">: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Bacteroides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in the infant gut consume milk oligosaccharides via mucus-utilization pathways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Cell Host Microbe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2011, </w:t>
      </w:r>
      <w:r w:rsidRPr="005C36CB">
        <w:rPr>
          <w:rFonts w:ascii="Times New Roman" w:hAnsi="Times New Roman" w:cs="Times New Roman"/>
          <w:b/>
          <w:sz w:val="24"/>
          <w:szCs w:val="24"/>
        </w:rPr>
        <w:t>10</w:t>
      </w:r>
      <w:r w:rsidRPr="005C36CB">
        <w:rPr>
          <w:rFonts w:ascii="Times New Roman" w:hAnsi="Times New Roman" w:cs="Times New Roman"/>
          <w:sz w:val="24"/>
          <w:szCs w:val="24"/>
        </w:rPr>
        <w:t>(5):507-514.</w:t>
      </w:r>
    </w:p>
    <w:p w14:paraId="3198EE76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14.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Salem M, Skurnik M: 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Genomic characterization of sixteen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Yersinia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enterocolitica-infecting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Podoviruses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of pig origin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Viruses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2018, </w:t>
      </w:r>
      <w:r w:rsidRPr="005C36CB">
        <w:rPr>
          <w:rFonts w:ascii="Times New Roman" w:hAnsi="Times New Roman" w:cs="Times New Roman"/>
          <w:b/>
          <w:sz w:val="24"/>
          <w:szCs w:val="24"/>
        </w:rPr>
        <w:t>10</w:t>
      </w:r>
      <w:r w:rsidRPr="005C36CB">
        <w:rPr>
          <w:rFonts w:ascii="Times New Roman" w:hAnsi="Times New Roman" w:cs="Times New Roman"/>
          <w:sz w:val="24"/>
          <w:szCs w:val="24"/>
        </w:rPr>
        <w:t>(4):174.</w:t>
      </w:r>
    </w:p>
    <w:p w14:paraId="5300EF45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15.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Jiang L, Liu X, He X, Jin Y, Cao Y, Zhan X, Griffin CH, Gragnoli C, Wu R: </w:t>
      </w:r>
      <w:r w:rsidRPr="005C36CB">
        <w:rPr>
          <w:rFonts w:ascii="Times New Roman" w:hAnsi="Times New Roman" w:cs="Times New Roman"/>
          <w:b/>
          <w:sz w:val="24"/>
          <w:szCs w:val="24"/>
        </w:rPr>
        <w:t>A behavioral model for mapping the genetic architecture of gut-microbiota networks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Gut Microbes </w:t>
      </w:r>
      <w:r w:rsidRPr="005C36CB">
        <w:rPr>
          <w:rFonts w:ascii="Times New Roman" w:hAnsi="Times New Roman" w:cs="Times New Roman"/>
          <w:sz w:val="24"/>
          <w:szCs w:val="24"/>
        </w:rPr>
        <w:t>2020:1-15.</w:t>
      </w:r>
    </w:p>
    <w:p w14:paraId="65E81211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16.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Lim ES, Zhou Y, Zhao G, Bauer IK, Droit L, Ndao IM, Warner BB, Tarr PI, Wang D, Holtz LR: </w:t>
      </w:r>
      <w:r w:rsidRPr="005C36CB">
        <w:rPr>
          <w:rFonts w:ascii="Times New Roman" w:hAnsi="Times New Roman" w:cs="Times New Roman"/>
          <w:b/>
          <w:sz w:val="24"/>
          <w:szCs w:val="24"/>
        </w:rPr>
        <w:t>Early life dynamics of the human gut virome and bacterial microbiome in infants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Nat Med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2015, </w:t>
      </w:r>
      <w:r w:rsidRPr="005C36CB">
        <w:rPr>
          <w:rFonts w:ascii="Times New Roman" w:hAnsi="Times New Roman" w:cs="Times New Roman"/>
          <w:b/>
          <w:sz w:val="24"/>
          <w:szCs w:val="24"/>
        </w:rPr>
        <w:t>21</w:t>
      </w:r>
      <w:r w:rsidRPr="005C36CB">
        <w:rPr>
          <w:rFonts w:ascii="Times New Roman" w:hAnsi="Times New Roman" w:cs="Times New Roman"/>
          <w:sz w:val="24"/>
          <w:szCs w:val="24"/>
        </w:rPr>
        <w:t>(10):1228-1234.</w:t>
      </w:r>
    </w:p>
    <w:p w14:paraId="1309F483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17.</w:t>
      </w:r>
      <w:r w:rsidRPr="005C36CB">
        <w:rPr>
          <w:rFonts w:ascii="Times New Roman" w:hAnsi="Times New Roman" w:cs="Times New Roman"/>
          <w:sz w:val="24"/>
          <w:szCs w:val="24"/>
        </w:rPr>
        <w:tab/>
        <w:t>Liang G, Zhao C, Zhang H, Mattei L, Sherrill-Mix S, Bittinger K, Kessler LR, Wu GD, Baldassano RN, DeRusso P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5C36CB">
        <w:rPr>
          <w:rFonts w:ascii="Times New Roman" w:hAnsi="Times New Roman" w:cs="Times New Roman"/>
          <w:sz w:val="24"/>
          <w:szCs w:val="24"/>
        </w:rPr>
        <w:t xml:space="preserve">: </w:t>
      </w:r>
      <w:r w:rsidRPr="005C36CB">
        <w:rPr>
          <w:rFonts w:ascii="Times New Roman" w:hAnsi="Times New Roman" w:cs="Times New Roman"/>
          <w:b/>
          <w:sz w:val="24"/>
          <w:szCs w:val="24"/>
        </w:rPr>
        <w:t>The stepwise assembly of the neonatal virome is modulated by breastfeeding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Nature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2020, </w:t>
      </w:r>
      <w:r w:rsidRPr="005C36CB">
        <w:rPr>
          <w:rFonts w:ascii="Times New Roman" w:hAnsi="Times New Roman" w:cs="Times New Roman"/>
          <w:b/>
          <w:sz w:val="24"/>
          <w:szCs w:val="24"/>
        </w:rPr>
        <w:t>581</w:t>
      </w:r>
      <w:r w:rsidRPr="005C36CB">
        <w:rPr>
          <w:rFonts w:ascii="Times New Roman" w:hAnsi="Times New Roman" w:cs="Times New Roman"/>
          <w:sz w:val="24"/>
          <w:szCs w:val="24"/>
        </w:rPr>
        <w:t>(7809):470-474.</w:t>
      </w:r>
    </w:p>
    <w:p w14:paraId="7FF6135D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18.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Leiman PG, Battisti AJ, Bowman VD, Stummeyer K, Mühlenhoff M, Gerardy-Schahn R, Scholl D, Molineux IJ: 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The structures of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Bacteriophages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K1E and K1-5 explain processive degradation of polysaccharide capsules and evolution of new host specificities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J Mol Biol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2007, </w:t>
      </w:r>
      <w:r w:rsidRPr="005C36CB">
        <w:rPr>
          <w:rFonts w:ascii="Times New Roman" w:hAnsi="Times New Roman" w:cs="Times New Roman"/>
          <w:b/>
          <w:sz w:val="24"/>
          <w:szCs w:val="24"/>
        </w:rPr>
        <w:t>371</w:t>
      </w:r>
      <w:r w:rsidRPr="005C36CB">
        <w:rPr>
          <w:rFonts w:ascii="Times New Roman" w:hAnsi="Times New Roman" w:cs="Times New Roman"/>
          <w:sz w:val="24"/>
          <w:szCs w:val="24"/>
        </w:rPr>
        <w:t>(3):836-849.</w:t>
      </w:r>
    </w:p>
    <w:p w14:paraId="1E51C575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lastRenderedPageBreak/>
        <w:t>19.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Khan NA: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Acanthamoeba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: biology and increasing importance in human health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FEMS Microbiol Rev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2006, </w:t>
      </w:r>
      <w:r w:rsidRPr="005C36CB">
        <w:rPr>
          <w:rFonts w:ascii="Times New Roman" w:hAnsi="Times New Roman" w:cs="Times New Roman"/>
          <w:b/>
          <w:sz w:val="24"/>
          <w:szCs w:val="24"/>
        </w:rPr>
        <w:t>30</w:t>
      </w:r>
      <w:r w:rsidRPr="005C36CB">
        <w:rPr>
          <w:rFonts w:ascii="Times New Roman" w:hAnsi="Times New Roman" w:cs="Times New Roman"/>
          <w:sz w:val="24"/>
          <w:szCs w:val="24"/>
        </w:rPr>
        <w:t>(4):564-595.</w:t>
      </w:r>
    </w:p>
    <w:p w14:paraId="4210D7EB" w14:textId="0180C1EB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20.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Corcoran L, Emslie D, Kratina T, Shi W, Hirsch S, Taubenheim N, Chevrier S: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Oct2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5C36CB">
        <w:rPr>
          <w:rFonts w:ascii="Times New Roman" w:hAnsi="Times New Roman" w:cs="Times New Roman"/>
          <w:b/>
          <w:i/>
          <w:iCs/>
          <w:sz w:val="24"/>
          <w:szCs w:val="24"/>
        </w:rPr>
        <w:t>Obf1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 as facilitators of B:T cell collaboration during a humoral immune response</w:t>
      </w:r>
      <w:r w:rsidRPr="005C36CB">
        <w:rPr>
          <w:rFonts w:ascii="Times New Roman" w:hAnsi="Times New Roman" w:cs="Times New Roman"/>
          <w:sz w:val="24"/>
          <w:szCs w:val="24"/>
        </w:rPr>
        <w:t>.</w:t>
      </w:r>
      <w:r w:rsidRPr="005C36CB">
        <w:t xml:space="preserve">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Front </w:t>
      </w:r>
      <w:r w:rsidR="00CC6129">
        <w:rPr>
          <w:rFonts w:ascii="Times New Roman" w:hAnsi="Times New Roman" w:cs="Times New Roman"/>
          <w:i/>
          <w:sz w:val="24"/>
          <w:szCs w:val="24"/>
        </w:rPr>
        <w:t>I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mmunol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2014, </w:t>
      </w:r>
      <w:r w:rsidRPr="005C36CB">
        <w:rPr>
          <w:rFonts w:ascii="Times New Roman" w:hAnsi="Times New Roman" w:cs="Times New Roman"/>
          <w:b/>
          <w:sz w:val="24"/>
          <w:szCs w:val="24"/>
        </w:rPr>
        <w:t>5</w:t>
      </w:r>
      <w:r w:rsidRPr="005C36CB">
        <w:rPr>
          <w:rFonts w:ascii="Times New Roman" w:hAnsi="Times New Roman" w:cs="Times New Roman"/>
          <w:sz w:val="24"/>
          <w:szCs w:val="24"/>
        </w:rPr>
        <w:t>(108).</w:t>
      </w:r>
    </w:p>
    <w:p w14:paraId="1B3837FA" w14:textId="02B1D80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21.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Castigli E, Scott S, Dedeoglu F, Bryce P, Jabara H, Bhan AK, Mizoguchi E, Geha RS: </w:t>
      </w:r>
      <w:r w:rsidRPr="005C36CB">
        <w:rPr>
          <w:rFonts w:ascii="Times New Roman" w:hAnsi="Times New Roman" w:cs="Times New Roman"/>
          <w:b/>
          <w:sz w:val="24"/>
          <w:szCs w:val="24"/>
        </w:rPr>
        <w:t>Impaired IgA class switching in APRIL-deficient mice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EB2E2A">
        <w:rPr>
          <w:rFonts w:ascii="Times New Roman" w:hAnsi="Times New Roman" w:cs="Times New Roman"/>
          <w:i/>
          <w:sz w:val="24"/>
          <w:szCs w:val="24"/>
        </w:rPr>
        <w:t>Proc Natl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2E2A">
        <w:rPr>
          <w:rFonts w:ascii="Times New Roman" w:hAnsi="Times New Roman" w:cs="Times New Roman"/>
          <w:i/>
          <w:sz w:val="24"/>
          <w:szCs w:val="24"/>
        </w:rPr>
        <w:t>Acad Sci U.S.A.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2004, </w:t>
      </w:r>
      <w:r w:rsidRPr="005C36CB">
        <w:rPr>
          <w:rFonts w:ascii="Times New Roman" w:hAnsi="Times New Roman" w:cs="Times New Roman"/>
          <w:b/>
          <w:sz w:val="24"/>
          <w:szCs w:val="24"/>
        </w:rPr>
        <w:t>101</w:t>
      </w:r>
      <w:r w:rsidRPr="005C36CB">
        <w:rPr>
          <w:rFonts w:ascii="Times New Roman" w:hAnsi="Times New Roman" w:cs="Times New Roman"/>
          <w:sz w:val="24"/>
          <w:szCs w:val="24"/>
        </w:rPr>
        <w:t>(11):3903-3908.</w:t>
      </w:r>
    </w:p>
    <w:p w14:paraId="56C830FC" w14:textId="6993853A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22.</w:t>
      </w:r>
      <w:r w:rsidRPr="005C36CB">
        <w:rPr>
          <w:rFonts w:ascii="Times New Roman" w:hAnsi="Times New Roman" w:cs="Times New Roman"/>
          <w:sz w:val="24"/>
          <w:szCs w:val="24"/>
        </w:rPr>
        <w:tab/>
        <w:t>Pilarowski GO, Cazares T, Zhang L, Benjamin JS, Liu K, Jagannathan S, Mousa N, Kasten J, Barski A, Lindsley AW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5C36CB">
        <w:rPr>
          <w:rFonts w:ascii="Times New Roman" w:hAnsi="Times New Roman" w:cs="Times New Roman"/>
          <w:sz w:val="24"/>
          <w:szCs w:val="24"/>
        </w:rPr>
        <w:t xml:space="preserve">: 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Abnormal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C36CB">
        <w:rPr>
          <w:rFonts w:ascii="Times New Roman" w:hAnsi="Times New Roman" w:cs="Times New Roman"/>
          <w:b/>
          <w:sz w:val="24"/>
          <w:szCs w:val="24"/>
        </w:rPr>
        <w:t>eyer patch development and B-cell gut homing drive IgA deficiency in Kabuki syndrome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J Allergy Clin Immunol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2020, </w:t>
      </w:r>
      <w:r w:rsidRPr="005C36CB">
        <w:rPr>
          <w:rFonts w:ascii="Times New Roman" w:hAnsi="Times New Roman" w:cs="Times New Roman"/>
          <w:b/>
          <w:sz w:val="24"/>
          <w:szCs w:val="24"/>
        </w:rPr>
        <w:t>145</w:t>
      </w:r>
      <w:r w:rsidRPr="005C36CB">
        <w:rPr>
          <w:rFonts w:ascii="Times New Roman" w:hAnsi="Times New Roman" w:cs="Times New Roman"/>
          <w:sz w:val="24"/>
          <w:szCs w:val="24"/>
        </w:rPr>
        <w:t>(3):982-992.</w:t>
      </w:r>
    </w:p>
    <w:p w14:paraId="590C121B" w14:textId="77777777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23.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Liang G, Malmuthuge N, Bao H, Stothard P, Griebel PJ, Guan LL: </w:t>
      </w:r>
      <w:r w:rsidRPr="005C36CB">
        <w:rPr>
          <w:rFonts w:ascii="Times New Roman" w:hAnsi="Times New Roman" w:cs="Times New Roman"/>
          <w:b/>
          <w:sz w:val="24"/>
          <w:szCs w:val="24"/>
        </w:rPr>
        <w:t>Transcriptome analysis reveals regional and temporal differences in mucosal immune system development in the small intestine of neonatal calves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BMC Genomics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2016, </w:t>
      </w:r>
      <w:r w:rsidRPr="005C36CB">
        <w:rPr>
          <w:rFonts w:ascii="Times New Roman" w:hAnsi="Times New Roman" w:cs="Times New Roman"/>
          <w:b/>
          <w:sz w:val="24"/>
          <w:szCs w:val="24"/>
        </w:rPr>
        <w:t>17</w:t>
      </w:r>
      <w:r w:rsidRPr="005C36CB">
        <w:rPr>
          <w:rFonts w:ascii="Times New Roman" w:hAnsi="Times New Roman" w:cs="Times New Roman"/>
          <w:sz w:val="24"/>
          <w:szCs w:val="24"/>
        </w:rPr>
        <w:t>(1):602-602.</w:t>
      </w:r>
    </w:p>
    <w:p w14:paraId="3F1F787D" w14:textId="314EDF9B" w:rsidR="005C36CB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24.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Vullo D, Nishimori I, Scozzafava A, Supuran CT: </w:t>
      </w:r>
      <w:r w:rsidRPr="005C36CB">
        <w:rPr>
          <w:rFonts w:ascii="Times New Roman" w:hAnsi="Times New Roman" w:cs="Times New Roman"/>
          <w:b/>
          <w:sz w:val="24"/>
          <w:szCs w:val="24"/>
        </w:rPr>
        <w:t xml:space="preserve">Carbonic anhydrase activators: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C36CB">
        <w:rPr>
          <w:rFonts w:ascii="Times New Roman" w:hAnsi="Times New Roman" w:cs="Times New Roman"/>
          <w:b/>
          <w:sz w:val="24"/>
          <w:szCs w:val="24"/>
        </w:rPr>
        <w:t>ctivation of the human cytosolic isozyme III and membrane-associated isoform IV with amino acids and amines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r w:rsidRPr="005C36CB">
        <w:rPr>
          <w:rFonts w:ascii="Times New Roman" w:hAnsi="Times New Roman" w:cs="Times New Roman"/>
          <w:i/>
          <w:sz w:val="24"/>
          <w:szCs w:val="24"/>
        </w:rPr>
        <w:t xml:space="preserve">Bioorg Med Chem Lett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2008, </w:t>
      </w:r>
      <w:r w:rsidRPr="005C36CB">
        <w:rPr>
          <w:rFonts w:ascii="Times New Roman" w:hAnsi="Times New Roman" w:cs="Times New Roman"/>
          <w:b/>
          <w:sz w:val="24"/>
          <w:szCs w:val="24"/>
        </w:rPr>
        <w:t>18</w:t>
      </w:r>
      <w:r w:rsidRPr="005C36CB">
        <w:rPr>
          <w:rFonts w:ascii="Times New Roman" w:hAnsi="Times New Roman" w:cs="Times New Roman"/>
          <w:sz w:val="24"/>
          <w:szCs w:val="24"/>
        </w:rPr>
        <w:t>(15):4303-4307.</w:t>
      </w:r>
    </w:p>
    <w:p w14:paraId="740311C4" w14:textId="59628634" w:rsidR="00457119" w:rsidRPr="005C36CB" w:rsidRDefault="005C36CB" w:rsidP="005C36C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C36CB">
        <w:rPr>
          <w:rFonts w:ascii="Times New Roman" w:hAnsi="Times New Roman" w:cs="Times New Roman"/>
          <w:sz w:val="24"/>
          <w:szCs w:val="24"/>
        </w:rPr>
        <w:t>25.</w:t>
      </w:r>
      <w:r w:rsidRPr="005C36CB">
        <w:rPr>
          <w:rFonts w:ascii="Times New Roman" w:hAnsi="Times New Roman" w:cs="Times New Roman"/>
          <w:sz w:val="24"/>
          <w:szCs w:val="24"/>
        </w:rPr>
        <w:tab/>
        <w:t xml:space="preserve">Parisi LR, Li N, Atilla-Gokcumen GE: </w:t>
      </w:r>
      <w:r w:rsidRPr="005C36CB">
        <w:rPr>
          <w:rFonts w:ascii="Times New Roman" w:hAnsi="Times New Roman" w:cs="Times New Roman"/>
          <w:b/>
          <w:sz w:val="24"/>
          <w:szCs w:val="24"/>
        </w:rPr>
        <w:t>Very long chain fatty acids are functionally involved in necroptosis</w:t>
      </w:r>
      <w:r w:rsidRPr="005C36CB">
        <w:rPr>
          <w:rFonts w:ascii="Times New Roman" w:hAnsi="Times New Roman" w:cs="Times New Roman"/>
          <w:sz w:val="24"/>
          <w:szCs w:val="24"/>
        </w:rPr>
        <w:t xml:space="preserve">. </w:t>
      </w:r>
      <w:bookmarkStart w:id="11" w:name="_Hlk90372857"/>
      <w:r w:rsidRPr="00EB2E2A">
        <w:rPr>
          <w:rFonts w:ascii="Times New Roman" w:hAnsi="Times New Roman" w:cs="Times New Roman"/>
          <w:i/>
          <w:sz w:val="24"/>
          <w:szCs w:val="24"/>
        </w:rPr>
        <w:t>Cell Chem Biol</w:t>
      </w:r>
      <w:bookmarkEnd w:id="11"/>
      <w:r w:rsidRPr="005C36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36CB">
        <w:rPr>
          <w:rFonts w:ascii="Times New Roman" w:hAnsi="Times New Roman" w:cs="Times New Roman"/>
          <w:sz w:val="24"/>
          <w:szCs w:val="24"/>
        </w:rPr>
        <w:t xml:space="preserve">2017, </w:t>
      </w:r>
      <w:r w:rsidRPr="005C36CB">
        <w:rPr>
          <w:rFonts w:ascii="Times New Roman" w:hAnsi="Times New Roman" w:cs="Times New Roman"/>
          <w:b/>
          <w:sz w:val="24"/>
          <w:szCs w:val="24"/>
        </w:rPr>
        <w:t>24</w:t>
      </w:r>
      <w:r w:rsidRPr="005C36CB">
        <w:rPr>
          <w:rFonts w:ascii="Times New Roman" w:hAnsi="Times New Roman" w:cs="Times New Roman"/>
          <w:sz w:val="24"/>
          <w:szCs w:val="24"/>
        </w:rPr>
        <w:t>(12):1445-1454.e1448.</w:t>
      </w:r>
    </w:p>
    <w:sectPr w:rsidR="00457119" w:rsidRPr="005C36CB" w:rsidSect="009E5477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2F689" w14:textId="77777777" w:rsidR="00297EB5" w:rsidRDefault="00297EB5">
      <w:r>
        <w:separator/>
      </w:r>
    </w:p>
  </w:endnote>
  <w:endnote w:type="continuationSeparator" w:id="0">
    <w:p w14:paraId="4D277C66" w14:textId="77777777" w:rsidR="00297EB5" w:rsidRDefault="0029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1960072"/>
      <w:docPartObj>
        <w:docPartGallery w:val="Page Numbers (Bottom of Page)"/>
        <w:docPartUnique/>
      </w:docPartObj>
    </w:sdtPr>
    <w:sdtEndPr/>
    <w:sdtContent>
      <w:p w14:paraId="56BC78E9" w14:textId="77777777" w:rsidR="000B7839" w:rsidRDefault="005C36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77759DD" w14:textId="77777777" w:rsidR="000B7839" w:rsidRDefault="00297E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93E8" w14:textId="77777777" w:rsidR="00297EB5" w:rsidRDefault="00297EB5">
      <w:r>
        <w:separator/>
      </w:r>
    </w:p>
  </w:footnote>
  <w:footnote w:type="continuationSeparator" w:id="0">
    <w:p w14:paraId="494781FC" w14:textId="77777777" w:rsidR="00297EB5" w:rsidRDefault="00297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C36CB"/>
    <w:rsid w:val="00136E63"/>
    <w:rsid w:val="00160953"/>
    <w:rsid w:val="00297EB5"/>
    <w:rsid w:val="00457119"/>
    <w:rsid w:val="00550363"/>
    <w:rsid w:val="005C36CB"/>
    <w:rsid w:val="009E5477"/>
    <w:rsid w:val="00CC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F4204"/>
  <w15:chartTrackingRefBased/>
  <w15:docId w15:val="{7AB95037-9284-405A-B8F9-164347C4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6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6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6C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C36C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C36C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C36C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C36CB"/>
    <w:rPr>
      <w:rFonts w:ascii="等线" w:eastAsia="等线" w:hAnsi="等线"/>
      <w:noProof/>
      <w:sz w:val="20"/>
    </w:rPr>
  </w:style>
  <w:style w:type="character" w:styleId="a7">
    <w:name w:val="annotation reference"/>
    <w:basedOn w:val="a0"/>
    <w:uiPriority w:val="99"/>
    <w:semiHidden/>
    <w:unhideWhenUsed/>
    <w:rsid w:val="005C36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36CB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5C36CB"/>
    <w:rPr>
      <w:sz w:val="20"/>
      <w:szCs w:val="20"/>
    </w:rPr>
  </w:style>
  <w:style w:type="character" w:styleId="aa">
    <w:name w:val="line number"/>
    <w:basedOn w:val="a0"/>
    <w:uiPriority w:val="99"/>
    <w:semiHidden/>
    <w:unhideWhenUsed/>
    <w:rsid w:val="009E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2034</Words>
  <Characters>11596</Characters>
  <Application>Microsoft Office Word</Application>
  <DocSecurity>0</DocSecurity>
  <Lines>96</Lines>
  <Paragraphs>27</Paragraphs>
  <ScaleCrop>false</ScaleCrop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Elbo</dc:creator>
  <cp:keywords/>
  <dc:description/>
  <cp:lastModifiedBy>Elbo</cp:lastModifiedBy>
  <cp:revision>4</cp:revision>
  <dcterms:created xsi:type="dcterms:W3CDTF">2021-12-15T01:09:00Z</dcterms:created>
  <dcterms:modified xsi:type="dcterms:W3CDTF">2021-12-22T00:43:00Z</dcterms:modified>
</cp:coreProperties>
</file>