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30CEC" w14:textId="28470BBF" w:rsidR="006D305D" w:rsidRDefault="006D305D" w:rsidP="006D305D">
      <w:pPr>
        <w:spacing w:line="480" w:lineRule="auto"/>
        <w:contextualSpacing/>
        <w:mirrorIndents/>
        <w:rPr>
          <w:rFonts w:ascii="Arial" w:hAnsi="Arial" w:cs="Arial"/>
          <w:b/>
          <w:bCs/>
        </w:rPr>
      </w:pPr>
      <w:r w:rsidRPr="006D305D">
        <w:rPr>
          <w:rFonts w:ascii="Arial" w:hAnsi="Arial" w:cs="Arial"/>
          <w:b/>
          <w:bCs/>
        </w:rPr>
        <w:t>Supplementary Discussion</w:t>
      </w:r>
    </w:p>
    <w:p w14:paraId="489A7887" w14:textId="77777777" w:rsidR="00D93B50" w:rsidRPr="006D305D" w:rsidRDefault="00D93B50" w:rsidP="006D305D">
      <w:pPr>
        <w:spacing w:line="480" w:lineRule="auto"/>
        <w:contextualSpacing/>
        <w:mirrorIndents/>
        <w:rPr>
          <w:rFonts w:ascii="Arial" w:hAnsi="Arial" w:cs="Arial"/>
          <w:b/>
          <w:bCs/>
        </w:rPr>
      </w:pPr>
    </w:p>
    <w:p w14:paraId="7C639345" w14:textId="77777777" w:rsidR="006D305D" w:rsidRPr="00E6783B" w:rsidRDefault="006D305D" w:rsidP="006D305D">
      <w:pPr>
        <w:spacing w:line="480" w:lineRule="auto"/>
        <w:contextualSpacing/>
        <w:mirrorIndents/>
        <w:rPr>
          <w:rFonts w:ascii="Arial" w:hAnsi="Arial" w:cs="Arial"/>
          <w:b/>
          <w:bCs/>
          <w:sz w:val="22"/>
          <w:szCs w:val="22"/>
        </w:rPr>
      </w:pPr>
      <w:r w:rsidRPr="00E6783B">
        <w:rPr>
          <w:rFonts w:ascii="Arial" w:hAnsi="Arial" w:cs="Arial"/>
          <w:b/>
          <w:bCs/>
          <w:sz w:val="22"/>
          <w:szCs w:val="22"/>
        </w:rPr>
        <w:t>Characterization of two new phyla from deep-sea hydrothermal vent deposits</w:t>
      </w:r>
    </w:p>
    <w:p w14:paraId="1315C098" w14:textId="483DA4AB" w:rsidR="006D305D" w:rsidRPr="00E6783B" w:rsidRDefault="006D305D" w:rsidP="006D305D">
      <w:pPr>
        <w:spacing w:line="480" w:lineRule="auto"/>
        <w:contextualSpacing/>
        <w:mirrorIndents/>
        <w:rPr>
          <w:rFonts w:ascii="Arial" w:hAnsi="Arial" w:cs="Arial"/>
          <w:sz w:val="22"/>
          <w:szCs w:val="22"/>
        </w:rPr>
      </w:pPr>
      <w:r w:rsidRPr="00E6783B">
        <w:rPr>
          <w:rFonts w:ascii="Arial" w:hAnsi="Arial" w:cs="Arial"/>
          <w:sz w:val="22"/>
          <w:szCs w:val="22"/>
        </w:rPr>
        <w:t xml:space="preserve">We identified and characterized two novel bacterial phyla, “JALSQH01” and “JALWCF01” (using GTDB r202 as a reference). These two lineages contained 3 and 13 MAGs, respectively, and formed two distinct phylogenetic clades from other bacterial phyla (both with 100% IQ-TREE </w:t>
      </w:r>
      <w:proofErr w:type="spellStart"/>
      <w:r w:rsidRPr="00E6783B">
        <w:rPr>
          <w:rFonts w:ascii="Arial" w:hAnsi="Arial" w:cs="Arial"/>
          <w:sz w:val="22"/>
          <w:szCs w:val="22"/>
        </w:rPr>
        <w:t>UFBoot</w:t>
      </w:r>
      <w:proofErr w:type="spellEnd"/>
      <w:r w:rsidRPr="00E6783B">
        <w:rPr>
          <w:rFonts w:ascii="Arial" w:hAnsi="Arial" w:cs="Arial"/>
          <w:sz w:val="22"/>
          <w:szCs w:val="22"/>
        </w:rPr>
        <w:t xml:space="preserve"> support). Their relative evolutionary divergence values fell into the phylum range (Table S2) </w:t>
      </w:r>
      <w:r>
        <w:rPr>
          <w:rFonts w:ascii="Arial" w:hAnsi="Arial" w:cs="Arial"/>
          <w:sz w:val="22"/>
          <w:szCs w:val="22"/>
        </w:rPr>
        <w:fldChar w:fldCharType="begin" w:fldLock="1"/>
      </w:r>
      <w:r w:rsidR="00A34E91">
        <w:rPr>
          <w:rFonts w:ascii="Arial" w:hAnsi="Arial" w:cs="Arial"/>
          <w:sz w:val="22"/>
          <w:szCs w:val="22"/>
        </w:rPr>
        <w:instrText>ADDIN CSL_CITATION {"citationItems":[{"id":"ITEM-1","itemData":{"DOI":"10.1093/BIOINFORMATICS/BTZ848","ISSN":"1367-4803","abstract":"The Genome Taxonomy Database Toolkit (GTDB-Tk) provides objective taxonomic assignments for bacterial and archaeal genomes based on the GTDB. GTDB-Tk is computationally efficient and able to classify thousands of draft genomes in parallel. Here we demonstrate the accuracy of the GTDB-Tk taxonomic assignments by evaluating its performance on a phylogenetically diverse set of 10 156 bacterial and archaeal metagenome-assembled genomes.","author":[{"dropping-particle":"","family":"Chaumeil","given":"Pierre-Alain","non-dropping-particle":"","parse-names":false,"suffix":""},{"dropping-particle":"","family":"Mussig","given":"Aaron J.","non-dropping-particle":"","parse-names":false,"suffix":""},{"dropping-particle":"","family":"Hugenholtz","given":"Philip","non-dropping-particle":"","parse-names":false,"suffix":""},{"dropping-particle":"","family":"Parks","given":"Donovan H.","non-dropping-particle":"","parse-names":false,"suffix":""}],"container-title":"Bioinformatics","id":"ITEM-1","issue":"6","issued":{"date-parts":[["2020","3","1"]]},"page":"1925-1927","publisher":"Oxford Academic","title":"GTDB-Tk: a toolkit to classify genomes with the Genome Taxonomy Database","type":"article-journal","volume":"36"},"uris":["http://www.mendeley.com/documents/?uuid=36fd725a-ccd7-3d42-a7f7-6856a035f6d8"]}],"mendeley":{"formattedCitation":"[1]","plainTextFormattedCitation":"[1]","previouslyFormattedCitation":"[1]"},"properties":{"noteIndex":0},"schema":"https://github.com/citation-style-language/schema/raw/master/csl-citation.json"}</w:instrText>
      </w:r>
      <w:r>
        <w:rPr>
          <w:rFonts w:ascii="Arial" w:hAnsi="Arial" w:cs="Arial"/>
          <w:sz w:val="22"/>
          <w:szCs w:val="22"/>
        </w:rPr>
        <w:fldChar w:fldCharType="separate"/>
      </w:r>
      <w:r w:rsidRPr="006D305D">
        <w:rPr>
          <w:rFonts w:ascii="Arial" w:hAnsi="Arial" w:cs="Arial"/>
          <w:noProof/>
          <w:sz w:val="22"/>
          <w:szCs w:val="22"/>
        </w:rPr>
        <w:t>[1]</w:t>
      </w:r>
      <w:r>
        <w:rPr>
          <w:rFonts w:ascii="Arial" w:hAnsi="Arial" w:cs="Arial"/>
          <w:sz w:val="22"/>
          <w:szCs w:val="22"/>
        </w:rPr>
        <w:fldChar w:fldCharType="end"/>
      </w:r>
      <w:r w:rsidRPr="00E6783B">
        <w:rPr>
          <w:rFonts w:ascii="Arial" w:hAnsi="Arial" w:cs="Arial"/>
          <w:sz w:val="22"/>
          <w:szCs w:val="22"/>
        </w:rPr>
        <w:t>. JALSQH01 MAGs were distributed in MAR, Brothers volcano and ELSC, while JALWCF01 MAGs were only found at ELSC. Metabolic profiling suggested that members of both phyla were associated with aerobic lifestyles</w:t>
      </w:r>
      <w:r w:rsidR="00A20F47">
        <w:rPr>
          <w:rFonts w:ascii="Arial" w:hAnsi="Arial" w:cs="Arial"/>
          <w:sz w:val="22"/>
          <w:szCs w:val="22"/>
        </w:rPr>
        <w:t>,</w:t>
      </w:r>
      <w:r w:rsidRPr="00E6783B">
        <w:rPr>
          <w:rFonts w:ascii="Arial" w:hAnsi="Arial" w:cs="Arial"/>
          <w:sz w:val="22"/>
          <w:szCs w:val="22"/>
        </w:rPr>
        <w:t xml:space="preserve"> </w:t>
      </w:r>
      <w:r w:rsidR="00A20F47">
        <w:rPr>
          <w:rFonts w:ascii="Arial" w:hAnsi="Arial" w:cs="Arial"/>
          <w:sz w:val="22"/>
          <w:szCs w:val="22"/>
        </w:rPr>
        <w:t>utilizing</w:t>
      </w:r>
      <w:r w:rsidRPr="00E6783B">
        <w:rPr>
          <w:rFonts w:ascii="Arial" w:hAnsi="Arial" w:cs="Arial"/>
          <w:sz w:val="22"/>
          <w:szCs w:val="22"/>
        </w:rPr>
        <w:t xml:space="preserve"> peptides and polysaccharides</w:t>
      </w:r>
      <w:r w:rsidR="00A20F47">
        <w:rPr>
          <w:rFonts w:ascii="Arial" w:hAnsi="Arial" w:cs="Arial"/>
          <w:sz w:val="22"/>
          <w:szCs w:val="22"/>
        </w:rPr>
        <w:t xml:space="preserve"> as carbon sources</w:t>
      </w:r>
      <w:r w:rsidRPr="00E6783B">
        <w:rPr>
          <w:rFonts w:ascii="Arial" w:hAnsi="Arial" w:cs="Arial"/>
          <w:sz w:val="22"/>
          <w:szCs w:val="22"/>
        </w:rPr>
        <w:t xml:space="preserve"> (Fig. S6, Table S6). The genomes contained a variety of peptide, amino acid, sugar, polysaccharide, and lipopolysaccharide transporters. Members of both phyla also contained a diverse set of aminotransferases, amino acid utilization pathways to generate acetyl-CoA, and the ability to conduct glycolysis, beta-oxidation, phenol degradation, and benzoyl-CoA reduction suggesting that these organisms can utilize both aliphatic and aromatic fatty acids (Fig. S6, Table S6). Additionally, JALWCF01 MAGs harbored the capacity to oxidize C1 compounds including formate and CO (Fig. S6, Table S6) and fix carbon using the Wood-Ljungdahl pathway. Members of both phyla encode</w:t>
      </w:r>
      <w:r w:rsidR="00A20F47">
        <w:rPr>
          <w:rFonts w:ascii="Arial" w:hAnsi="Arial" w:cs="Arial"/>
          <w:sz w:val="22"/>
          <w:szCs w:val="22"/>
        </w:rPr>
        <w:t>d</w:t>
      </w:r>
      <w:r w:rsidRPr="00E6783B">
        <w:rPr>
          <w:rFonts w:ascii="Arial" w:hAnsi="Arial" w:cs="Arial"/>
          <w:sz w:val="22"/>
          <w:szCs w:val="22"/>
        </w:rPr>
        <w:t xml:space="preserve"> for cytochrome </w:t>
      </w:r>
      <w:r w:rsidRPr="003D1F62">
        <w:rPr>
          <w:rFonts w:ascii="Arial" w:hAnsi="Arial" w:cs="Arial"/>
          <w:i/>
          <w:iCs/>
          <w:sz w:val="22"/>
          <w:szCs w:val="22"/>
        </w:rPr>
        <w:t>bd</w:t>
      </w:r>
      <w:r w:rsidRPr="00E6783B">
        <w:rPr>
          <w:rFonts w:ascii="Arial" w:hAnsi="Arial" w:cs="Arial"/>
          <w:sz w:val="22"/>
          <w:szCs w:val="22"/>
        </w:rPr>
        <w:t xml:space="preserve"> ubiquinol oxidase that has high affinity for oxygen, hinting at a microaerobic lifestyle </w:t>
      </w:r>
      <w:r>
        <w:rPr>
          <w:rFonts w:ascii="Arial" w:hAnsi="Arial" w:cs="Arial"/>
          <w:sz w:val="22"/>
          <w:szCs w:val="22"/>
        </w:rPr>
        <w:fldChar w:fldCharType="begin" w:fldLock="1"/>
      </w:r>
      <w:r w:rsidR="00A34E91">
        <w:rPr>
          <w:rFonts w:ascii="Arial" w:hAnsi="Arial" w:cs="Arial"/>
          <w:sz w:val="22"/>
          <w:szCs w:val="22"/>
        </w:rPr>
        <w:instrText>ADDIN CSL_CITATION {"citationItems":[{"id":"ITEM-1","itemData":{"DOI":"10.1099/00221287-142-4-755/CITE/REFWORKS","ISSN":"13500872","PMID":"8936304","abstract":"Cytochrome bd is a respiratory oxidase in Escherichia coli and many other bacteria. It contains cytochromes b558, b595 and d as redox centres, and is thus unrelated to the haem-copper super-family of terminal oxidases. The apparent affinities (K(m)) for oxygen uptake by respiring cells and membranes from a mutant lacking the alternative oxidase cytochrome bo' were determined by deoxygenation of oxyleghaemoglobin as a sensitive reporter of dissolved oxygen concentration. Respiration rates were maximal at oxygen concentrations of 25-50 nM, but the kinetics were complex and indicative of substrate (i.e. oxygen) inhibition. K(m) values were in the range 3-8 nM (the lowest recorded for a respiratory oxidase), and K(i) values between 0.5 and 1.8 μM were obtained. Low temperature photodissociation of anoxic, CO-ligated membranes confirmed the absence of cytochrome bo' and revealed a high-spin b-type cytochrome identified as cytochrome b595 of the cytochrome bd complex. Photodissociation in the presence of oxygen revealed binding of a ligand (presumably oxygen) to cytochrome b595 at a rate much greater than that of CO binding, and formation of the oxygenated form of cytochrome d. The results confirm that both high-spin haems in the cytochrome bd complex bind CO and demonstrate that oxygen can also react with both haems, Substrate inhibition of oxidase activity, in addition to transcriptional regulation of oxidase synthesis, may play a crucial role in the regulation of partitioning of electron flux between the cytochrome bd- and bo'-terminated","author":[{"dropping-particle":"","family":"D'mello","given":"Rita","non-dropping-particle":"","parse-names":false,"suffix":""},{"dropping-particle":"","family":"Hill","given":"Susan","non-dropping-particle":"","parse-names":false,"suffix":""},{"dropping-particle":"","family":"Poole","given":"Robert K.","non-dropping-particle":"","parse-names":false,"suffix":""}],"container-title":"Microbiology","id":"ITEM-1","issue":"4","issued":{"date-parts":[["1996","4","1"]]},"page":"755-763","publisher":"Microbiology Society","title":"The cytochrome bd quinol oxidase in Escherichia coli has an extremely high oxygen affinity and two oxygen-binding haems: implications for regulation of activity in vivo by oxygen inhibition","type":"article-journal","volume":"142"},"uris":["http://www.mendeley.com/documents/?uuid=8364eba1-459d-3878-bbc9-a65fe93521f2"]}],"mendeley":{"formattedCitation":"[2]","plainTextFormattedCitation":"[2]","previouslyFormattedCitation":"[2]"},"properties":{"noteIndex":0},"schema":"https://github.com/citation-style-language/schema/raw/master/csl-citation.json"}</w:instrText>
      </w:r>
      <w:r>
        <w:rPr>
          <w:rFonts w:ascii="Arial" w:hAnsi="Arial" w:cs="Arial"/>
          <w:sz w:val="22"/>
          <w:szCs w:val="22"/>
        </w:rPr>
        <w:fldChar w:fldCharType="separate"/>
      </w:r>
      <w:r w:rsidRPr="006D305D">
        <w:rPr>
          <w:rFonts w:ascii="Arial" w:hAnsi="Arial" w:cs="Arial"/>
          <w:noProof/>
          <w:sz w:val="22"/>
          <w:szCs w:val="22"/>
        </w:rPr>
        <w:t>[2]</w:t>
      </w:r>
      <w:r>
        <w:rPr>
          <w:rFonts w:ascii="Arial" w:hAnsi="Arial" w:cs="Arial"/>
          <w:sz w:val="22"/>
          <w:szCs w:val="22"/>
        </w:rPr>
        <w:fldChar w:fldCharType="end"/>
      </w:r>
      <w:r w:rsidRPr="00E6783B">
        <w:rPr>
          <w:rFonts w:ascii="Arial" w:hAnsi="Arial" w:cs="Arial"/>
          <w:sz w:val="22"/>
          <w:szCs w:val="22"/>
        </w:rPr>
        <w:t xml:space="preserve">. Beyond central carbon and energy conservation metabolism, members of both phyla contained additional metabolic capacities for hydrogen oxidation, thiosulfate disproportionation, and arsenate, perchlorate, and selenate reduction. </w:t>
      </w:r>
      <w:r w:rsidR="00A20F47">
        <w:rPr>
          <w:rFonts w:ascii="Arial" w:hAnsi="Arial" w:cs="Arial"/>
          <w:sz w:val="22"/>
          <w:szCs w:val="22"/>
        </w:rPr>
        <w:t xml:space="preserve">The metabolic flexibility of these lineages can potentially </w:t>
      </w:r>
      <w:r w:rsidR="00AE6E09">
        <w:rPr>
          <w:rFonts w:ascii="Arial" w:hAnsi="Arial" w:cs="Arial"/>
          <w:sz w:val="22"/>
          <w:szCs w:val="22"/>
        </w:rPr>
        <w:t>provide</w:t>
      </w:r>
      <w:r w:rsidR="00A20F47">
        <w:rPr>
          <w:rFonts w:ascii="Arial" w:hAnsi="Arial" w:cs="Arial"/>
          <w:sz w:val="22"/>
          <w:szCs w:val="22"/>
        </w:rPr>
        <w:t xml:space="preserve"> </w:t>
      </w:r>
      <w:r w:rsidR="00AE6E09">
        <w:rPr>
          <w:rFonts w:ascii="Arial" w:hAnsi="Arial" w:cs="Arial"/>
          <w:sz w:val="22"/>
          <w:szCs w:val="22"/>
        </w:rPr>
        <w:t xml:space="preserve">them with the ability to adapt to ecologically dynamic environments </w:t>
      </w:r>
      <w:r>
        <w:rPr>
          <w:rFonts w:ascii="Arial" w:hAnsi="Arial" w:cs="Arial"/>
          <w:sz w:val="22"/>
          <w:szCs w:val="22"/>
        </w:rPr>
        <w:fldChar w:fldCharType="begin" w:fldLock="1"/>
      </w:r>
      <w:r w:rsidR="00A34E91">
        <w:rPr>
          <w:rFonts w:ascii="Arial" w:hAnsi="Arial" w:cs="Arial"/>
          <w:sz w:val="22"/>
          <w:szCs w:val="22"/>
        </w:rPr>
        <w:instrText>ADDIN CSL_CITATION {"citationItems":[{"id":"ITEM-1","itemData":{"DOI":"10.1038/S41579-019-0160-2","ISSN":"17401526","PMID":"30867583","abstract":"The discovery of chemosynthetic ecosystems at deep-sea hydrothermal vents in 1977 changed our view of biology. Chemosynthetic bacteria and archaea form the foundation of vent ecosystems by exploiting the chemical disequilibrium between reducing hydrothermal fluids and oxidizing seawater, harnessing this energy to fix inorganic carbon into biomass. Recent research has uncovered fundamental aspects of these microbial communities, including their relationships with underlying geology and hydrothermal geochemistry, interactions with animals via symbiosis and distribution both locally in various habitats within vent fields and globally across hydrothermal systems in diverse settings. Although ‘black smokers’ and symbioses between microorganisms and macrofauna attract much attention owing to their novelty and the insights they provide into life under extreme conditions, habitats such as regions of diffuse flow, subseafloor aquifers and hydrothermal plumes have important roles in the global cycling of elements through hydrothermal systems. Owing to sharp contrasts in physical and chemical conditions between these various habitats and their dynamic, extreme and geographically isolated nature, hydrothermal vents provide a valuable window into the environmental and ecological forces that shape microbial communities and insights into the limits, origins and evolution of microbial life.","author":[{"dropping-particle":"","family":"Dick","given":"Gregory J.","non-dropping-particle":"","parse-names":false,"suffix":""}],"container-title":"Nature Reviews Microbiology","id":"ITEM-1","issue":"5","issued":{"date-parts":[["2019","5","1"]]},"page":"271-283","publisher":"Nature Publishing Group","title":"The microbiomes of deep-sea hydrothermal vents: distributed globally, shaped locally.","type":"article-journal","volume":"17"},"uris":["http://www.mendeley.com/documents/?uuid=d3400303-e21c-3418-acd8-53ae2ea24f79"]},{"id":"ITEM-2","itemData":{"DOI":"10.1038/s41467-021-22736-6","abstract":"Geothermal environments, such as hot springs and hydrothermal vents, are hotspots for carbon cycling and contain many poorly described microbial taxa. Here, we reconstructed 15 archaeal metagenome-assembled genomes (MAGs) from terrestrial hot spring sediments in China and deep-sea hydrothermal vent sediments in Guaymas Basin, Gulf of California. Phylogenetic analyses of these MAGs indicate that they form a distinct group within the TACK superphylum, and thus we propose their classification as a new phylum, 'Brock-archaeota', named after Thomas Brock for his seminal research in hot springs. Based on the MAG sequence information, we infer that some Brockarchaeota are uniquely capable of mediating non-methanogenic anaerobic methylotrophy, via the tetrahydrofolate methyl branch of the Wood-Ljungdahl pathway and reductive glycine pathway. The hydrothermal vent genotypes appear to be obligate fermenters of plant-derived polysaccharides that rely mostly on substrate-level phosphorylation, as they seem to lack most respiratory complexes. In contrast, hot spring lineages have alternate pathways to increase their ATP yield, including anaerobic methylotrophy of methanol and trimethylamine, and potentially use geothermally derived mercury, arsenic, or hydrogen. Their broad distribution and their apparent anaerobic metabolic versatility indicate that Brockarchaeota may occupy previously overlooked roles in anaerobic carbon cycling.","author":[{"dropping-particle":"","family":"Anda","given":"Valerie","non-dropping-particle":"De","parse-names":false,"suffix":""},{"dropping-particle":"","family":"Chen","given":"Lin-Xing","non-dropping-particle":"","parse-names":false,"suffix":""},{"dropping-particle":"","family":"Dombrowski","given":"Nina","non-dropping-particle":"","parse-names":false,"suffix":""},{"dropping-particle":"","family":"Hua","given":"Zheng-Shuang","non-dropping-particle":"","parse-names":false,"suffix":""},{"dropping-particle":"","family":"Jiang","given":"Hong-Chen","non-dropping-particle":"","parse-names":false,"suffix":""},{"dropping-particle":"","family":"Banfield","given":"Jillian F","non-dropping-particle":"","parse-names":false,"suffix":""},{"dropping-particle":"","family":"Li","given":"Wen-Jun","non-dropping-particle":"","parse-names":false,"suffix":""},{"dropping-particle":"","family":"Baker","given":"Brett J","non-dropping-particle":"","parse-names":false,"suffix":""}],"container-title":"Nature Communications","id":"ITEM-2","issued":{"date-parts":[["2021"]]},"page":"2404","title":"Brockarchaeota, a novel archaeal phylum with unique and versatile carbon cycling pathways","type":"article-journal","volume":"12"},"uris":["http://www.mendeley.com/documents/?uuid=7e7d718a-c863-3182-bb4c-341a03b53bb3"]}],"mendeley":{"formattedCitation":"[3, 4]","plainTextFormattedCitation":"[3, 4]","previouslyFormattedCitation":"[3, 4]"},"properties":{"noteIndex":0},"schema":"https://github.com/citation-style-language/schema/raw/master/csl-citation.json"}</w:instrText>
      </w:r>
      <w:r>
        <w:rPr>
          <w:rFonts w:ascii="Arial" w:hAnsi="Arial" w:cs="Arial"/>
          <w:sz w:val="22"/>
          <w:szCs w:val="22"/>
        </w:rPr>
        <w:fldChar w:fldCharType="separate"/>
      </w:r>
      <w:r w:rsidRPr="006D305D">
        <w:rPr>
          <w:rFonts w:ascii="Arial" w:hAnsi="Arial" w:cs="Arial"/>
          <w:noProof/>
          <w:sz w:val="22"/>
          <w:szCs w:val="22"/>
        </w:rPr>
        <w:t>[3, 4]</w:t>
      </w:r>
      <w:r>
        <w:rPr>
          <w:rFonts w:ascii="Arial" w:hAnsi="Arial" w:cs="Arial"/>
          <w:sz w:val="22"/>
          <w:szCs w:val="22"/>
        </w:rPr>
        <w:fldChar w:fldCharType="end"/>
      </w:r>
      <w:r w:rsidRPr="00E6783B">
        <w:rPr>
          <w:rFonts w:ascii="Arial" w:hAnsi="Arial" w:cs="Arial"/>
          <w:sz w:val="22"/>
          <w:szCs w:val="22"/>
        </w:rPr>
        <w:t xml:space="preserve">. </w:t>
      </w:r>
    </w:p>
    <w:p w14:paraId="448A4AE1" w14:textId="275D6B5A" w:rsidR="006D305D" w:rsidRDefault="006D305D" w:rsidP="006D305D">
      <w:pPr>
        <w:spacing w:line="480" w:lineRule="auto"/>
        <w:contextualSpacing/>
        <w:mirrorIndents/>
        <w:rPr>
          <w:rFonts w:ascii="Arial" w:hAnsi="Arial" w:cs="Arial"/>
          <w:sz w:val="22"/>
          <w:szCs w:val="22"/>
        </w:rPr>
      </w:pPr>
    </w:p>
    <w:p w14:paraId="45EC29D8" w14:textId="77777777" w:rsidR="00AE6E09" w:rsidRPr="00E6783B" w:rsidRDefault="00AE6E09" w:rsidP="006D305D">
      <w:pPr>
        <w:spacing w:line="480" w:lineRule="auto"/>
        <w:contextualSpacing/>
        <w:mirrorIndents/>
        <w:rPr>
          <w:rFonts w:ascii="Arial" w:hAnsi="Arial" w:cs="Arial"/>
          <w:sz w:val="22"/>
          <w:szCs w:val="22"/>
        </w:rPr>
      </w:pPr>
    </w:p>
    <w:p w14:paraId="08677468" w14:textId="77777777" w:rsidR="006D305D" w:rsidRPr="00E6783B" w:rsidRDefault="006D305D" w:rsidP="006D305D">
      <w:pPr>
        <w:spacing w:line="480" w:lineRule="auto"/>
        <w:contextualSpacing/>
        <w:mirrorIndents/>
        <w:rPr>
          <w:rFonts w:ascii="Arial" w:hAnsi="Arial" w:cs="Arial"/>
          <w:b/>
          <w:bCs/>
          <w:sz w:val="22"/>
          <w:szCs w:val="22"/>
        </w:rPr>
      </w:pPr>
      <w:r w:rsidRPr="00E6783B">
        <w:rPr>
          <w:rFonts w:ascii="Arial" w:hAnsi="Arial" w:cs="Arial"/>
          <w:b/>
          <w:bCs/>
          <w:sz w:val="22"/>
          <w:szCs w:val="22"/>
        </w:rPr>
        <w:lastRenderedPageBreak/>
        <w:t xml:space="preserve">Successional changes in deep-sea hydrothermal vent deposits </w:t>
      </w:r>
    </w:p>
    <w:p w14:paraId="03E96505" w14:textId="0B4F32FA" w:rsidR="006D305D" w:rsidRPr="00E6783B" w:rsidRDefault="006D305D" w:rsidP="006D305D">
      <w:pPr>
        <w:spacing w:line="480" w:lineRule="auto"/>
        <w:contextualSpacing/>
        <w:mirrorIndents/>
        <w:rPr>
          <w:rFonts w:ascii="Arial" w:hAnsi="Arial" w:cs="Arial"/>
          <w:sz w:val="22"/>
          <w:szCs w:val="22"/>
        </w:rPr>
      </w:pPr>
      <w:r w:rsidRPr="00E6783B">
        <w:rPr>
          <w:rFonts w:ascii="Arial" w:hAnsi="Arial" w:cs="Arial"/>
          <w:sz w:val="22"/>
          <w:szCs w:val="22"/>
        </w:rPr>
        <w:t xml:space="preserve">The Guaymas samples in this study represent a community succession experiment, as previously described </w:t>
      </w:r>
      <w:r>
        <w:rPr>
          <w:rFonts w:ascii="Arial" w:hAnsi="Arial" w:cs="Arial"/>
          <w:sz w:val="22"/>
          <w:szCs w:val="22"/>
        </w:rPr>
        <w:fldChar w:fldCharType="begin" w:fldLock="1"/>
      </w:r>
      <w:r w:rsidR="00A34E91">
        <w:rPr>
          <w:rFonts w:ascii="Arial" w:hAnsi="Arial" w:cs="Arial"/>
          <w:sz w:val="22"/>
          <w:szCs w:val="22"/>
        </w:rPr>
        <w:instrText>ADDIN CSL_CITATION {"citationItems":[{"id":"ITEM-1","itemData":{"abstract":"Thermocouple arrays were deployed on two deep-sea hydrothermal\nvents at Guaymas Basin (27 degrees 0.5'N, 111 degrees 24.5'W) in\norder to measure in situ temperatures at which microorganisms\ncolonize the associated mineral deposits. Intact sections of\nthree structures that formed around the arrays were collected\nafter 4 and 72 day deployments (named BM4, BM72 and TS72).\nArchaeal diversity associated with discreet subsamples collected\nacross each deposit was determined by polymerase chain reaction\namplification of 16S rRNA genes. Spatial differences in archaeal\ndiversity were observed in all deposits and appeared related to\nin situ temperature. In BM4, no 16S rRNA genes were detected\nbeyond about 1.5 cm within the sample (&gt; 200 degrees C).\nPhylotypes detected on the outside of this deposit belong to\ntaxonomic groups containing mesophiles and (hyper)thermophiles,\nwhereas only putative hyperthermophiles were detected 1.5 cm\ninside the structure (approximately 110 degrees C). In contrast,\nthe more moderate thermal gradient recorded across TS72 was\nassociated with a deeper colonization (2-3 cm inside the deposit)\nof putative hyperthermophilic phylotypes. Although our study does\nnot provide a precise assessment of the highest temperature for\nthe existence of microbial habitats inside the deposits, archaeal\n16S rRNA genes were detected directly next to thermocouples that\nmeasured 110 degrees C (Methanocaldococcus spp. in BM4) and 116\ndegrees C (Desulfurococcaceae in TS72). The successive array\ndeployments conducted at the Broken Mushroom (BM) site also\nrevealed compositional differences in archaeal communities\nassociated with immature (BM4) and mature chimneys (BM72) formed\nby the same fluids. These differences suggest a temporal\ntransition in the primary carbon sources used by the archaeal\ncommunities, with potential CO(2)/H(2) methanogens prevalent in\nBM4 being replaced by possible methylotroph or acetoclastic\nmethanogens and heterotrophs in BM72. This study is the first\ndirect assessment of in situ conditions experienced by\nmicroorganisms inhabiting actively forming hydrothermal deposits\nat different stages of structure development.","author":[{"dropping-particle":"","family":"Pagé","given":"Antoine","non-dropping-particle":"","parse-names":false,"suffix":""},{"dropping-particle":"","family":"Tivey","given":"Margaret K","non-dropping-particle":"","parse-names":false,"suffix":""},{"dropping-particle":"","family":"Stakes","given":"Debra S","non-dropping-particle":"","parse-names":false,"suffix":""},{"dropping-particle":"","family":"Reysenbach","given":"Anna-Louise","non-dropping-particle":"","parse-names":false,"suffix":""}],"container-title":"Environ. Microbiol.","id":"ITEM-1","issue":"4","issued":{"date-parts":[["2008","4"]]},"page":"874-884","title":"Temporal and spatial archaeal colonization of hydrothermal vent deposits","type":"article-journal","volume":"10"},"uris":["http://www.mendeley.com/documents/?uuid=930148ce-9340-4632-8000-9b27708f8301"]},{"id":"ITEM-2","itemData":{"DOI":"10.3389/fmicb.2016.00075","ISBN":"1664-302X (Electronic)\\r1664-302X (Linking)","ISSN":"1664302X","PMID":"26925032","abstract":"The hydrothermal mats, mounds, and chimneys of the southern Guaymas Basin are the surface expression of complex subsurface hydrothermal circulation patterns. In this overview, we document the most frequently visited features of this hydrothermal area with photographs, temperature measurements, and selected geochemical data; many of these distinct habitats await characterization of their microbial communities and activities. Microprofiler deployments on microbial mats and hydrothermal sediments show their steep geochemical and thermal gradients at millimeter-scale vertical resolution. Mapping these hydrothermal features and sampling locations within the southern Guaymas Basin suggest linkages to underlying shallow sills and heat flow gradients. Recognizing the inherent spatial limitations of much current Guaymas Basin sampling calls for comprehensive surveys of the wider spreading region.","author":[{"dropping-particle":"","family":"Teske","given":"Andreas","non-dropping-particle":"","parse-names":false,"suffix":""},{"dropping-particle":"","family":"Beer","given":"Dirk","non-dropping-particle":"de","parse-names":false,"suffix":""},{"dropping-particle":"","family":"McKay","given":"Luke J.","non-dropping-particle":"","parse-names":false,"suffix":""},{"dropping-particle":"","family":"Tivey","given":"Margaret K.","non-dropping-particle":"","parse-names":false,"suffix":""},{"dropping-particle":"","family":"Biddle","given":"Jennifer F.","non-dropping-particle":"","parse-names":false,"suffix":""},{"dropping-particle":"","family":"Hoer","given":"Daniel","non-dropping-particle":"","parse-names":false,"suffix":""},{"dropping-particle":"","family":"Lloyd","given":"Karen G.","non-dropping-particle":"","parse-names":false,"suffix":""},{"dropping-particle":"","family":"Lever","given":"Mark A.","non-dropping-particle":"","parse-names":false,"suffix":""},{"dropping-particle":"","family":"Røy","given":"Hans","non-dropping-particle":"","parse-names":false,"suffix":""},{"dropping-particle":"","family":"Albert","given":"Daniel B.","non-dropping-particle":"","parse-names":false,"suffix":""},{"dropping-particle":"","family":"Mendlovitz","given":"Howard P.","non-dropping-particle":"","parse-names":false,"suffix":""},{"dropping-particle":"","family":"MacGregor","given":"Barbara J.","non-dropping-particle":"","parse-names":false,"suffix":""}],"container-title":"Frontiers in Microbiology","id":"ITEM-2","issued":{"date-parts":[["2016"]]},"page":"75","title":"The Guaymas Basin hiking guide to hydrothermal mounds, chimneys, and microbial mats: complex seafloor expressions of subsurface hydrothermal circulation","type":"article-journal","volume":"7"},"uris":["http://www.mendeley.com/documents/?uuid=759f3d82-b1cc-4dfd-82db-6f4e7225c660"]}],"mendeley":{"formattedCitation":"[5, 6]","plainTextFormattedCitation":"[5, 6]","previouslyFormattedCitation":"[5, 6]"},"properties":{"noteIndex":0},"schema":"https://github.com/citation-style-language/schema/raw/master/csl-citation.json"}</w:instrText>
      </w:r>
      <w:r>
        <w:rPr>
          <w:rFonts w:ascii="Arial" w:hAnsi="Arial" w:cs="Arial"/>
          <w:sz w:val="22"/>
          <w:szCs w:val="22"/>
        </w:rPr>
        <w:fldChar w:fldCharType="separate"/>
      </w:r>
      <w:r w:rsidRPr="006D305D">
        <w:rPr>
          <w:rFonts w:ascii="Arial" w:hAnsi="Arial" w:cs="Arial"/>
          <w:noProof/>
          <w:sz w:val="22"/>
          <w:szCs w:val="22"/>
        </w:rPr>
        <w:t>[5, 6]</w:t>
      </w:r>
      <w:r>
        <w:rPr>
          <w:rFonts w:ascii="Arial" w:hAnsi="Arial" w:cs="Arial"/>
          <w:sz w:val="22"/>
          <w:szCs w:val="22"/>
        </w:rPr>
        <w:fldChar w:fldCharType="end"/>
      </w:r>
      <w:r w:rsidRPr="00E6783B">
        <w:rPr>
          <w:rFonts w:ascii="Arial" w:hAnsi="Arial" w:cs="Arial"/>
          <w:sz w:val="22"/>
          <w:szCs w:val="22"/>
        </w:rPr>
        <w:t xml:space="preserve">. Samples represented here were collected during the AT15-55 expedition in 2009 using the submersible </w:t>
      </w:r>
      <w:r w:rsidRPr="003D1F62">
        <w:rPr>
          <w:rFonts w:ascii="Arial" w:hAnsi="Arial" w:cs="Arial"/>
          <w:i/>
          <w:iCs/>
          <w:sz w:val="22"/>
          <w:szCs w:val="22"/>
        </w:rPr>
        <w:t>Alvin</w:t>
      </w:r>
      <w:r w:rsidRPr="00E6783B">
        <w:rPr>
          <w:rFonts w:ascii="Arial" w:hAnsi="Arial" w:cs="Arial"/>
          <w:sz w:val="22"/>
          <w:szCs w:val="22"/>
        </w:rPr>
        <w:t>. A hydrothermal chimney was collected (4559-240), and a thermocouple array placed on the actively venting hydrothermal fluid (Fig. S2). After 6 days, mineral deposits and microbial mats accumulated on the array. Two samples were analyzed from this array (mostly orange mat 4561-380, and orange and white mat 4561-384). The array was placed back on the site, and after 15 days, a small hydrothermal deposit (4571-419) had developed on the array, which was then collected and analyzed.</w:t>
      </w:r>
    </w:p>
    <w:p w14:paraId="2BD51CE0" w14:textId="77777777" w:rsidR="006D305D" w:rsidRPr="00E6783B" w:rsidRDefault="006D305D" w:rsidP="006D305D">
      <w:pPr>
        <w:spacing w:line="480" w:lineRule="auto"/>
        <w:contextualSpacing/>
        <w:mirrorIndents/>
        <w:rPr>
          <w:rFonts w:ascii="Arial" w:hAnsi="Arial" w:cs="Arial"/>
          <w:sz w:val="22"/>
          <w:szCs w:val="22"/>
        </w:rPr>
      </w:pPr>
    </w:p>
    <w:p w14:paraId="2143B9E8" w14:textId="4E3B4285" w:rsidR="00013833" w:rsidRDefault="006D305D" w:rsidP="006D305D">
      <w:pPr>
        <w:spacing w:line="480" w:lineRule="auto"/>
        <w:contextualSpacing/>
        <w:mirrorIndents/>
        <w:rPr>
          <w:rFonts w:ascii="Arial" w:hAnsi="Arial" w:cs="Arial"/>
          <w:sz w:val="22"/>
          <w:szCs w:val="22"/>
        </w:rPr>
      </w:pPr>
      <w:r w:rsidRPr="00E6783B">
        <w:rPr>
          <w:rFonts w:ascii="Arial" w:hAnsi="Arial" w:cs="Arial"/>
          <w:sz w:val="22"/>
          <w:szCs w:val="22"/>
        </w:rPr>
        <w:t xml:space="preserve">Although the metagenomes are relatively small, shifts in MAG diversity and abundance over time were evident (Fig. S12A, Table S4). Most notable was an increase in archaeal MAG diversity over time (Fig. S12B). Initial colonization of the array was driven by </w:t>
      </w:r>
      <w:r w:rsidRPr="00AE6E09">
        <w:rPr>
          <w:rFonts w:ascii="Arial" w:hAnsi="Arial" w:cs="Arial"/>
          <w:i/>
          <w:iCs/>
          <w:sz w:val="22"/>
          <w:szCs w:val="22"/>
        </w:rPr>
        <w:t>Methanocaldococcus</w:t>
      </w:r>
      <w:r w:rsidRPr="00E6783B">
        <w:rPr>
          <w:rFonts w:ascii="Arial" w:hAnsi="Arial" w:cs="Arial"/>
          <w:sz w:val="22"/>
          <w:szCs w:val="22"/>
        </w:rPr>
        <w:t xml:space="preserve"> and </w:t>
      </w:r>
      <w:r w:rsidRPr="00AE6E09">
        <w:rPr>
          <w:rFonts w:ascii="Arial" w:hAnsi="Arial" w:cs="Arial"/>
          <w:i/>
          <w:iCs/>
          <w:sz w:val="22"/>
          <w:szCs w:val="22"/>
        </w:rPr>
        <w:t>Thermococcus</w:t>
      </w:r>
      <w:r w:rsidRPr="00E6783B">
        <w:rPr>
          <w:rFonts w:ascii="Arial" w:hAnsi="Arial" w:cs="Arial"/>
          <w:sz w:val="22"/>
          <w:szCs w:val="22"/>
        </w:rPr>
        <w:t xml:space="preserve">, prevalent Archaea at Guaymas basin vents </w:t>
      </w:r>
      <w:r>
        <w:rPr>
          <w:rFonts w:ascii="Arial" w:hAnsi="Arial" w:cs="Arial"/>
          <w:sz w:val="22"/>
          <w:szCs w:val="22"/>
        </w:rPr>
        <w:fldChar w:fldCharType="begin" w:fldLock="1"/>
      </w:r>
      <w:r w:rsidR="00516733">
        <w:rPr>
          <w:rFonts w:ascii="Arial" w:hAnsi="Arial" w:cs="Arial"/>
          <w:sz w:val="22"/>
          <w:szCs w:val="22"/>
        </w:rPr>
        <w:instrText>ADDIN CSL_CITATION {"citationItems":[{"id":"ITEM-1","itemData":{"DOI":"10.1007/BF00293552","ISSN":"1432-0991","abstract":"During the “Guaynaut” oceanographic cruise performed by IFREMER in November 1991, sediment cores were collected from high-temperature and petroleum-rich deposits in an active hydrothermal zone, at the Guaymas basin (Central gulf of California). Those samples were collected by the French deep-sea manned submersible “Nautile” at a depth of 2000 meters. Four sediment cores of 20–40-cm length were drilled at the bottom of a block assemblage of active smokers inside sediments whose temperatures were 3.5°C on the top to 105°C at 20 cm depth. They were subsampled in 22 slices of 5-cm thickness and used for isolation of heterotrophic hyperthermophilic microorganisms, after inoculation in sulfur-free SME liquid medium. From those enrichments 18 isolates were obtained, 2 growing at 95°C and 16 at 80°C, and their taxonomic characterization was undertaken. Lipid analysis indicated the presence of diethers and tetraethers in the cell walls and membranes, characteristic of Archaebacteria. Examinations by scanning electron microscopy showed that isolates were cocci of heterogeneous sizes (diameter from 0.1 to 0.5 micrometers) or thick, piled-up discs 0.5 μm thick and 1 μm in diameter. Both forms were embedded in a dense fiber network. Physiologically they were found to be anaerobic, heterotrophic, and hyperthermophilic (80°–95°C). Determination of the DNA base composition resulted in G + C mol % values ranging from 36 to 57. Qualitative hybridizations of the 18 isolate DNAs with hyperthermophilic Archaebacteria reference strain DNAs showed that hybridizations occurred neither with the two species of Pyrococcus nor with the two species of Desulfurococcus, nor with Staphylothermus marinus. On the other hand, all isolates hybridized with at least one of the three species of Thermococcus tested (T. celer, T. stetteri, T. litoralis). Restriction polymorphism on a PCR-amplified fragment of the rrn operon showed that 12 isolates had the same profile as T. celer and T. stetteri, 4 isolates had the same profile as T. litoralis, and 2 had new profiles, suggestive that they are new species.","author":[{"dropping-particle":"","family":"Antoine","given":"Elisabeth","non-dropping-particle":"","parse-names":false,"suffix":""},{"dropping-particle":"","family":"Guezennec","given":"J","non-dropping-particle":"","parse-names":false,"suffix":""},{"dropping-particle":"","family":"Meunier","given":"J R","non-dropping-particle":"","parse-names":false,"suffix":""},{"dropping-particle":"","family":"Lesongeur","given":"F","non-dropping-particle":"","parse-names":false,"suffix":""},{"dropping-particle":"","family":"Barbier","given":"G","non-dropping-particle":"","parse-names":false,"suffix":""}],"container-title":"Current Microbiology","id":"ITEM-1","issue":"3","issued":{"date-parts":[["1995"]]},"page":"186-192","title":"Isolation and characterization of extremely thermophilic archaebacteria related to the genus Thermococcus from deep-sea hydrothermal Guaymas Basin","type":"article-journal","volume":"31"},"uris":["http://www.mendeley.com/documents/?uuid=b11170fd-43f4-335d-a215-3ffa70e5ed3d"]},{"id":"ITEM-2","itemData":{"DOI":"10.1099/IJS.0.02503-0/CITE/REFWORKS","ISSN":"14665026","PMID":"12807211","abstract":"Enrichments for anaerobic organotrophic hyperthermophiles were performed with hydrothermal chimney samples collected at the Guaymas Basin (27° 01′ N, 111° 24′ W). Positive enrichments were submitted to γ-irradiation at a dose of 30 kGy. One of the resistant strains, designated strain EJ3T, formed regular motile cocci. The new strain grew between 55 and 95 °C, with an optimum growth temperature of 88 °C. The optimal pH for growth was 6.0, and the optimum NaCl concentration for growth was around 20 g l-1. Strain EJ3T was an obligately anaerobic heterotroph that utilized yeast extract, tryptone and peptone. Elemental sulfur or cystine was required for growth and reduced to hydrogen sulfide. The G + C content of the genomic DNA was 51.3 mol%. As determined by 16S rRNA gene sequence analysis, the organism was most closely related to Thermococcus celer, Thermococcus guaymasensis, Thermococcus hydrothermalis, Thermococcus profundus and Thermococcus gorgonarius. However, no significant homology was observed between them by DNA-DNA hybridization. The novel organism also possessed phenotypic traits that differ from those of its closest phylogenetic relatives. Therefore, it is proposed that this isolate, which constitutes the most radioresistant hyperthermophilic archaeon known to date, should be described as the type strain of a novel species, Thermococcus gammatolerans sp. nov. The type strain is EJ3T (= DSM 15229T = JCM 11827T).","author":[{"dropping-particle":"","family":"Jolivet","given":"Edmond","non-dropping-particle":"","parse-names":false,"suffix":""},{"dropping-particle":"","family":"L'Haridon","given":"Stéphane","non-dropping-particle":"","parse-names":false,"suffix":""},{"dropping-particle":"","family":"Corre","given":"Erwan","non-dropping-particle":"","parse-names":false,"suffix":""},{"dropping-particle":"","family":"Forterre","given":"Patrick","non-dropping-particle":"","parse-names":false,"suffix":""},{"dropping-particle":"","family":"Prieur","given":"Daniel","non-dropping-particle":"","parse-names":false,"suffix":""}],"container-title":"International Journal of Systematic and Evolutionary Microbiology","id":"ITEM-2","issue":"3","issued":{"date-parts":[["2003","5","1"]]},"page":"847-851","publisher":"Society for General Microbiology","title":"Thermococcus gammatolerans sp. nov., a hyperthermophilic archaeon from a deep-sea hydrothermal vent that resists ionizing radiation","type":"article-journal","volume":"53"},"uris":["http://www.mendeley.com/documents/?uuid=8c6b77ba-84fe-3eaa-a216-a49b5f0168be"]},{"id":"ITEM-3","itemData":{"DOI":"10.1007/978-3-030-34827-4_3","ISBN":"978-3-030-34827-4","abstract":"The hydrothermal sediments of Guaymas Basin in the Gulf of California combine several microbial ecosystems. Since Guaymas Basin is an active hydrothermal spreading center, it sustains chemosynthetic microbial communities with inorganic electron donors such as sulfide, hydrogen, ammonia, and reduced metals within steep thermal gradients of hydrothermal sediments and chimneys. At the same time, Guaymas Basin is an organic-rich continental margin site, where high sedimentation rates resulting from high phytoplankton productivity and terrestrial runoff produce organic-rich sediments that support abundant heterotrophic microbial populations. Most interesting in the context of hydrocarbon seepage, hydrothermal heating of organic-rich sediments creates hot hydrocarbon seeps in Guaymas Basin. Aliphatic and aromatic hydrocarbons are generated under high temperature and pressure in the subsurface, and migrate to the sediment surface where they are assimilated and oxidized by hydrocarbon-oxidizing bacteria and archaea. This complex habitat mosaic results in unusually diverse microbial communities with new phylogenetic lineages and surprising physiological capabilities. This chapter provides some background and highlights recent microbial discoveries in Guaymas Basin.","author":[{"dropping-particle":"","family":"Teske","given":"Andreas","non-dropping-particle":"","parse-names":false,"suffix":""}],"container-title":"Marine Hydrocarbon Seeps: Microbiology and Biogeochemistry of a Global Marine Habitat","editor":[{"dropping-particle":"","family":"Teske","given":"Andreas","non-dropping-particle":"","parse-names":false,"suffix":""},{"dropping-particle":"","family":"Carvalho","given":"Verena","non-dropping-particle":"","parse-names":false,"suffix":""}],"id":"ITEM-3","issued":{"date-parts":[["2020"]]},"page":"43-68","publisher":"Springer International Publishing","publisher-place":"Cham","title":"Guaymas Basin, a Hydrothermal Hydrocarbon Seep Ecosystem","type":"chapter"},"uris":["http://www.mendeley.com/documents/?uuid=f2544ebd-1db7-33a3-ad5b-f66d3f3fbee7"]}],"mendeley":{"formattedCitation":"[7–9]","plainTextFormattedCitation":"[7–9]","previouslyFormattedCitation":"[7–9]"},"properties":{"noteIndex":0},"schema":"https://github.com/citation-style-language/schema/raw/master/csl-citation.json"}</w:instrText>
      </w:r>
      <w:r>
        <w:rPr>
          <w:rFonts w:ascii="Arial" w:hAnsi="Arial" w:cs="Arial"/>
          <w:sz w:val="22"/>
          <w:szCs w:val="22"/>
        </w:rPr>
        <w:fldChar w:fldCharType="separate"/>
      </w:r>
      <w:r w:rsidRPr="006D305D">
        <w:rPr>
          <w:rFonts w:ascii="Arial" w:hAnsi="Arial" w:cs="Arial"/>
          <w:noProof/>
          <w:sz w:val="22"/>
          <w:szCs w:val="22"/>
        </w:rPr>
        <w:t>[7–9]</w:t>
      </w:r>
      <w:r>
        <w:rPr>
          <w:rFonts w:ascii="Arial" w:hAnsi="Arial" w:cs="Arial"/>
          <w:sz w:val="22"/>
          <w:szCs w:val="22"/>
        </w:rPr>
        <w:fldChar w:fldCharType="end"/>
      </w:r>
      <w:r w:rsidRPr="00E6783B">
        <w:rPr>
          <w:rFonts w:ascii="Arial" w:hAnsi="Arial" w:cs="Arial"/>
          <w:sz w:val="22"/>
          <w:szCs w:val="22"/>
        </w:rPr>
        <w:t xml:space="preserve">. After 15 days, these taxa were joined by members of </w:t>
      </w:r>
      <w:proofErr w:type="spellStart"/>
      <w:r w:rsidRPr="00E6783B">
        <w:rPr>
          <w:rFonts w:ascii="Arial" w:hAnsi="Arial" w:cs="Arial"/>
          <w:sz w:val="22"/>
          <w:szCs w:val="22"/>
        </w:rPr>
        <w:t>Nanoarchaeales</w:t>
      </w:r>
      <w:proofErr w:type="spellEnd"/>
      <w:r w:rsidRPr="00E6783B">
        <w:rPr>
          <w:rFonts w:ascii="Arial" w:hAnsi="Arial" w:cs="Arial"/>
          <w:sz w:val="22"/>
          <w:szCs w:val="22"/>
        </w:rPr>
        <w:t xml:space="preserve">, </w:t>
      </w:r>
      <w:proofErr w:type="spellStart"/>
      <w:r w:rsidRPr="00E6783B">
        <w:rPr>
          <w:rFonts w:ascii="Arial" w:hAnsi="Arial" w:cs="Arial"/>
          <w:sz w:val="22"/>
          <w:szCs w:val="22"/>
        </w:rPr>
        <w:t>Woesearchaeales</w:t>
      </w:r>
      <w:proofErr w:type="spellEnd"/>
      <w:r w:rsidRPr="00E6783B">
        <w:rPr>
          <w:rFonts w:ascii="Arial" w:hAnsi="Arial" w:cs="Arial"/>
          <w:sz w:val="22"/>
          <w:szCs w:val="22"/>
        </w:rPr>
        <w:t xml:space="preserve">, </w:t>
      </w:r>
      <w:proofErr w:type="spellStart"/>
      <w:r w:rsidRPr="00E6783B">
        <w:rPr>
          <w:rFonts w:ascii="Arial" w:hAnsi="Arial" w:cs="Arial"/>
          <w:sz w:val="22"/>
          <w:szCs w:val="22"/>
        </w:rPr>
        <w:t>Iainarchaeota</w:t>
      </w:r>
      <w:proofErr w:type="spellEnd"/>
      <w:r w:rsidRPr="00E6783B">
        <w:rPr>
          <w:rFonts w:ascii="Arial" w:hAnsi="Arial" w:cs="Arial"/>
          <w:sz w:val="22"/>
          <w:szCs w:val="22"/>
        </w:rPr>
        <w:t xml:space="preserve"> and Thermoproteota (</w:t>
      </w:r>
      <w:proofErr w:type="spellStart"/>
      <w:r w:rsidRPr="00E6783B">
        <w:rPr>
          <w:rFonts w:ascii="Arial" w:hAnsi="Arial" w:cs="Arial"/>
          <w:sz w:val="22"/>
          <w:szCs w:val="22"/>
        </w:rPr>
        <w:t>Pyrodictiaceae</w:t>
      </w:r>
      <w:proofErr w:type="spellEnd"/>
      <w:r w:rsidRPr="00E6783B">
        <w:rPr>
          <w:rFonts w:ascii="Arial" w:hAnsi="Arial" w:cs="Arial"/>
          <w:sz w:val="22"/>
          <w:szCs w:val="22"/>
        </w:rPr>
        <w:t>). While the original chimney had examples of all these initial colonizers, it ha</w:t>
      </w:r>
      <w:r>
        <w:rPr>
          <w:rFonts w:ascii="Arial" w:hAnsi="Arial" w:cs="Arial"/>
          <w:sz w:val="22"/>
          <w:szCs w:val="22"/>
        </w:rPr>
        <w:t>d</w:t>
      </w:r>
      <w:r w:rsidRPr="00E6783B">
        <w:rPr>
          <w:rFonts w:ascii="Arial" w:hAnsi="Arial" w:cs="Arial"/>
          <w:sz w:val="22"/>
          <w:szCs w:val="22"/>
        </w:rPr>
        <w:t xml:space="preserve"> a much richer diversity of the Thermoproteo</w:t>
      </w:r>
      <w:r>
        <w:rPr>
          <w:rFonts w:ascii="Arial" w:hAnsi="Arial" w:cs="Arial"/>
          <w:sz w:val="22"/>
          <w:szCs w:val="22"/>
        </w:rPr>
        <w:t>t</w:t>
      </w:r>
      <w:r w:rsidRPr="00E6783B">
        <w:rPr>
          <w:rFonts w:ascii="Arial" w:hAnsi="Arial" w:cs="Arial"/>
          <w:sz w:val="22"/>
          <w:szCs w:val="22"/>
        </w:rPr>
        <w:t xml:space="preserve">a (Table S2) and was also colonized by members of the Archaeoglobales and </w:t>
      </w:r>
      <w:proofErr w:type="spellStart"/>
      <w:r w:rsidRPr="00E6783B">
        <w:rPr>
          <w:rFonts w:ascii="Arial" w:hAnsi="Arial" w:cs="Arial"/>
          <w:sz w:val="22"/>
          <w:szCs w:val="22"/>
        </w:rPr>
        <w:t>Methanopyrales</w:t>
      </w:r>
      <w:proofErr w:type="spellEnd"/>
      <w:r w:rsidRPr="00E6783B">
        <w:rPr>
          <w:rFonts w:ascii="Arial" w:hAnsi="Arial" w:cs="Arial"/>
          <w:sz w:val="22"/>
          <w:szCs w:val="22"/>
        </w:rPr>
        <w:t xml:space="preserve">. Likewise, a greater complexity of Bacteria was seen in the mature chimney, with shifts in key taxa occurring over time. Early colonists included members of the Aquificota and Campylobacterota, which were gradually replaced in abundance by lineages such as the </w:t>
      </w:r>
      <w:proofErr w:type="spellStart"/>
      <w:r w:rsidRPr="00E6783B">
        <w:rPr>
          <w:rFonts w:ascii="Arial" w:hAnsi="Arial" w:cs="Arial"/>
          <w:sz w:val="22"/>
          <w:szCs w:val="22"/>
        </w:rPr>
        <w:t>Thermotogota</w:t>
      </w:r>
      <w:proofErr w:type="spellEnd"/>
      <w:r w:rsidRPr="00E6783B">
        <w:rPr>
          <w:rFonts w:ascii="Arial" w:hAnsi="Arial" w:cs="Arial"/>
          <w:sz w:val="22"/>
          <w:szCs w:val="22"/>
        </w:rPr>
        <w:t xml:space="preserve">, Desulfobacterota and </w:t>
      </w:r>
      <w:proofErr w:type="spellStart"/>
      <w:r w:rsidRPr="00E6783B">
        <w:rPr>
          <w:rFonts w:ascii="Arial" w:hAnsi="Arial" w:cs="Arial"/>
          <w:sz w:val="22"/>
          <w:szCs w:val="22"/>
        </w:rPr>
        <w:t>Caldisericota</w:t>
      </w:r>
      <w:proofErr w:type="spellEnd"/>
      <w:r w:rsidRPr="00E6783B">
        <w:rPr>
          <w:rFonts w:ascii="Arial" w:hAnsi="Arial" w:cs="Arial"/>
          <w:sz w:val="22"/>
          <w:szCs w:val="22"/>
        </w:rPr>
        <w:t xml:space="preserve"> (Fig. S7, Table S4). Significantly, potentially parasitic Gracilibacteria from the order Absconditabacterales were early colonizers that were subsequently not replaced and were present at all times through</w:t>
      </w:r>
      <w:r w:rsidR="004F448B">
        <w:rPr>
          <w:rFonts w:ascii="Arial" w:hAnsi="Arial" w:cs="Arial"/>
          <w:sz w:val="22"/>
          <w:szCs w:val="22"/>
        </w:rPr>
        <w:t>out</w:t>
      </w:r>
      <w:r w:rsidRPr="00E6783B">
        <w:rPr>
          <w:rFonts w:ascii="Arial" w:hAnsi="Arial" w:cs="Arial"/>
          <w:sz w:val="22"/>
          <w:szCs w:val="22"/>
        </w:rPr>
        <w:t xml:space="preserve"> the colonization experiment. Although generalizations associated with colonization of hydrothermal chimneys </w:t>
      </w:r>
      <w:r w:rsidR="004F448B">
        <w:rPr>
          <w:rFonts w:ascii="Arial" w:hAnsi="Arial" w:cs="Arial"/>
          <w:sz w:val="22"/>
          <w:szCs w:val="22"/>
        </w:rPr>
        <w:t>are</w:t>
      </w:r>
      <w:r w:rsidRPr="00E6783B">
        <w:rPr>
          <w:rFonts w:ascii="Arial" w:hAnsi="Arial" w:cs="Arial"/>
          <w:sz w:val="22"/>
          <w:szCs w:val="22"/>
        </w:rPr>
        <w:t xml:space="preserve"> not possible from this one time experiment without replication, it does follow a similar experiment </w:t>
      </w:r>
      <w:r>
        <w:rPr>
          <w:rFonts w:ascii="Arial" w:hAnsi="Arial" w:cs="Arial"/>
          <w:sz w:val="22"/>
          <w:szCs w:val="22"/>
        </w:rPr>
        <w:fldChar w:fldCharType="begin" w:fldLock="1"/>
      </w:r>
      <w:r w:rsidR="00A34E91">
        <w:rPr>
          <w:rFonts w:ascii="Arial" w:hAnsi="Arial" w:cs="Arial"/>
          <w:sz w:val="22"/>
          <w:szCs w:val="22"/>
        </w:rPr>
        <w:instrText>ADDIN CSL_CITATION {"citationItems":[{"id":"ITEM-1","itemData":{"abstract":"Thermocouple arrays were deployed on two deep-sea hydrothermal\nvents at Guaymas Basin (27 degrees 0.5'N, 111 degrees 24.5'W) in\norder to measure in situ temperatures at which microorganisms\ncolonize the associated mineral deposits. Intact sections of\nthree structures that formed around the arrays were collected\nafter 4 and 72 day deployments (named BM4, BM72 and TS72).\nArchaeal diversity associated with discreet subsamples collected\nacross each deposit was determined by polymerase chain reaction\namplification of 16S rRNA genes. Spatial differences in archaeal\ndiversity were observed in all deposits and appeared related to\nin situ temperature. In BM4, no 16S rRNA genes were detected\nbeyond about 1.5 cm within the sample (&gt; 200 degrees C).\nPhylotypes detected on the outside of this deposit belong to\ntaxonomic groups containing mesophiles and (hyper)thermophiles,\nwhereas only putative hyperthermophiles were detected 1.5 cm\ninside the structure (approximately 110 degrees C). In contrast,\nthe more moderate thermal gradient recorded across TS72 was\nassociated with a deeper colonization (2-3 cm inside the deposit)\nof putative hyperthermophilic phylotypes. Although our study does\nnot provide a precise assessment of the highest temperature for\nthe existence of microbial habitats inside the deposits, archaeal\n16S rRNA genes were detected directly next to thermocouples that\nmeasured 110 degrees C (Methanocaldococcus spp. in BM4) and 116\ndegrees C (Desulfurococcaceae in TS72). The successive array\ndeployments conducted at the Broken Mushroom (BM) site also\nrevealed compositional differences in archaeal communities\nassociated with immature (BM4) and mature chimneys (BM72) formed\nby the same fluids. These differences suggest a temporal\ntransition in the primary carbon sources used by the archaeal\ncommunities, with potential CO(2)/H(2) methanogens prevalent in\nBM4 being replaced by possible methylotroph or acetoclastic\nmethanogens and heterotrophs in BM72. This study is the first\ndirect assessment of in situ conditions experienced by\nmicroorganisms inhabiting actively forming hydrothermal deposits\nat different stages of structure development.","author":[{"dropping-particle":"","family":"Pagé","given":"Antoine","non-dropping-particle":"","parse-names":false,"suffix":""},{"dropping-particle":"","family":"Tivey","given":"Margaret K","non-dropping-particle":"","parse-names":false,"suffix":""},{"dropping-particle":"","family":"Stakes","given":"Debra S","non-dropping-particle":"","parse-names":false,"suffix":""},{"dropping-particle":"","family":"Reysenbach","given":"Anna-Louise","non-dropping-particle":"","parse-names":false,"suffix":""}],"container-title":"Environ. Microbiol.","id":"ITEM-1","issue":"4","issued":{"date-parts":[["2008","4"]]},"page":"874-884","title":"Temporal and spatial archaeal colonization of hydrothermal vent deposits","type":"article-journal","volume":"10"},"uris":["http://www.mendeley.com/documents/?uuid=930148ce-9340-4632-8000-9b27708f8301"]}],"mendeley":{"formattedCitation":"[5]","plainTextFormattedCitation":"[5]","previouslyFormattedCitation":"[5]"},"properties":{"noteIndex":0},"schema":"https://github.com/citation-style-language/schema/raw/master/csl-citation.json"}</w:instrText>
      </w:r>
      <w:r>
        <w:rPr>
          <w:rFonts w:ascii="Arial" w:hAnsi="Arial" w:cs="Arial"/>
          <w:sz w:val="22"/>
          <w:szCs w:val="22"/>
        </w:rPr>
        <w:fldChar w:fldCharType="separate"/>
      </w:r>
      <w:r w:rsidRPr="006D305D">
        <w:rPr>
          <w:rFonts w:ascii="Arial" w:hAnsi="Arial" w:cs="Arial"/>
          <w:noProof/>
          <w:sz w:val="22"/>
          <w:szCs w:val="22"/>
        </w:rPr>
        <w:t>[5]</w:t>
      </w:r>
      <w:r>
        <w:rPr>
          <w:rFonts w:ascii="Arial" w:hAnsi="Arial" w:cs="Arial"/>
          <w:sz w:val="22"/>
          <w:szCs w:val="22"/>
        </w:rPr>
        <w:fldChar w:fldCharType="end"/>
      </w:r>
      <w:r w:rsidRPr="00E6783B">
        <w:rPr>
          <w:rFonts w:ascii="Arial" w:hAnsi="Arial" w:cs="Arial"/>
          <w:sz w:val="22"/>
          <w:szCs w:val="22"/>
        </w:rPr>
        <w:t xml:space="preserve">, where diversity was </w:t>
      </w:r>
      <w:r w:rsidRPr="00E6783B">
        <w:rPr>
          <w:rFonts w:ascii="Arial" w:hAnsi="Arial" w:cs="Arial"/>
          <w:sz w:val="22"/>
          <w:szCs w:val="22"/>
        </w:rPr>
        <w:lastRenderedPageBreak/>
        <w:t>measured by 16S rRNA gene fragments (DGGE), and both provided insights into the potential shifts that can occur over time on actively forming chimneys.</w:t>
      </w:r>
    </w:p>
    <w:p w14:paraId="05957A9C" w14:textId="44553821" w:rsidR="006D305D" w:rsidRDefault="006D305D" w:rsidP="006D305D">
      <w:pPr>
        <w:spacing w:line="480" w:lineRule="auto"/>
        <w:contextualSpacing/>
        <w:mirrorIndents/>
        <w:rPr>
          <w:rFonts w:ascii="Arial" w:hAnsi="Arial" w:cs="Arial"/>
          <w:sz w:val="22"/>
          <w:szCs w:val="22"/>
        </w:rPr>
      </w:pPr>
    </w:p>
    <w:p w14:paraId="145732D1" w14:textId="44FB1F9A" w:rsidR="006D305D" w:rsidRPr="006D305D" w:rsidRDefault="006D305D" w:rsidP="006D305D">
      <w:pPr>
        <w:spacing w:line="480" w:lineRule="auto"/>
        <w:contextualSpacing/>
        <w:mirrorIndents/>
        <w:rPr>
          <w:rFonts w:ascii="Arial" w:hAnsi="Arial" w:cs="Arial"/>
          <w:b/>
          <w:bCs/>
        </w:rPr>
      </w:pPr>
      <w:r w:rsidRPr="006D305D">
        <w:rPr>
          <w:rFonts w:ascii="Arial" w:hAnsi="Arial" w:cs="Arial"/>
          <w:b/>
          <w:bCs/>
        </w:rPr>
        <w:t>Supplementary References</w:t>
      </w:r>
    </w:p>
    <w:p w14:paraId="3703BDB8" w14:textId="7384E975" w:rsidR="00516733" w:rsidRPr="00516733" w:rsidRDefault="006D305D" w:rsidP="00516733">
      <w:pPr>
        <w:widowControl w:val="0"/>
        <w:autoSpaceDE w:val="0"/>
        <w:autoSpaceDN w:val="0"/>
        <w:adjustRightInd w:val="0"/>
        <w:spacing w:line="480" w:lineRule="auto"/>
        <w:rPr>
          <w:rFonts w:ascii="Arial" w:hAnsi="Arial" w:cs="Arial"/>
          <w:noProof/>
          <w:sz w:val="22"/>
        </w:rPr>
      </w:pPr>
      <w:r>
        <w:rPr>
          <w:rFonts w:ascii="Arial" w:hAnsi="Arial" w:cs="Arial"/>
          <w:sz w:val="22"/>
          <w:szCs w:val="22"/>
        </w:rPr>
        <w:fldChar w:fldCharType="begin" w:fldLock="1"/>
      </w:r>
      <w:r>
        <w:rPr>
          <w:rFonts w:ascii="Arial" w:hAnsi="Arial" w:cs="Arial"/>
          <w:sz w:val="22"/>
          <w:szCs w:val="22"/>
        </w:rPr>
        <w:instrText xml:space="preserve">ADDIN Mendeley Bibliography CSL_BIBLIOGRAPHY </w:instrText>
      </w:r>
      <w:r>
        <w:rPr>
          <w:rFonts w:ascii="Arial" w:hAnsi="Arial" w:cs="Arial"/>
          <w:sz w:val="22"/>
          <w:szCs w:val="22"/>
        </w:rPr>
        <w:fldChar w:fldCharType="separate"/>
      </w:r>
      <w:r w:rsidR="00516733" w:rsidRPr="00516733">
        <w:rPr>
          <w:rFonts w:ascii="Arial" w:hAnsi="Arial" w:cs="Arial"/>
          <w:noProof/>
          <w:sz w:val="22"/>
        </w:rPr>
        <w:t>1. Chaumeil P-A, Mussig AJ, Hugenholtz P, Parks DH. GTDB-Tk: a toolkit to classify genomes with the Genome Taxonomy Database. Bioinformatics. 2020;36:1925–7.</w:t>
      </w:r>
    </w:p>
    <w:p w14:paraId="25921BE8" w14:textId="77777777" w:rsidR="00516733" w:rsidRPr="00516733" w:rsidRDefault="00516733" w:rsidP="00516733">
      <w:pPr>
        <w:widowControl w:val="0"/>
        <w:autoSpaceDE w:val="0"/>
        <w:autoSpaceDN w:val="0"/>
        <w:adjustRightInd w:val="0"/>
        <w:spacing w:line="480" w:lineRule="auto"/>
        <w:rPr>
          <w:rFonts w:ascii="Arial" w:hAnsi="Arial" w:cs="Arial"/>
          <w:noProof/>
          <w:sz w:val="22"/>
        </w:rPr>
      </w:pPr>
      <w:r w:rsidRPr="00516733">
        <w:rPr>
          <w:rFonts w:ascii="Arial" w:hAnsi="Arial" w:cs="Arial"/>
          <w:noProof/>
          <w:sz w:val="22"/>
        </w:rPr>
        <w:t xml:space="preserve">2. D’mello R, Hill S, Poole RK. The cytochrome </w:t>
      </w:r>
      <w:r w:rsidRPr="004F448B">
        <w:rPr>
          <w:rFonts w:ascii="Arial" w:hAnsi="Arial" w:cs="Arial"/>
          <w:i/>
          <w:iCs/>
          <w:noProof/>
          <w:sz w:val="22"/>
        </w:rPr>
        <w:t>bd</w:t>
      </w:r>
      <w:r w:rsidRPr="00516733">
        <w:rPr>
          <w:rFonts w:ascii="Arial" w:hAnsi="Arial" w:cs="Arial"/>
          <w:noProof/>
          <w:sz w:val="22"/>
        </w:rPr>
        <w:t xml:space="preserve"> quinol oxidase in </w:t>
      </w:r>
      <w:r w:rsidRPr="004F448B">
        <w:rPr>
          <w:rFonts w:ascii="Arial" w:hAnsi="Arial" w:cs="Arial"/>
          <w:i/>
          <w:iCs/>
          <w:noProof/>
          <w:sz w:val="22"/>
        </w:rPr>
        <w:t>Escherichia coli</w:t>
      </w:r>
      <w:r w:rsidRPr="00516733">
        <w:rPr>
          <w:rFonts w:ascii="Arial" w:hAnsi="Arial" w:cs="Arial"/>
          <w:noProof/>
          <w:sz w:val="22"/>
        </w:rPr>
        <w:t xml:space="preserve"> has an extremely high oxygen affinity and two oxygen-binding haems: implications for regulation of activity in vivo by oxygen inhibition. Microbiology. 1996;142:755–63.</w:t>
      </w:r>
    </w:p>
    <w:p w14:paraId="71454CF9" w14:textId="77777777" w:rsidR="00516733" w:rsidRPr="00516733" w:rsidRDefault="00516733" w:rsidP="00516733">
      <w:pPr>
        <w:widowControl w:val="0"/>
        <w:autoSpaceDE w:val="0"/>
        <w:autoSpaceDN w:val="0"/>
        <w:adjustRightInd w:val="0"/>
        <w:spacing w:line="480" w:lineRule="auto"/>
        <w:rPr>
          <w:rFonts w:ascii="Arial" w:hAnsi="Arial" w:cs="Arial"/>
          <w:noProof/>
          <w:sz w:val="22"/>
        </w:rPr>
      </w:pPr>
      <w:r w:rsidRPr="00516733">
        <w:rPr>
          <w:rFonts w:ascii="Arial" w:hAnsi="Arial" w:cs="Arial"/>
          <w:noProof/>
          <w:sz w:val="22"/>
        </w:rPr>
        <w:t>3. Dick GJ. The microbiomes of deep-sea hydrothermal vents: distributed globally, shaped locally. Nat Rev Microbiol. 2019;17:271–83.</w:t>
      </w:r>
    </w:p>
    <w:p w14:paraId="0AA6E76B" w14:textId="77777777" w:rsidR="00516733" w:rsidRPr="00516733" w:rsidRDefault="00516733" w:rsidP="00516733">
      <w:pPr>
        <w:widowControl w:val="0"/>
        <w:autoSpaceDE w:val="0"/>
        <w:autoSpaceDN w:val="0"/>
        <w:adjustRightInd w:val="0"/>
        <w:spacing w:line="480" w:lineRule="auto"/>
        <w:rPr>
          <w:rFonts w:ascii="Arial" w:hAnsi="Arial" w:cs="Arial"/>
          <w:noProof/>
          <w:sz w:val="22"/>
        </w:rPr>
      </w:pPr>
      <w:r w:rsidRPr="00516733">
        <w:rPr>
          <w:rFonts w:ascii="Arial" w:hAnsi="Arial" w:cs="Arial"/>
          <w:noProof/>
          <w:sz w:val="22"/>
        </w:rPr>
        <w:t>4. De Anda V, Chen L-X, Dombrowski N, Hua Z-S, Jiang H-C, Banfield JF, et al. Brockarchaeota, a novel archaeal phylum with unique and versatile carbon cycling pathways. Nat Commun. 2021;12:2404.</w:t>
      </w:r>
    </w:p>
    <w:p w14:paraId="4008AA32" w14:textId="77777777" w:rsidR="00516733" w:rsidRPr="00516733" w:rsidRDefault="00516733" w:rsidP="00516733">
      <w:pPr>
        <w:widowControl w:val="0"/>
        <w:autoSpaceDE w:val="0"/>
        <w:autoSpaceDN w:val="0"/>
        <w:adjustRightInd w:val="0"/>
        <w:spacing w:line="480" w:lineRule="auto"/>
        <w:rPr>
          <w:rFonts w:ascii="Arial" w:hAnsi="Arial" w:cs="Arial"/>
          <w:noProof/>
          <w:sz w:val="22"/>
        </w:rPr>
      </w:pPr>
      <w:r w:rsidRPr="00516733">
        <w:rPr>
          <w:rFonts w:ascii="Arial" w:hAnsi="Arial" w:cs="Arial"/>
          <w:noProof/>
          <w:sz w:val="22"/>
        </w:rPr>
        <w:t>5. Pagé A, Tivey MK, Stakes DS, Reysenbach A-L. Temporal and spatial archaeal colonization of hydrothermal vent deposits. Environ Microbiol. 2008;10:874–84.</w:t>
      </w:r>
    </w:p>
    <w:p w14:paraId="27760E17" w14:textId="77777777" w:rsidR="00516733" w:rsidRPr="00516733" w:rsidRDefault="00516733" w:rsidP="00516733">
      <w:pPr>
        <w:widowControl w:val="0"/>
        <w:autoSpaceDE w:val="0"/>
        <w:autoSpaceDN w:val="0"/>
        <w:adjustRightInd w:val="0"/>
        <w:spacing w:line="480" w:lineRule="auto"/>
        <w:rPr>
          <w:rFonts w:ascii="Arial" w:hAnsi="Arial" w:cs="Arial"/>
          <w:noProof/>
          <w:sz w:val="22"/>
        </w:rPr>
      </w:pPr>
      <w:r w:rsidRPr="00516733">
        <w:rPr>
          <w:rFonts w:ascii="Arial" w:hAnsi="Arial" w:cs="Arial"/>
          <w:noProof/>
          <w:sz w:val="22"/>
        </w:rPr>
        <w:t>6. Teske A, de Beer D, McKay LJ, Tivey MK, Biddle JF, Hoer D, et al. The Guaymas Basin hiking guide to hydrothermal mounds, chimneys, and microbial mats: complex seafloor expressions of subsurface hydrothermal circulation. Front Microbiol. 2016;7:75.</w:t>
      </w:r>
    </w:p>
    <w:p w14:paraId="77075E98" w14:textId="77777777" w:rsidR="00516733" w:rsidRPr="00516733" w:rsidRDefault="00516733" w:rsidP="00516733">
      <w:pPr>
        <w:widowControl w:val="0"/>
        <w:autoSpaceDE w:val="0"/>
        <w:autoSpaceDN w:val="0"/>
        <w:adjustRightInd w:val="0"/>
        <w:spacing w:line="480" w:lineRule="auto"/>
        <w:rPr>
          <w:rFonts w:ascii="Arial" w:hAnsi="Arial" w:cs="Arial"/>
          <w:noProof/>
          <w:sz w:val="22"/>
        </w:rPr>
      </w:pPr>
      <w:r w:rsidRPr="00516733">
        <w:rPr>
          <w:rFonts w:ascii="Arial" w:hAnsi="Arial" w:cs="Arial"/>
          <w:noProof/>
          <w:sz w:val="22"/>
        </w:rPr>
        <w:t xml:space="preserve">7. Antoine E, Guezennec J, Meunier JR, Lesongeur F, Barbier G. Isolation and characterization of extremely thermophilic archaebacteria related to the genus </w:t>
      </w:r>
      <w:r w:rsidRPr="004F448B">
        <w:rPr>
          <w:rFonts w:ascii="Arial" w:hAnsi="Arial" w:cs="Arial"/>
          <w:i/>
          <w:iCs/>
          <w:noProof/>
          <w:sz w:val="22"/>
        </w:rPr>
        <w:t>Thermococcus</w:t>
      </w:r>
      <w:r w:rsidRPr="00516733">
        <w:rPr>
          <w:rFonts w:ascii="Arial" w:hAnsi="Arial" w:cs="Arial"/>
          <w:noProof/>
          <w:sz w:val="22"/>
        </w:rPr>
        <w:t xml:space="preserve"> from deep-sea hydrothermal Guaymas Basin. Curr Microbiol. 1995;31:186–92.</w:t>
      </w:r>
    </w:p>
    <w:p w14:paraId="70C4F00A" w14:textId="77777777" w:rsidR="00516733" w:rsidRPr="00516733" w:rsidRDefault="00516733" w:rsidP="00516733">
      <w:pPr>
        <w:widowControl w:val="0"/>
        <w:autoSpaceDE w:val="0"/>
        <w:autoSpaceDN w:val="0"/>
        <w:adjustRightInd w:val="0"/>
        <w:spacing w:line="480" w:lineRule="auto"/>
        <w:rPr>
          <w:rFonts w:ascii="Arial" w:hAnsi="Arial" w:cs="Arial"/>
          <w:noProof/>
          <w:sz w:val="22"/>
        </w:rPr>
      </w:pPr>
      <w:r w:rsidRPr="00516733">
        <w:rPr>
          <w:rFonts w:ascii="Arial" w:hAnsi="Arial" w:cs="Arial"/>
          <w:noProof/>
          <w:sz w:val="22"/>
        </w:rPr>
        <w:t xml:space="preserve">8. Jolivet E, L’Haridon S, Corre E, Forterre P, Prieur D. </w:t>
      </w:r>
      <w:r w:rsidRPr="004F448B">
        <w:rPr>
          <w:rFonts w:ascii="Arial" w:hAnsi="Arial" w:cs="Arial"/>
          <w:i/>
          <w:iCs/>
          <w:noProof/>
          <w:sz w:val="22"/>
        </w:rPr>
        <w:t>Thermococcus gammatolerans</w:t>
      </w:r>
      <w:r w:rsidRPr="00516733">
        <w:rPr>
          <w:rFonts w:ascii="Arial" w:hAnsi="Arial" w:cs="Arial"/>
          <w:noProof/>
          <w:sz w:val="22"/>
        </w:rPr>
        <w:t xml:space="preserve"> sp. nov., a hyperthermophilic archaeon from a deep-sea hydrothermal vent that resists ionizing radiation. Int J Syst Evol Microbiol. 2003;53:847–51.</w:t>
      </w:r>
    </w:p>
    <w:p w14:paraId="4E39B587" w14:textId="77777777" w:rsidR="00516733" w:rsidRPr="00516733" w:rsidRDefault="00516733" w:rsidP="00516733">
      <w:pPr>
        <w:widowControl w:val="0"/>
        <w:autoSpaceDE w:val="0"/>
        <w:autoSpaceDN w:val="0"/>
        <w:adjustRightInd w:val="0"/>
        <w:spacing w:line="480" w:lineRule="auto"/>
        <w:rPr>
          <w:rFonts w:ascii="Arial" w:hAnsi="Arial" w:cs="Arial"/>
          <w:noProof/>
          <w:sz w:val="22"/>
        </w:rPr>
      </w:pPr>
      <w:r w:rsidRPr="00516733">
        <w:rPr>
          <w:rFonts w:ascii="Arial" w:hAnsi="Arial" w:cs="Arial"/>
          <w:noProof/>
          <w:sz w:val="22"/>
        </w:rPr>
        <w:t xml:space="preserve">9. Teske A. Guaymas Basin, a Hydrothermal Hydrocarbon Seep Ecosystem. In: Teske A, </w:t>
      </w:r>
      <w:r w:rsidRPr="00516733">
        <w:rPr>
          <w:rFonts w:ascii="Arial" w:hAnsi="Arial" w:cs="Arial"/>
          <w:noProof/>
          <w:sz w:val="22"/>
        </w:rPr>
        <w:lastRenderedPageBreak/>
        <w:t>Carvalho V, editors. Marine Hydrocarbon Seeps: Microbiology and Biogeochemistry of a Global Marine Habitat. Cham: Springer International Publishing; 2020. p. 43–68.</w:t>
      </w:r>
    </w:p>
    <w:p w14:paraId="70F830A2" w14:textId="16F5ECAA" w:rsidR="006D305D" w:rsidRPr="006D305D" w:rsidRDefault="006D305D" w:rsidP="00516733">
      <w:pPr>
        <w:widowControl w:val="0"/>
        <w:autoSpaceDE w:val="0"/>
        <w:autoSpaceDN w:val="0"/>
        <w:adjustRightInd w:val="0"/>
        <w:spacing w:line="480" w:lineRule="auto"/>
        <w:rPr>
          <w:rFonts w:ascii="Arial" w:hAnsi="Arial" w:cs="Arial"/>
          <w:sz w:val="22"/>
          <w:szCs w:val="22"/>
        </w:rPr>
      </w:pPr>
      <w:r>
        <w:rPr>
          <w:rFonts w:ascii="Arial" w:hAnsi="Arial" w:cs="Arial"/>
          <w:sz w:val="22"/>
          <w:szCs w:val="22"/>
        </w:rPr>
        <w:fldChar w:fldCharType="end"/>
      </w:r>
    </w:p>
    <w:sectPr w:rsidR="006D305D" w:rsidRPr="006D305D" w:rsidSect="00E6783B">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05D"/>
    <w:rsid w:val="00013833"/>
    <w:rsid w:val="004F448B"/>
    <w:rsid w:val="00516733"/>
    <w:rsid w:val="006D305D"/>
    <w:rsid w:val="0070263C"/>
    <w:rsid w:val="00A20F47"/>
    <w:rsid w:val="00A34E91"/>
    <w:rsid w:val="00AE6E09"/>
    <w:rsid w:val="00C47C35"/>
    <w:rsid w:val="00D93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6E1C2"/>
  <w15:chartTrackingRefBased/>
  <w15:docId w15:val="{9AFFCE39-8A75-C84E-8D9D-12764E9E2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0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6D3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E4C0F-CC14-8748-A624-6A2F25CE6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5038</Words>
  <Characters>28723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St. John</dc:creator>
  <cp:keywords/>
  <dc:description/>
  <cp:lastModifiedBy>Emily St. John</cp:lastModifiedBy>
  <cp:revision>4</cp:revision>
  <dcterms:created xsi:type="dcterms:W3CDTF">2022-08-04T18:04:00Z</dcterms:created>
  <dcterms:modified xsi:type="dcterms:W3CDTF">2022-08-05T20:46:00Z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http://www.zotero.org/styles/biomed-central</vt:lpwstr>
  </property>
  <property fmtid="{D5CDD505-2E9C-101B-9397-08002B2CF9AE}" pid="3" name="Mendeley Recent Style Name 0_1">
    <vt:lpwstr>BioMed Central</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http://www.zotero.org/styles/microbiome</vt:lpwstr>
  </property>
  <property fmtid="{D5CDD505-2E9C-101B-9397-08002B2CF9AE}" pid="9" name="Mendeley Recent Style Name 3_1">
    <vt:lpwstr>Microbiome</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http://www.zotero.org/styles/pnas</vt:lpwstr>
  </property>
  <property fmtid="{D5CDD505-2E9C-101B-9397-08002B2CF9AE}" pid="17" name="Mendeley Recent Style Name 7_1">
    <vt:lpwstr>Proceedings of the National Academy of Sciences of the United States of America</vt:lpwstr>
  </property>
  <property fmtid="{D5CDD505-2E9C-101B-9397-08002B2CF9AE}" pid="18" name="Mendeley Recent Style Id 8_1">
    <vt:lpwstr>http://csl.mendeley.com/styles/480993491/microbiome-modified</vt:lpwstr>
  </property>
  <property fmtid="{D5CDD505-2E9C-101B-9397-08002B2CF9AE}" pid="19" name="Mendeley Recent Style Name 8_1">
    <vt:lpwstr>Springer - Vancouver (brackets) - Emily St. John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c4b31b85-01f3-35f0-8616-538777451842</vt:lpwstr>
  </property>
  <property fmtid="{D5CDD505-2E9C-101B-9397-08002B2CF9AE}" pid="24" name="Mendeley Citation Style_1">
    <vt:lpwstr>http://www.zotero.org/styles/biomed-central</vt:lpwstr>
  </property>
</Properties>
</file>