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0470A2" w14:textId="243DA70A" w:rsidR="00CD63CE" w:rsidRDefault="001A29D8" w:rsidP="00D344C6">
      <w:pPr>
        <w:spacing w:line="480" w:lineRule="auto"/>
        <w:rPr>
          <w:rFonts w:ascii="Arial" w:hAnsi="Arial" w:cs="Arial"/>
          <w:b/>
          <w:lang w:val="en-GB"/>
        </w:rPr>
      </w:pPr>
      <w:bookmarkStart w:id="0" w:name="_GoBack"/>
      <w:bookmarkEnd w:id="0"/>
      <w:r w:rsidRPr="00CD63CE">
        <w:rPr>
          <w:rFonts w:ascii="Arial" w:hAnsi="Arial" w:cs="Arial"/>
          <w:b/>
          <w:lang w:val="en-GB"/>
        </w:rPr>
        <w:t>Additional file</w:t>
      </w:r>
      <w:r w:rsidR="00D344C6" w:rsidRPr="00CD63CE">
        <w:rPr>
          <w:rFonts w:ascii="Arial" w:hAnsi="Arial" w:cs="Arial"/>
          <w:b/>
          <w:lang w:val="en-GB"/>
        </w:rPr>
        <w:t xml:space="preserve"> </w:t>
      </w:r>
      <w:r w:rsidR="006939AF">
        <w:rPr>
          <w:rFonts w:ascii="Arial" w:hAnsi="Arial" w:cs="Arial"/>
          <w:b/>
          <w:lang w:val="en-GB"/>
        </w:rPr>
        <w:t>5</w:t>
      </w:r>
      <w:r w:rsidR="009D7041" w:rsidRPr="00CD63CE">
        <w:rPr>
          <w:rFonts w:ascii="Arial" w:hAnsi="Arial" w:cs="Arial"/>
          <w:b/>
          <w:lang w:val="en-GB"/>
        </w:rPr>
        <w:t>.</w:t>
      </w:r>
      <w:r w:rsidR="00CD63CE" w:rsidRPr="00CD63CE">
        <w:rPr>
          <w:rFonts w:ascii="Arial" w:hAnsi="Arial" w:cs="Arial"/>
          <w:b/>
          <w:lang w:val="en-GB"/>
        </w:rPr>
        <w:t xml:space="preserve"> </w:t>
      </w:r>
    </w:p>
    <w:p w14:paraId="3097AC12" w14:textId="4BA60C50" w:rsidR="0018420D" w:rsidRDefault="00CD63CE" w:rsidP="00D344C6">
      <w:pPr>
        <w:spacing w:line="480" w:lineRule="auto"/>
        <w:rPr>
          <w:rFonts w:ascii="Arial" w:hAnsi="Arial" w:cs="Arial"/>
          <w:b/>
          <w:lang w:val="en-GB"/>
        </w:rPr>
      </w:pPr>
      <w:r w:rsidRPr="00CD63CE">
        <w:rPr>
          <w:rFonts w:ascii="Arial" w:hAnsi="Arial" w:cs="Arial"/>
          <w:b/>
          <w:lang w:val="en-GB"/>
        </w:rPr>
        <w:t>Differentially abundant ASVs at different time points during the study.</w:t>
      </w:r>
    </w:p>
    <w:p w14:paraId="3C332BDC" w14:textId="77777777" w:rsidR="00CD63CE" w:rsidRPr="00CD63CE" w:rsidRDefault="00CD63CE" w:rsidP="00D344C6">
      <w:pPr>
        <w:spacing w:line="480" w:lineRule="auto"/>
        <w:rPr>
          <w:rFonts w:ascii="Arial" w:hAnsi="Arial" w:cs="Arial"/>
          <w:b/>
          <w:lang w:val="en-GB"/>
        </w:rPr>
      </w:pPr>
    </w:p>
    <w:p w14:paraId="0C2A0CEE" w14:textId="1DCE17BF" w:rsidR="00D344C6" w:rsidRDefault="00D344C6" w:rsidP="00D344C6">
      <w:pPr>
        <w:spacing w:line="480" w:lineRule="auto"/>
        <w:rPr>
          <w:rFonts w:ascii="Arial" w:hAnsi="Arial" w:cs="Arial"/>
          <w:b/>
          <w:lang w:val="en-GB"/>
        </w:rPr>
      </w:pPr>
      <w:r w:rsidRPr="00BB2A9A">
        <w:rPr>
          <w:rFonts w:ascii="Arial" w:hAnsi="Arial" w:cs="Arial"/>
          <w:b/>
          <w:lang w:val="en-GB"/>
        </w:rPr>
        <w:t>A</w:t>
      </w:r>
      <w:r w:rsidR="00BB2A9A" w:rsidRPr="00BB2A9A">
        <w:rPr>
          <w:rFonts w:ascii="Arial" w:hAnsi="Arial" w:cs="Arial"/>
          <w:b/>
          <w:lang w:val="en-GB"/>
        </w:rPr>
        <w:t xml:space="preserve"> </w:t>
      </w:r>
      <w:r w:rsidR="00101849">
        <w:rPr>
          <w:rFonts w:ascii="Arial" w:hAnsi="Arial" w:cs="Arial"/>
          <w:b/>
          <w:noProof/>
          <w:lang w:eastAsia="en-US"/>
        </w:rPr>
        <w:drawing>
          <wp:inline distT="0" distB="0" distL="0" distR="0" wp14:anchorId="4CB2A668" wp14:editId="5A03B147">
            <wp:extent cx="5755640" cy="313012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6"/>
                    <a:srcRect t="6570"/>
                    <a:stretch/>
                  </pic:blipFill>
                  <pic:spPr bwMode="auto">
                    <a:xfrm>
                      <a:off x="0" y="0"/>
                      <a:ext cx="5755640" cy="3130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5CF726" w14:textId="250ABFCB" w:rsidR="00AE1F49" w:rsidRPr="00D344C6" w:rsidRDefault="00AE1F49" w:rsidP="00D344C6">
      <w:pPr>
        <w:spacing w:line="48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B</w:t>
      </w:r>
    </w:p>
    <w:p w14:paraId="74DEB405" w14:textId="24AECC34" w:rsidR="0018420D" w:rsidRPr="00B21DCF" w:rsidRDefault="0085539F" w:rsidP="001E7652">
      <w:pPr>
        <w:pStyle w:val="NormalWeb"/>
        <w:spacing w:line="480" w:lineRule="auto"/>
        <w:rPr>
          <w:rFonts w:ascii="Arial" w:hAnsi="Arial" w:cs="Arial"/>
          <w:i/>
          <w:shd w:val="clear" w:color="auto" w:fill="FFFFFF"/>
          <w:lang w:val="en-GB"/>
        </w:rPr>
      </w:pPr>
      <w:r>
        <w:rPr>
          <w:rFonts w:ascii="Arial" w:hAnsi="Arial" w:cs="Arial"/>
          <w:i/>
          <w:noProof/>
          <w:shd w:val="clear" w:color="auto" w:fill="FFFFFF"/>
        </w:rPr>
        <w:drawing>
          <wp:inline distT="0" distB="0" distL="0" distR="0" wp14:anchorId="60DCA036" wp14:editId="70763F8F">
            <wp:extent cx="5755640" cy="333356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7"/>
                    <a:srcRect t="6322"/>
                    <a:stretch/>
                  </pic:blipFill>
                  <pic:spPr bwMode="auto">
                    <a:xfrm>
                      <a:off x="0" y="0"/>
                      <a:ext cx="5755640" cy="3333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D73B02" w14:textId="07E1EC0F" w:rsidR="00D344C6" w:rsidRPr="00D344C6" w:rsidRDefault="00AE1F49" w:rsidP="0018420D">
      <w:pPr>
        <w:autoSpaceDE w:val="0"/>
        <w:autoSpaceDN w:val="0"/>
        <w:adjustRightInd w:val="0"/>
        <w:spacing w:line="480" w:lineRule="auto"/>
        <w:rPr>
          <w:rFonts w:ascii="Arial" w:hAnsi="Arial" w:cs="Arial"/>
          <w:b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lastRenderedPageBreak/>
        <w:t>C</w:t>
      </w:r>
    </w:p>
    <w:p w14:paraId="270543A4" w14:textId="4D42968B" w:rsidR="001A3F42" w:rsidRPr="00B21DCF" w:rsidRDefault="0085539F" w:rsidP="001E7652">
      <w:pPr>
        <w:pStyle w:val="NormalWeb"/>
        <w:spacing w:line="480" w:lineRule="auto"/>
        <w:rPr>
          <w:rFonts w:ascii="Arial" w:hAnsi="Arial" w:cs="Arial"/>
          <w:i/>
          <w:shd w:val="clear" w:color="auto" w:fill="FFFFFF"/>
          <w:lang w:val="en-GB"/>
        </w:rPr>
      </w:pPr>
      <w:r>
        <w:rPr>
          <w:rFonts w:ascii="Arial" w:hAnsi="Arial" w:cs="Arial"/>
          <w:i/>
          <w:noProof/>
          <w:shd w:val="clear" w:color="auto" w:fill="FFFFFF"/>
        </w:rPr>
        <w:drawing>
          <wp:inline distT="0" distB="0" distL="0" distR="0" wp14:anchorId="0E962A3E" wp14:editId="5C34F606">
            <wp:extent cx="5755640" cy="333356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 rotWithShape="1">
                    <a:blip r:embed="rId8"/>
                    <a:srcRect t="6322"/>
                    <a:stretch/>
                  </pic:blipFill>
                  <pic:spPr bwMode="auto">
                    <a:xfrm>
                      <a:off x="0" y="0"/>
                      <a:ext cx="5755640" cy="33335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1B8D53" w14:textId="15DBA956" w:rsidR="0018420D" w:rsidRPr="00D344C6" w:rsidRDefault="00AE1F49" w:rsidP="001E7652">
      <w:pPr>
        <w:pStyle w:val="NormalWeb"/>
        <w:spacing w:line="480" w:lineRule="auto"/>
        <w:rPr>
          <w:rFonts w:ascii="Arial" w:hAnsi="Arial" w:cs="Arial"/>
          <w:b/>
          <w:bCs/>
          <w:iCs/>
          <w:shd w:val="clear" w:color="auto" w:fill="FFFFFF"/>
          <w:lang w:val="en-GB"/>
        </w:rPr>
      </w:pPr>
      <w:r>
        <w:rPr>
          <w:rFonts w:ascii="Arial" w:hAnsi="Arial" w:cs="Arial"/>
          <w:b/>
          <w:bCs/>
          <w:iCs/>
          <w:shd w:val="clear" w:color="auto" w:fill="FFFFFF"/>
          <w:lang w:val="en-GB"/>
        </w:rPr>
        <w:t>D</w:t>
      </w:r>
    </w:p>
    <w:p w14:paraId="6CDD5E77" w14:textId="366CCCA3" w:rsidR="00EF0576" w:rsidRPr="00B21DCF" w:rsidRDefault="00A36AED" w:rsidP="00A36AED">
      <w:pPr>
        <w:pStyle w:val="NormalWeb"/>
        <w:spacing w:line="480" w:lineRule="auto"/>
        <w:rPr>
          <w:rFonts w:ascii="Arial" w:hAnsi="Arial" w:cs="Arial"/>
          <w:i/>
          <w:lang w:val="en-GB"/>
        </w:rPr>
      </w:pPr>
      <w:r w:rsidRPr="00B21DCF">
        <w:rPr>
          <w:rFonts w:ascii="Arial" w:hAnsi="Arial" w:cs="Arial"/>
          <w:i/>
          <w:noProof/>
        </w:rPr>
        <w:drawing>
          <wp:inline distT="0" distB="0" distL="0" distR="0" wp14:anchorId="06F350ED" wp14:editId="3FDF48C6">
            <wp:extent cx="5755640" cy="320611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 rotWithShape="1">
                    <a:blip r:embed="rId9"/>
                    <a:srcRect t="5960"/>
                    <a:stretch/>
                  </pic:blipFill>
                  <pic:spPr bwMode="auto">
                    <a:xfrm>
                      <a:off x="0" y="0"/>
                      <a:ext cx="5755640" cy="3206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77B24E" w14:textId="77777777" w:rsidR="00B33C12" w:rsidRDefault="00B33C12" w:rsidP="00A36AED">
      <w:pPr>
        <w:autoSpaceDE w:val="0"/>
        <w:autoSpaceDN w:val="0"/>
        <w:adjustRightInd w:val="0"/>
        <w:spacing w:line="480" w:lineRule="auto"/>
        <w:rPr>
          <w:rFonts w:ascii="Arial" w:hAnsi="Arial" w:cs="Arial"/>
          <w:b/>
          <w:bCs/>
          <w:i/>
          <w:lang w:val="en-GB"/>
        </w:rPr>
      </w:pPr>
    </w:p>
    <w:p w14:paraId="2D02276E" w14:textId="6C3DED18" w:rsidR="00A36AED" w:rsidRPr="00B21DCF" w:rsidRDefault="001A29D8" w:rsidP="00A36AED">
      <w:pPr>
        <w:autoSpaceDE w:val="0"/>
        <w:autoSpaceDN w:val="0"/>
        <w:adjustRightInd w:val="0"/>
        <w:spacing w:line="48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b/>
          <w:bCs/>
          <w:i/>
          <w:lang w:val="en-GB"/>
        </w:rPr>
        <w:lastRenderedPageBreak/>
        <w:t>Additional</w:t>
      </w:r>
      <w:r w:rsidR="00D344C6">
        <w:rPr>
          <w:rFonts w:ascii="Arial" w:hAnsi="Arial" w:cs="Arial"/>
          <w:b/>
          <w:bCs/>
          <w:i/>
          <w:lang w:val="en-GB"/>
        </w:rPr>
        <w:t xml:space="preserve"> f</w:t>
      </w:r>
      <w:r w:rsidR="00A36AED" w:rsidRPr="00B21DCF">
        <w:rPr>
          <w:rFonts w:ascii="Arial" w:hAnsi="Arial" w:cs="Arial"/>
          <w:b/>
          <w:bCs/>
          <w:i/>
          <w:lang w:val="en-GB"/>
        </w:rPr>
        <w:t>i</w:t>
      </w:r>
      <w:r>
        <w:rPr>
          <w:rFonts w:ascii="Arial" w:hAnsi="Arial" w:cs="Arial"/>
          <w:b/>
          <w:bCs/>
          <w:i/>
          <w:lang w:val="en-GB"/>
        </w:rPr>
        <w:t>l</w:t>
      </w:r>
      <w:r w:rsidR="00A36AED" w:rsidRPr="00B21DCF">
        <w:rPr>
          <w:rFonts w:ascii="Arial" w:hAnsi="Arial" w:cs="Arial"/>
          <w:b/>
          <w:bCs/>
          <w:i/>
          <w:lang w:val="en-GB"/>
        </w:rPr>
        <w:t xml:space="preserve">e </w:t>
      </w:r>
      <w:r w:rsidR="00E46854">
        <w:rPr>
          <w:rFonts w:ascii="Arial" w:hAnsi="Arial" w:cs="Arial"/>
          <w:b/>
          <w:bCs/>
          <w:i/>
          <w:lang w:val="en-GB"/>
        </w:rPr>
        <w:t>5</w:t>
      </w:r>
      <w:r w:rsidR="001C665F">
        <w:rPr>
          <w:rFonts w:ascii="Arial" w:hAnsi="Arial" w:cs="Arial"/>
          <w:b/>
          <w:bCs/>
          <w:i/>
          <w:lang w:val="en-GB"/>
        </w:rPr>
        <w:t>.</w:t>
      </w:r>
      <w:r w:rsidR="00A36AED" w:rsidRPr="00B21DCF">
        <w:rPr>
          <w:rFonts w:ascii="Arial" w:hAnsi="Arial" w:cs="Arial"/>
          <w:i/>
          <w:lang w:val="en-GB"/>
        </w:rPr>
        <w:t xml:space="preserve"> </w:t>
      </w:r>
      <w:r w:rsidR="00EA0FB6" w:rsidRPr="00B21DCF">
        <w:rPr>
          <w:rFonts w:ascii="Arial" w:hAnsi="Arial" w:cs="Arial"/>
          <w:b/>
          <w:i/>
          <w:lang w:val="en-GB"/>
        </w:rPr>
        <w:t xml:space="preserve">Differentially abundant ASVs </w:t>
      </w:r>
      <w:r w:rsidR="00D344C6">
        <w:rPr>
          <w:rFonts w:ascii="Arial" w:hAnsi="Arial" w:cs="Arial"/>
          <w:b/>
          <w:i/>
          <w:lang w:val="en-GB"/>
        </w:rPr>
        <w:t>at different time points during the study</w:t>
      </w:r>
      <w:r w:rsidR="00EA0FB6" w:rsidRPr="00B21DCF">
        <w:rPr>
          <w:rFonts w:ascii="Arial" w:hAnsi="Arial" w:cs="Arial"/>
          <w:b/>
          <w:i/>
          <w:lang w:val="en-GB"/>
        </w:rPr>
        <w:t xml:space="preserve">. </w:t>
      </w:r>
      <w:r w:rsidR="00EA0FB6" w:rsidRPr="00B21DCF">
        <w:rPr>
          <w:rFonts w:ascii="Arial" w:hAnsi="Arial" w:cs="Arial"/>
          <w:bCs/>
          <w:iCs/>
          <w:lang w:val="en-GB"/>
        </w:rPr>
        <w:t>Differentially abundant ASVs grouped by family</w:t>
      </w:r>
      <w:r w:rsidR="00D344C6">
        <w:rPr>
          <w:rFonts w:ascii="Arial" w:hAnsi="Arial" w:cs="Arial"/>
          <w:bCs/>
          <w:iCs/>
          <w:lang w:val="en-GB"/>
        </w:rPr>
        <w:t>:</w:t>
      </w:r>
      <w:r w:rsidR="00EA0FB6" w:rsidRPr="00B21DCF">
        <w:rPr>
          <w:rFonts w:ascii="Arial" w:hAnsi="Arial" w:cs="Arial"/>
          <w:bCs/>
          <w:iCs/>
          <w:lang w:val="en-GB"/>
        </w:rPr>
        <w:t xml:space="preserve"> </w:t>
      </w:r>
      <w:r w:rsidR="00AE1F49">
        <w:rPr>
          <w:rFonts w:ascii="Arial" w:hAnsi="Arial" w:cs="Arial"/>
          <w:bCs/>
          <w:iCs/>
          <w:lang w:val="en-GB"/>
        </w:rPr>
        <w:t>A) before (D13-1) and after transportation (D13-2) of 1,5h duration to the hospital B</w:t>
      </w:r>
      <w:r w:rsidR="00D344C6">
        <w:rPr>
          <w:rFonts w:ascii="Arial" w:hAnsi="Arial" w:cs="Arial"/>
          <w:bCs/>
          <w:iCs/>
          <w:lang w:val="en-GB"/>
        </w:rPr>
        <w:t xml:space="preserve">) </w:t>
      </w:r>
      <w:r w:rsidR="00D344C6" w:rsidRPr="00B21DCF">
        <w:rPr>
          <w:rFonts w:ascii="Arial" w:hAnsi="Arial" w:cs="Arial"/>
          <w:bCs/>
          <w:iCs/>
          <w:lang w:val="en-GB"/>
        </w:rPr>
        <w:t>before hospitalization (D13</w:t>
      </w:r>
      <w:r w:rsidR="00AE1F49">
        <w:rPr>
          <w:rFonts w:ascii="Arial" w:hAnsi="Arial" w:cs="Arial"/>
          <w:bCs/>
          <w:iCs/>
          <w:lang w:val="en-GB"/>
        </w:rPr>
        <w:t>-1</w:t>
      </w:r>
      <w:r w:rsidR="00D344C6" w:rsidRPr="00B21DCF">
        <w:rPr>
          <w:rFonts w:ascii="Arial" w:hAnsi="Arial" w:cs="Arial"/>
          <w:bCs/>
          <w:iCs/>
          <w:lang w:val="en-GB"/>
        </w:rPr>
        <w:t>) and after one week of hospitalization without antimicrobial treatment (D2</w:t>
      </w:r>
      <w:r w:rsidR="008E7886">
        <w:rPr>
          <w:rFonts w:ascii="Arial" w:hAnsi="Arial" w:cs="Arial"/>
          <w:bCs/>
          <w:iCs/>
          <w:lang w:val="en-GB"/>
        </w:rPr>
        <w:t>1</w:t>
      </w:r>
      <w:r w:rsidR="00D344C6" w:rsidRPr="00B21DCF">
        <w:rPr>
          <w:rFonts w:ascii="Arial" w:hAnsi="Arial" w:cs="Arial"/>
          <w:bCs/>
          <w:iCs/>
          <w:lang w:val="en-GB"/>
        </w:rPr>
        <w:t>)</w:t>
      </w:r>
      <w:r w:rsidR="00D344C6">
        <w:rPr>
          <w:rFonts w:ascii="Arial" w:hAnsi="Arial" w:cs="Arial"/>
          <w:bCs/>
          <w:iCs/>
          <w:lang w:val="en-GB"/>
        </w:rPr>
        <w:t>,</w:t>
      </w:r>
      <w:r w:rsidR="00D344C6" w:rsidRPr="00B21DCF">
        <w:rPr>
          <w:rFonts w:ascii="Arial" w:hAnsi="Arial" w:cs="Arial"/>
          <w:bCs/>
          <w:iCs/>
          <w:lang w:val="en-GB"/>
        </w:rPr>
        <w:t xml:space="preserve"> </w:t>
      </w:r>
      <w:r w:rsidR="00E049C1">
        <w:rPr>
          <w:rFonts w:ascii="Arial" w:hAnsi="Arial" w:cs="Arial"/>
          <w:bCs/>
          <w:iCs/>
          <w:lang w:val="en-GB"/>
        </w:rPr>
        <w:t>C</w:t>
      </w:r>
      <w:r w:rsidR="00D344C6">
        <w:rPr>
          <w:rFonts w:ascii="Arial" w:hAnsi="Arial" w:cs="Arial"/>
          <w:bCs/>
          <w:iCs/>
          <w:lang w:val="en-GB"/>
        </w:rPr>
        <w:t xml:space="preserve">) </w:t>
      </w:r>
      <w:r w:rsidR="00D344C6" w:rsidRPr="00B21DCF">
        <w:rPr>
          <w:rFonts w:ascii="Arial" w:hAnsi="Arial" w:cs="Arial"/>
          <w:bCs/>
          <w:iCs/>
          <w:lang w:val="en-GB"/>
        </w:rPr>
        <w:t>before (D2</w:t>
      </w:r>
      <w:r w:rsidR="008E7886">
        <w:rPr>
          <w:rFonts w:ascii="Arial" w:hAnsi="Arial" w:cs="Arial"/>
          <w:bCs/>
          <w:iCs/>
          <w:lang w:val="en-GB"/>
        </w:rPr>
        <w:t>1</w:t>
      </w:r>
      <w:r w:rsidR="00D344C6" w:rsidRPr="00B21DCF">
        <w:rPr>
          <w:rFonts w:ascii="Arial" w:hAnsi="Arial" w:cs="Arial"/>
          <w:bCs/>
          <w:iCs/>
          <w:lang w:val="en-GB"/>
        </w:rPr>
        <w:t>) and after five days of treatment with TMS (D26)</w:t>
      </w:r>
      <w:r w:rsidR="00D344C6">
        <w:rPr>
          <w:rFonts w:ascii="Arial" w:hAnsi="Arial" w:cs="Arial"/>
          <w:bCs/>
          <w:iCs/>
          <w:lang w:val="en-GB"/>
        </w:rPr>
        <w:t xml:space="preserve"> </w:t>
      </w:r>
      <w:r w:rsidR="00D76C83">
        <w:rPr>
          <w:rFonts w:ascii="Arial" w:hAnsi="Arial" w:cs="Arial"/>
          <w:bCs/>
          <w:iCs/>
          <w:lang w:val="en-GB"/>
        </w:rPr>
        <w:t xml:space="preserve">and </w:t>
      </w:r>
      <w:r w:rsidR="00E049C1">
        <w:rPr>
          <w:rFonts w:ascii="Arial" w:hAnsi="Arial" w:cs="Arial"/>
          <w:bCs/>
          <w:iCs/>
          <w:lang w:val="en-GB"/>
        </w:rPr>
        <w:t>D</w:t>
      </w:r>
      <w:r w:rsidR="00D344C6">
        <w:rPr>
          <w:rFonts w:ascii="Arial" w:hAnsi="Arial" w:cs="Arial"/>
          <w:bCs/>
          <w:iCs/>
          <w:lang w:val="en-GB"/>
        </w:rPr>
        <w:t xml:space="preserve">) </w:t>
      </w:r>
      <w:r w:rsidR="00D76C83">
        <w:rPr>
          <w:rFonts w:ascii="Arial" w:hAnsi="Arial" w:cs="Arial"/>
          <w:bCs/>
          <w:iCs/>
          <w:lang w:val="en-GB"/>
        </w:rPr>
        <w:t xml:space="preserve">at </w:t>
      </w:r>
      <w:r w:rsidR="00EA0FB6" w:rsidRPr="00B21DCF">
        <w:rPr>
          <w:rFonts w:ascii="Arial" w:hAnsi="Arial" w:cs="Arial"/>
          <w:bCs/>
          <w:iCs/>
          <w:lang w:val="en-GB"/>
        </w:rPr>
        <w:t>the start (D0-13</w:t>
      </w:r>
      <w:r w:rsidR="006A4914">
        <w:rPr>
          <w:rFonts w:ascii="Arial" w:hAnsi="Arial" w:cs="Arial"/>
          <w:bCs/>
          <w:iCs/>
          <w:lang w:val="en-GB"/>
        </w:rPr>
        <w:t>-1</w:t>
      </w:r>
      <w:r w:rsidR="00EA0FB6" w:rsidRPr="00B21DCF">
        <w:rPr>
          <w:rFonts w:ascii="Arial" w:hAnsi="Arial" w:cs="Arial"/>
          <w:bCs/>
          <w:iCs/>
          <w:lang w:val="en-GB"/>
        </w:rPr>
        <w:t>) and the end (D180-211) of the study.</w:t>
      </w:r>
      <w:r w:rsidR="00E049C1">
        <w:rPr>
          <w:rFonts w:ascii="Arial" w:hAnsi="Arial" w:cs="Arial"/>
          <w:bCs/>
          <w:iCs/>
          <w:lang w:val="en-GB"/>
        </w:rPr>
        <w:t xml:space="preserve"> </w:t>
      </w:r>
      <w:r w:rsidR="00D01E43">
        <w:rPr>
          <w:rFonts w:ascii="Arial" w:hAnsi="Arial" w:cs="Arial"/>
          <w:bCs/>
          <w:iCs/>
          <w:lang w:val="en-GB"/>
        </w:rPr>
        <w:t xml:space="preserve">For this last comparison (D) </w:t>
      </w:r>
      <w:r w:rsidR="00E049C1">
        <w:rPr>
          <w:rFonts w:ascii="Arial" w:hAnsi="Arial" w:cs="Arial"/>
          <w:bCs/>
          <w:iCs/>
          <w:lang w:val="en-GB"/>
        </w:rPr>
        <w:t>the variable ‘horse’ was included as covariate in the model</w:t>
      </w:r>
      <w:r w:rsidR="00D01E43">
        <w:rPr>
          <w:rFonts w:ascii="Arial" w:hAnsi="Arial" w:cs="Arial"/>
          <w:bCs/>
          <w:iCs/>
          <w:lang w:val="en-GB"/>
        </w:rPr>
        <w:t xml:space="preserve"> since two samples were included in the start and end category instead of one (as was the case for all other comparisons)</w:t>
      </w:r>
      <w:r w:rsidR="00E049C1">
        <w:rPr>
          <w:rFonts w:ascii="Arial" w:hAnsi="Arial" w:cs="Arial"/>
          <w:bCs/>
          <w:iCs/>
          <w:lang w:val="en-GB"/>
        </w:rPr>
        <w:t>.</w:t>
      </w:r>
      <w:r w:rsidR="00D01E43">
        <w:rPr>
          <w:rFonts w:ascii="Arial" w:hAnsi="Arial" w:cs="Arial"/>
          <w:bCs/>
          <w:iCs/>
          <w:lang w:val="en-GB"/>
        </w:rPr>
        <w:t xml:space="preserve"> </w:t>
      </w:r>
      <w:r w:rsidR="00A36AED" w:rsidRPr="00B21DCF">
        <w:rPr>
          <w:rFonts w:ascii="Arial" w:hAnsi="Arial" w:cs="Arial"/>
          <w:lang w:val="en-GB"/>
        </w:rPr>
        <w:t xml:space="preserve">The log2 fold change in </w:t>
      </w:r>
      <w:r w:rsidR="00E049C1">
        <w:rPr>
          <w:rFonts w:ascii="Arial" w:hAnsi="Arial" w:cs="Arial"/>
          <w:lang w:val="en-GB"/>
        </w:rPr>
        <w:t>ASV</w:t>
      </w:r>
      <w:r w:rsidR="00E049C1" w:rsidRPr="00B21DCF">
        <w:rPr>
          <w:rFonts w:ascii="Arial" w:hAnsi="Arial" w:cs="Arial"/>
          <w:lang w:val="en-GB"/>
        </w:rPr>
        <w:t xml:space="preserve"> </w:t>
      </w:r>
      <w:r w:rsidR="00A36AED" w:rsidRPr="00B21DCF">
        <w:rPr>
          <w:rFonts w:ascii="Arial" w:hAnsi="Arial" w:cs="Arial"/>
          <w:lang w:val="en-GB"/>
        </w:rPr>
        <w:t xml:space="preserve">abundance is shown on the x-axis. ASVs assigned to bacterial families on the left side of the plot are less abundant in samples collected at the </w:t>
      </w:r>
      <w:r w:rsidR="00272D5F">
        <w:rPr>
          <w:rFonts w:ascii="Arial" w:hAnsi="Arial" w:cs="Arial"/>
          <w:lang w:val="en-GB"/>
        </w:rPr>
        <w:t xml:space="preserve">later time point </w:t>
      </w:r>
      <w:r w:rsidR="00A36AED" w:rsidRPr="00B21DCF">
        <w:rPr>
          <w:rFonts w:ascii="Arial" w:hAnsi="Arial" w:cs="Arial"/>
          <w:lang w:val="en-GB"/>
        </w:rPr>
        <w:t xml:space="preserve">compared to </w:t>
      </w:r>
      <w:r w:rsidR="00272D5F">
        <w:rPr>
          <w:rFonts w:ascii="Arial" w:hAnsi="Arial" w:cs="Arial"/>
          <w:lang w:val="en-GB"/>
        </w:rPr>
        <w:t xml:space="preserve">earlier time point of sample collection. </w:t>
      </w:r>
      <w:r w:rsidR="00A36AED" w:rsidRPr="00B21DCF">
        <w:rPr>
          <w:rFonts w:ascii="Arial" w:hAnsi="Arial" w:cs="Arial"/>
          <w:lang w:val="en-GB"/>
        </w:rPr>
        <w:t xml:space="preserve">ASVs assigned to families depicted on the right side of the plot are more abundant in samples collected at the </w:t>
      </w:r>
      <w:r w:rsidR="00272D5F">
        <w:rPr>
          <w:rFonts w:ascii="Arial" w:hAnsi="Arial" w:cs="Arial"/>
          <w:lang w:val="en-GB"/>
        </w:rPr>
        <w:t>later time point</w:t>
      </w:r>
      <w:r w:rsidR="00A36AED" w:rsidRPr="00B21DCF">
        <w:rPr>
          <w:rFonts w:ascii="Arial" w:hAnsi="Arial" w:cs="Arial"/>
          <w:lang w:val="en-GB"/>
        </w:rPr>
        <w:t xml:space="preserve"> compared to the </w:t>
      </w:r>
      <w:r w:rsidR="00272D5F">
        <w:rPr>
          <w:rFonts w:ascii="Arial" w:hAnsi="Arial" w:cs="Arial"/>
          <w:lang w:val="en-GB"/>
        </w:rPr>
        <w:t>earlier time point of sample collection</w:t>
      </w:r>
      <w:r w:rsidR="00A36AED" w:rsidRPr="00B21DCF">
        <w:rPr>
          <w:rFonts w:ascii="Arial" w:hAnsi="Arial" w:cs="Arial"/>
          <w:lang w:val="en-GB"/>
        </w:rPr>
        <w:t xml:space="preserve">. NA = ASV belonging to an unknown family (colours indicate the phylum). </w:t>
      </w:r>
    </w:p>
    <w:p w14:paraId="78C1291B" w14:textId="1B94132C" w:rsidR="007641DD" w:rsidRPr="00B21DCF" w:rsidRDefault="007641DD" w:rsidP="000B75BD">
      <w:pPr>
        <w:spacing w:line="480" w:lineRule="auto"/>
        <w:rPr>
          <w:rFonts w:ascii="Arial" w:hAnsi="Arial" w:cs="Arial"/>
          <w:b/>
          <w:lang w:val="en-GB"/>
        </w:rPr>
      </w:pPr>
    </w:p>
    <w:sectPr w:rsidR="007641DD" w:rsidRPr="00B21DCF" w:rsidSect="000B75BD">
      <w:footerReference w:type="even" r:id="rId10"/>
      <w:footerReference w:type="default" r:id="rId11"/>
      <w:pgSz w:w="11900" w:h="16840"/>
      <w:pgMar w:top="1418" w:right="1418" w:bottom="1418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0A4820" w14:textId="77777777" w:rsidR="001E500C" w:rsidRDefault="001E500C" w:rsidP="000B75BD">
      <w:r>
        <w:separator/>
      </w:r>
    </w:p>
  </w:endnote>
  <w:endnote w:type="continuationSeparator" w:id="0">
    <w:p w14:paraId="5CFE8568" w14:textId="77777777" w:rsidR="001E500C" w:rsidRDefault="001E500C" w:rsidP="000B7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177F1" w14:textId="77777777" w:rsidR="007A6BAE" w:rsidRDefault="007A6BAE" w:rsidP="000B75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3A31AA3" w14:textId="77777777" w:rsidR="007A6BAE" w:rsidRDefault="007A6B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5D20C" w14:textId="6BB0B5FD" w:rsidR="007A6BAE" w:rsidRDefault="007A6BAE" w:rsidP="000B75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B2C07">
      <w:rPr>
        <w:rStyle w:val="PageNumber"/>
        <w:noProof/>
      </w:rPr>
      <w:t>1</w:t>
    </w:r>
    <w:r>
      <w:rPr>
        <w:rStyle w:val="PageNumber"/>
      </w:rPr>
      <w:fldChar w:fldCharType="end"/>
    </w:r>
  </w:p>
  <w:p w14:paraId="4AA80747" w14:textId="77777777" w:rsidR="007A6BAE" w:rsidRDefault="007A6B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EE7F40" w14:textId="77777777" w:rsidR="001E500C" w:rsidRDefault="001E500C" w:rsidP="000B75BD">
      <w:r>
        <w:separator/>
      </w:r>
    </w:p>
  </w:footnote>
  <w:footnote w:type="continuationSeparator" w:id="0">
    <w:p w14:paraId="3E04E7E6" w14:textId="77777777" w:rsidR="001E500C" w:rsidRDefault="001E500C" w:rsidP="000B75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5BD"/>
    <w:rsid w:val="00000A06"/>
    <w:rsid w:val="00001046"/>
    <w:rsid w:val="00011CDF"/>
    <w:rsid w:val="00015873"/>
    <w:rsid w:val="00021B9D"/>
    <w:rsid w:val="00024995"/>
    <w:rsid w:val="00024C9D"/>
    <w:rsid w:val="00027571"/>
    <w:rsid w:val="000305C4"/>
    <w:rsid w:val="0003141B"/>
    <w:rsid w:val="00034144"/>
    <w:rsid w:val="00035275"/>
    <w:rsid w:val="000367B8"/>
    <w:rsid w:val="00045683"/>
    <w:rsid w:val="00053E89"/>
    <w:rsid w:val="00063382"/>
    <w:rsid w:val="0006354B"/>
    <w:rsid w:val="000642B3"/>
    <w:rsid w:val="00064E73"/>
    <w:rsid w:val="00073924"/>
    <w:rsid w:val="00082059"/>
    <w:rsid w:val="0008398E"/>
    <w:rsid w:val="00083B0E"/>
    <w:rsid w:val="00086769"/>
    <w:rsid w:val="00091C1C"/>
    <w:rsid w:val="00094BE1"/>
    <w:rsid w:val="000957B0"/>
    <w:rsid w:val="00097BB0"/>
    <w:rsid w:val="000A0A34"/>
    <w:rsid w:val="000A0B95"/>
    <w:rsid w:val="000A0BD3"/>
    <w:rsid w:val="000A58E1"/>
    <w:rsid w:val="000A6AD8"/>
    <w:rsid w:val="000B75BD"/>
    <w:rsid w:val="000C5F0F"/>
    <w:rsid w:val="000C7F92"/>
    <w:rsid w:val="000D370D"/>
    <w:rsid w:val="000D40E5"/>
    <w:rsid w:val="000E049A"/>
    <w:rsid w:val="000E3886"/>
    <w:rsid w:val="000F07FE"/>
    <w:rsid w:val="000F25A0"/>
    <w:rsid w:val="00101849"/>
    <w:rsid w:val="00103D8B"/>
    <w:rsid w:val="0011150D"/>
    <w:rsid w:val="0012108D"/>
    <w:rsid w:val="00123AA1"/>
    <w:rsid w:val="00132364"/>
    <w:rsid w:val="00132C3A"/>
    <w:rsid w:val="00135D7D"/>
    <w:rsid w:val="001406F4"/>
    <w:rsid w:val="00140A30"/>
    <w:rsid w:val="0014265C"/>
    <w:rsid w:val="001474AB"/>
    <w:rsid w:val="001479C4"/>
    <w:rsid w:val="00147DD6"/>
    <w:rsid w:val="001539D6"/>
    <w:rsid w:val="00157D7F"/>
    <w:rsid w:val="00161050"/>
    <w:rsid w:val="0016238C"/>
    <w:rsid w:val="00162EA5"/>
    <w:rsid w:val="00164534"/>
    <w:rsid w:val="00167FC1"/>
    <w:rsid w:val="0017090A"/>
    <w:rsid w:val="00174F86"/>
    <w:rsid w:val="0018420D"/>
    <w:rsid w:val="0019456F"/>
    <w:rsid w:val="00196297"/>
    <w:rsid w:val="001A1E8A"/>
    <w:rsid w:val="001A29D8"/>
    <w:rsid w:val="001A3F42"/>
    <w:rsid w:val="001C3B7B"/>
    <w:rsid w:val="001C3DA8"/>
    <w:rsid w:val="001C56B8"/>
    <w:rsid w:val="001C665F"/>
    <w:rsid w:val="001D7A3D"/>
    <w:rsid w:val="001E3BCC"/>
    <w:rsid w:val="001E500C"/>
    <w:rsid w:val="001E739A"/>
    <w:rsid w:val="001E7652"/>
    <w:rsid w:val="00211745"/>
    <w:rsid w:val="00221BF7"/>
    <w:rsid w:val="002229E0"/>
    <w:rsid w:val="00225680"/>
    <w:rsid w:val="00237E39"/>
    <w:rsid w:val="0024319C"/>
    <w:rsid w:val="002455C1"/>
    <w:rsid w:val="00246255"/>
    <w:rsid w:val="00246B65"/>
    <w:rsid w:val="00247E51"/>
    <w:rsid w:val="00250D22"/>
    <w:rsid w:val="00252373"/>
    <w:rsid w:val="002612A1"/>
    <w:rsid w:val="00267BD1"/>
    <w:rsid w:val="00272D5F"/>
    <w:rsid w:val="0027371F"/>
    <w:rsid w:val="002738CD"/>
    <w:rsid w:val="00275C90"/>
    <w:rsid w:val="002773BD"/>
    <w:rsid w:val="00280085"/>
    <w:rsid w:val="00283437"/>
    <w:rsid w:val="00297C61"/>
    <w:rsid w:val="002A2D95"/>
    <w:rsid w:val="002A62C3"/>
    <w:rsid w:val="002E0E9B"/>
    <w:rsid w:val="002E36DB"/>
    <w:rsid w:val="002F4C48"/>
    <w:rsid w:val="002F5965"/>
    <w:rsid w:val="00310175"/>
    <w:rsid w:val="00311CF1"/>
    <w:rsid w:val="00315AF4"/>
    <w:rsid w:val="003279B5"/>
    <w:rsid w:val="00335514"/>
    <w:rsid w:val="00337298"/>
    <w:rsid w:val="003379EB"/>
    <w:rsid w:val="003405C6"/>
    <w:rsid w:val="00341509"/>
    <w:rsid w:val="00344E38"/>
    <w:rsid w:val="003511F7"/>
    <w:rsid w:val="00356297"/>
    <w:rsid w:val="00393C8B"/>
    <w:rsid w:val="003C3A0B"/>
    <w:rsid w:val="003D0229"/>
    <w:rsid w:val="003E59EF"/>
    <w:rsid w:val="00405279"/>
    <w:rsid w:val="0040580B"/>
    <w:rsid w:val="004123B7"/>
    <w:rsid w:val="0042303C"/>
    <w:rsid w:val="004254CC"/>
    <w:rsid w:val="004279B8"/>
    <w:rsid w:val="004323E9"/>
    <w:rsid w:val="00446C21"/>
    <w:rsid w:val="0045020E"/>
    <w:rsid w:val="004510E2"/>
    <w:rsid w:val="004510EC"/>
    <w:rsid w:val="00454FA2"/>
    <w:rsid w:val="004557A0"/>
    <w:rsid w:val="0045667D"/>
    <w:rsid w:val="0047249D"/>
    <w:rsid w:val="004732F4"/>
    <w:rsid w:val="00473634"/>
    <w:rsid w:val="00474064"/>
    <w:rsid w:val="004804D5"/>
    <w:rsid w:val="00486FC4"/>
    <w:rsid w:val="004871C3"/>
    <w:rsid w:val="00491CDA"/>
    <w:rsid w:val="004975D7"/>
    <w:rsid w:val="004A4894"/>
    <w:rsid w:val="004A7D7B"/>
    <w:rsid w:val="004B2037"/>
    <w:rsid w:val="004B24E8"/>
    <w:rsid w:val="004C1EDE"/>
    <w:rsid w:val="004C6B9E"/>
    <w:rsid w:val="004D2E4D"/>
    <w:rsid w:val="004E0F66"/>
    <w:rsid w:val="004F3698"/>
    <w:rsid w:val="00510B25"/>
    <w:rsid w:val="00514404"/>
    <w:rsid w:val="0051524C"/>
    <w:rsid w:val="00535FC5"/>
    <w:rsid w:val="00536F38"/>
    <w:rsid w:val="00540D63"/>
    <w:rsid w:val="00542667"/>
    <w:rsid w:val="0055212D"/>
    <w:rsid w:val="00561915"/>
    <w:rsid w:val="005626CE"/>
    <w:rsid w:val="00563493"/>
    <w:rsid w:val="00564905"/>
    <w:rsid w:val="00570837"/>
    <w:rsid w:val="00573605"/>
    <w:rsid w:val="00575C0C"/>
    <w:rsid w:val="00577737"/>
    <w:rsid w:val="00586DF3"/>
    <w:rsid w:val="0059541D"/>
    <w:rsid w:val="005A1322"/>
    <w:rsid w:val="005A2030"/>
    <w:rsid w:val="005B0E8E"/>
    <w:rsid w:val="005B3B42"/>
    <w:rsid w:val="005B79E1"/>
    <w:rsid w:val="005C10A5"/>
    <w:rsid w:val="005C1D24"/>
    <w:rsid w:val="005C71B7"/>
    <w:rsid w:val="005D5E1F"/>
    <w:rsid w:val="005E6351"/>
    <w:rsid w:val="005F0DC6"/>
    <w:rsid w:val="006003A0"/>
    <w:rsid w:val="00610717"/>
    <w:rsid w:val="0061227B"/>
    <w:rsid w:val="00620E49"/>
    <w:rsid w:val="006246E1"/>
    <w:rsid w:val="0062506B"/>
    <w:rsid w:val="00642774"/>
    <w:rsid w:val="00642F50"/>
    <w:rsid w:val="006542AE"/>
    <w:rsid w:val="006550A1"/>
    <w:rsid w:val="00657422"/>
    <w:rsid w:val="00687DA1"/>
    <w:rsid w:val="006911B8"/>
    <w:rsid w:val="006939AF"/>
    <w:rsid w:val="006A4914"/>
    <w:rsid w:val="006B33CE"/>
    <w:rsid w:val="006B3A95"/>
    <w:rsid w:val="006D0EDF"/>
    <w:rsid w:val="006E3474"/>
    <w:rsid w:val="006E6E54"/>
    <w:rsid w:val="006F258C"/>
    <w:rsid w:val="00701BBC"/>
    <w:rsid w:val="00702EE9"/>
    <w:rsid w:val="00706099"/>
    <w:rsid w:val="00714C1E"/>
    <w:rsid w:val="00715EFD"/>
    <w:rsid w:val="007208C3"/>
    <w:rsid w:val="00723A38"/>
    <w:rsid w:val="00725258"/>
    <w:rsid w:val="007368BC"/>
    <w:rsid w:val="00741C84"/>
    <w:rsid w:val="00747EE5"/>
    <w:rsid w:val="007641DD"/>
    <w:rsid w:val="00765C38"/>
    <w:rsid w:val="0076623D"/>
    <w:rsid w:val="00784B42"/>
    <w:rsid w:val="007A6661"/>
    <w:rsid w:val="007A6BAE"/>
    <w:rsid w:val="007B2C07"/>
    <w:rsid w:val="007D211E"/>
    <w:rsid w:val="008013D1"/>
    <w:rsid w:val="00802A8A"/>
    <w:rsid w:val="00802B29"/>
    <w:rsid w:val="00802F2F"/>
    <w:rsid w:val="00807235"/>
    <w:rsid w:val="00810191"/>
    <w:rsid w:val="00825A96"/>
    <w:rsid w:val="0083095B"/>
    <w:rsid w:val="0083124D"/>
    <w:rsid w:val="008370D1"/>
    <w:rsid w:val="00837B89"/>
    <w:rsid w:val="0084058E"/>
    <w:rsid w:val="00841832"/>
    <w:rsid w:val="0085539F"/>
    <w:rsid w:val="00874A27"/>
    <w:rsid w:val="00875F31"/>
    <w:rsid w:val="008804ED"/>
    <w:rsid w:val="00886B9D"/>
    <w:rsid w:val="00891AD8"/>
    <w:rsid w:val="00892B9C"/>
    <w:rsid w:val="008932BC"/>
    <w:rsid w:val="00895E43"/>
    <w:rsid w:val="008A76DF"/>
    <w:rsid w:val="008A7D70"/>
    <w:rsid w:val="008C33EF"/>
    <w:rsid w:val="008D6C3D"/>
    <w:rsid w:val="008E0232"/>
    <w:rsid w:val="008E1D01"/>
    <w:rsid w:val="008E7886"/>
    <w:rsid w:val="008F2361"/>
    <w:rsid w:val="009018E4"/>
    <w:rsid w:val="0090503B"/>
    <w:rsid w:val="00911B3D"/>
    <w:rsid w:val="00923EF7"/>
    <w:rsid w:val="009437B6"/>
    <w:rsid w:val="00953FD1"/>
    <w:rsid w:val="00966DEA"/>
    <w:rsid w:val="00967C0A"/>
    <w:rsid w:val="00972A64"/>
    <w:rsid w:val="00975884"/>
    <w:rsid w:val="0098159F"/>
    <w:rsid w:val="009912A7"/>
    <w:rsid w:val="00994866"/>
    <w:rsid w:val="0099488D"/>
    <w:rsid w:val="0099624C"/>
    <w:rsid w:val="009A0282"/>
    <w:rsid w:val="009A6C6E"/>
    <w:rsid w:val="009B1CEE"/>
    <w:rsid w:val="009B73B3"/>
    <w:rsid w:val="009B7F6A"/>
    <w:rsid w:val="009D14F9"/>
    <w:rsid w:val="009D7041"/>
    <w:rsid w:val="009E5838"/>
    <w:rsid w:val="009F2864"/>
    <w:rsid w:val="009F3ECC"/>
    <w:rsid w:val="00A05112"/>
    <w:rsid w:val="00A160D0"/>
    <w:rsid w:val="00A214AF"/>
    <w:rsid w:val="00A2425D"/>
    <w:rsid w:val="00A261F0"/>
    <w:rsid w:val="00A36AED"/>
    <w:rsid w:val="00A43D9E"/>
    <w:rsid w:val="00A501A3"/>
    <w:rsid w:val="00A63562"/>
    <w:rsid w:val="00A65792"/>
    <w:rsid w:val="00A70851"/>
    <w:rsid w:val="00A715E9"/>
    <w:rsid w:val="00A857EA"/>
    <w:rsid w:val="00A91580"/>
    <w:rsid w:val="00A9780E"/>
    <w:rsid w:val="00AA691F"/>
    <w:rsid w:val="00AB18FC"/>
    <w:rsid w:val="00AC2E84"/>
    <w:rsid w:val="00AD2D22"/>
    <w:rsid w:val="00AE1036"/>
    <w:rsid w:val="00AE1F49"/>
    <w:rsid w:val="00AE2844"/>
    <w:rsid w:val="00AE2A48"/>
    <w:rsid w:val="00AE4CFB"/>
    <w:rsid w:val="00AE5428"/>
    <w:rsid w:val="00AF14E1"/>
    <w:rsid w:val="00AF55FE"/>
    <w:rsid w:val="00AF68F2"/>
    <w:rsid w:val="00B027B6"/>
    <w:rsid w:val="00B13A10"/>
    <w:rsid w:val="00B15455"/>
    <w:rsid w:val="00B15DE1"/>
    <w:rsid w:val="00B21DCF"/>
    <w:rsid w:val="00B32E26"/>
    <w:rsid w:val="00B33C12"/>
    <w:rsid w:val="00B36CF8"/>
    <w:rsid w:val="00B5618C"/>
    <w:rsid w:val="00B71321"/>
    <w:rsid w:val="00B737BB"/>
    <w:rsid w:val="00B80024"/>
    <w:rsid w:val="00B81D5C"/>
    <w:rsid w:val="00B9100D"/>
    <w:rsid w:val="00B9416A"/>
    <w:rsid w:val="00B97D5E"/>
    <w:rsid w:val="00BA444E"/>
    <w:rsid w:val="00BB23EB"/>
    <w:rsid w:val="00BB2A9A"/>
    <w:rsid w:val="00BD36E2"/>
    <w:rsid w:val="00BF326C"/>
    <w:rsid w:val="00C0252D"/>
    <w:rsid w:val="00C11097"/>
    <w:rsid w:val="00C15054"/>
    <w:rsid w:val="00C17687"/>
    <w:rsid w:val="00C23287"/>
    <w:rsid w:val="00C24382"/>
    <w:rsid w:val="00C326CE"/>
    <w:rsid w:val="00C34F20"/>
    <w:rsid w:val="00C37B40"/>
    <w:rsid w:val="00C43BEB"/>
    <w:rsid w:val="00C5025A"/>
    <w:rsid w:val="00C5118D"/>
    <w:rsid w:val="00C514E1"/>
    <w:rsid w:val="00C75EB5"/>
    <w:rsid w:val="00C801C2"/>
    <w:rsid w:val="00C82EEE"/>
    <w:rsid w:val="00C85200"/>
    <w:rsid w:val="00CA69D7"/>
    <w:rsid w:val="00CB0422"/>
    <w:rsid w:val="00CB2D9B"/>
    <w:rsid w:val="00CC7AE3"/>
    <w:rsid w:val="00CD63CE"/>
    <w:rsid w:val="00CE077C"/>
    <w:rsid w:val="00D01E43"/>
    <w:rsid w:val="00D0684C"/>
    <w:rsid w:val="00D157C4"/>
    <w:rsid w:val="00D15BBC"/>
    <w:rsid w:val="00D208B0"/>
    <w:rsid w:val="00D2321E"/>
    <w:rsid w:val="00D308E8"/>
    <w:rsid w:val="00D32359"/>
    <w:rsid w:val="00D344C6"/>
    <w:rsid w:val="00D352AF"/>
    <w:rsid w:val="00D51083"/>
    <w:rsid w:val="00D57A75"/>
    <w:rsid w:val="00D76C83"/>
    <w:rsid w:val="00D859B7"/>
    <w:rsid w:val="00D85BB6"/>
    <w:rsid w:val="00D87409"/>
    <w:rsid w:val="00D918B3"/>
    <w:rsid w:val="00D95488"/>
    <w:rsid w:val="00DA049A"/>
    <w:rsid w:val="00DA40EF"/>
    <w:rsid w:val="00DB44B5"/>
    <w:rsid w:val="00DC1B9D"/>
    <w:rsid w:val="00DF3056"/>
    <w:rsid w:val="00E049C1"/>
    <w:rsid w:val="00E060AC"/>
    <w:rsid w:val="00E10F02"/>
    <w:rsid w:val="00E145CE"/>
    <w:rsid w:val="00E15E3E"/>
    <w:rsid w:val="00E216F6"/>
    <w:rsid w:val="00E312AE"/>
    <w:rsid w:val="00E328CE"/>
    <w:rsid w:val="00E4034C"/>
    <w:rsid w:val="00E43976"/>
    <w:rsid w:val="00E46854"/>
    <w:rsid w:val="00E75FED"/>
    <w:rsid w:val="00E831F4"/>
    <w:rsid w:val="00E901E8"/>
    <w:rsid w:val="00E94300"/>
    <w:rsid w:val="00E971ED"/>
    <w:rsid w:val="00EA0FB6"/>
    <w:rsid w:val="00EA5F7B"/>
    <w:rsid w:val="00EB19AE"/>
    <w:rsid w:val="00EB2195"/>
    <w:rsid w:val="00EB541F"/>
    <w:rsid w:val="00EB6016"/>
    <w:rsid w:val="00EC07BB"/>
    <w:rsid w:val="00EC08E3"/>
    <w:rsid w:val="00EC21CF"/>
    <w:rsid w:val="00EC3DD1"/>
    <w:rsid w:val="00EC556A"/>
    <w:rsid w:val="00EC610F"/>
    <w:rsid w:val="00ED0077"/>
    <w:rsid w:val="00ED684C"/>
    <w:rsid w:val="00EE7BC0"/>
    <w:rsid w:val="00EF0576"/>
    <w:rsid w:val="00EF3864"/>
    <w:rsid w:val="00EF41B5"/>
    <w:rsid w:val="00F05C04"/>
    <w:rsid w:val="00F14878"/>
    <w:rsid w:val="00F23230"/>
    <w:rsid w:val="00F311DE"/>
    <w:rsid w:val="00F42163"/>
    <w:rsid w:val="00F43D10"/>
    <w:rsid w:val="00F507B2"/>
    <w:rsid w:val="00F542EA"/>
    <w:rsid w:val="00F60F89"/>
    <w:rsid w:val="00F6101A"/>
    <w:rsid w:val="00F6132F"/>
    <w:rsid w:val="00F64334"/>
    <w:rsid w:val="00F7221F"/>
    <w:rsid w:val="00F775E6"/>
    <w:rsid w:val="00F82BC0"/>
    <w:rsid w:val="00F911D2"/>
    <w:rsid w:val="00F918BB"/>
    <w:rsid w:val="00FA6C90"/>
    <w:rsid w:val="00FB6BD1"/>
    <w:rsid w:val="00FC13F4"/>
    <w:rsid w:val="00FC4733"/>
    <w:rsid w:val="00FD2D5E"/>
    <w:rsid w:val="00FE5451"/>
    <w:rsid w:val="00FE732E"/>
    <w:rsid w:val="00FF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9C35B31"/>
  <w14:defaultImageDpi w14:val="300"/>
  <w15:docId w15:val="{616ABFF5-991A-3843-82EA-DD46587FA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6AED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2F2F"/>
    <w:pPr>
      <w:keepNext/>
      <w:keepLines/>
      <w:spacing w:before="120" w:line="252" w:lineRule="auto"/>
      <w:jc w:val="both"/>
      <w:outlineLvl w:val="1"/>
    </w:pPr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14A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4AF"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B75B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75BD"/>
  </w:style>
  <w:style w:type="character" w:styleId="PageNumber">
    <w:name w:val="page number"/>
    <w:basedOn w:val="DefaultParagraphFont"/>
    <w:uiPriority w:val="99"/>
    <w:semiHidden/>
    <w:unhideWhenUsed/>
    <w:rsid w:val="000B75BD"/>
  </w:style>
  <w:style w:type="character" w:styleId="LineNumber">
    <w:name w:val="line number"/>
    <w:basedOn w:val="DefaultParagraphFont"/>
    <w:uiPriority w:val="99"/>
    <w:semiHidden/>
    <w:unhideWhenUsed/>
    <w:rsid w:val="000B75BD"/>
  </w:style>
  <w:style w:type="paragraph" w:styleId="NormalWeb">
    <w:name w:val="Normal (Web)"/>
    <w:basedOn w:val="Normal"/>
    <w:uiPriority w:val="99"/>
    <w:unhideWhenUsed/>
    <w:rsid w:val="00AF14E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6C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6C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6C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6C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6CF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E328C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02F2F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customStyle="1" w:styleId="MDPI31text">
    <w:name w:val="MDPI_3.1_text"/>
    <w:qFormat/>
    <w:rsid w:val="008E0232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szCs w:val="22"/>
      <w:lang w:eastAsia="de-DE" w:bidi="en-US"/>
    </w:rPr>
  </w:style>
  <w:style w:type="character" w:styleId="PlaceholderText">
    <w:name w:val="Placeholder Text"/>
    <w:basedOn w:val="DefaultParagraphFont"/>
    <w:uiPriority w:val="99"/>
    <w:semiHidden/>
    <w:rsid w:val="008E023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0957B0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66DE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01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6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6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0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09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68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7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4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6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5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6183F6F-DF41-6747-9E51-B65E30917E86}">
  <we:reference id="wa104380122" version="2.1.0.1" store="en-US" storeType="OMEX"/>
  <we:alternateReferences>
    <we:reference id="WA104380122" version="2.1.0.1" store="WA104380122" storeType="OMEX"/>
  </we:alternateReferences>
  <we:properties>
    <we:property name="bibliographyEnabled" value="&quot;bibliographyEnabled&quot;"/>
    <we:property name="citations" value="{&quot;116805918&quot;:{&quot;referencesIds&quot;:[&quot;doc:615db7128f08ba56b8280dcb&quot;],&quot;referencesOptions&quot;:{&quot;doc:615db7128f08ba56b8280dcb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16805918,&quot;citationText&quot;:&quot;&lt;span style=\&quot;font-family:Arial;font-size:16px;color:#000000\&quot;&gt;(Urra et al., 2019)&lt;/span&gt;&quot;},&quot;216780393&quot;:{&quot;referencesIds&quot;:[&quot;doc:615dab5b8f084f63c81d9b6e&quot;],&quot;referencesOptions&quot;:{&quot;doc:615dab5b8f084f63c81d9b6e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216780393,&quot;citationText&quot;:&quot;&lt;span style=\&quot;font-family:Arial;font-size:16px;color:#000000\&quot;&gt;(Singh et al., 2021)&lt;/span&gt;&quot;},&quot;236516455&quot;:{&quot;referencesIds&quot;:[&quot;doc:5db6dffbe4b017fab9d14192&quot;],&quot;referencesOptions&quot;:{&quot;doc:5db6dffbe4b017fab9d1419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236516455,&quot;citationText&quot;:&quot;&lt;span style=\&quot;font-family:Arial;font-size:16px;color:#000000\&quot;&gt;(Costa et al., 2015)&lt;/span&gt;&quot;},&quot;342745897&quot;:{&quot;referencesIds&quot;:[&quot;doc:5db6dffbe4b017fab9d14192&quot;],&quot;referencesOptions&quot;:{&quot;doc:5db6dffbe4b017fab9d1419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342745897,&quot;citationText&quot;:&quot;&lt;span style=\&quot;font-family:Arial;font-size:16px;color:#000000\&quot;&gt;(Costa et al., 2015)&lt;/span&gt;&quot;},&quot;458614713&quot;:{&quot;referencesIds&quot;:[&quot;doc:616d44f78f08e103de178c85&quot;],&quot;referencesOptions&quot;:{&quot;doc:616d44f78f08e103de178c85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458614713,&quot;citationText&quot;:&quot;&lt;span style=\&quot;font-family:Arial;font-size:16px;color:#000000\&quot;&gt;(Schmidt et al., 2010)&lt;/span&gt;&quot;},&quot;669832031&quot;:{&quot;referencesIds&quot;:[&quot;doc:5db6dffbe4b017fab9d14192&quot;],&quot;referencesOptions&quot;:{&quot;doc:5db6dffbe4b017fab9d1419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669832031,&quot;citationText&quot;:&quot;&lt;span style=\&quot;font-family:Arial;font-size:16px;color:#000000\&quot;&gt;(Costa et al., 2015)&lt;/span&gt;&quot;},&quot;712620673&quot;:{&quot;referencesIds&quot;:[&quot;doc:60608cdb8f083699be6b99e1&quot;],&quot;referencesOptions&quot;:{&quot;doc:60608cdb8f083699be6b99e1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712620673,&quot;citationText&quot;:&quot;&lt;span style=\&quot;font-family:Arial;font-size:16px;color:#000000\&quot;&gt;(Benjamini &amp;amp; Hochberg, 1995)&lt;/span&gt;&quot;},&quot;714853260&quot;:{&quot;referencesIds&quot;:[&quot;doc:5f8ad8eee4b042a8f2879733&quot;],&quot;referencesOptions&quot;:{&quot;doc:5f8ad8eee4b042a8f2879733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714853260,&quot;citationText&quot;:&quot;&lt;span style=\&quot;font-family:Arial;font-size:16px;color:#000000\&quot;&gt;(McMurdie &amp;amp; Holmes, 2013)&lt;/span&gt;&quot;},&quot;795716324&quot;:{&quot;referencesIds&quot;:[&quot;doc:5f7ee75ae4b0aa5d9f00bc51&quot;],&quot;referencesOptions&quot;:{&quot;doc:5f7ee75ae4b0aa5d9f00bc51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795716324,&quot;citationText&quot;:&quot;&lt;span style=\&quot;font-family:Arial;font-size:16px;color:#000000\&quot;&gt;(Callahan et al., 2016)&lt;/span&gt;&quot;},&quot;888454491&quot;:{&quot;referencesIds&quot;:[&quot;doc:6181239b8f086eb60339df93&quot;],&quot;referencesOptions&quot;:{&quot;doc:6181239b8f086eb60339df93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888454491,&quot;citationText&quot;:&quot;&lt;span style=\&quot;font-family:Arial;font-size:16px;color:#000000\&quot;&gt;(Spring et al., 2016)&lt;/span&gt;&quot;},&quot;940651562&quot;:{&quot;referencesIds&quot;:[&quot;doc:5e00999ce4b0ed77c0836ebc&quot;],&quot;referencesOptions&quot;:{&quot;doc:5e00999ce4b0ed77c0836ebc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940651562,&quot;citationText&quot;:&quot;&lt;span style=\&quot;font-family:Arial;font-size:16px;color:#000000\&quot;&gt;(Faubladier et al., 2013)&lt;/span&gt;&quot;},&quot;947737737&quot;:{&quot;referencesIds&quot;:[&quot;doc:606089528f08495564a5c3f2&quot;],&quot;referencesOptions&quot;:{&quot;doc:606089528f08495564a5c3f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947737737,&quot;citationText&quot;:&quot;&lt;span style=\&quot;font-family:Arial;font-size:16px;color:#000000\&quot;&gt;(Wickham, 2016)&lt;/span&gt;&quot;},&quot;1042086524&quot;:{&quot;referencesIds&quot;:[&quot;doc:616953af8f08753f6e472664&quot;,&quot;doc:5dd2b1f3e4b0caca97c34deb&quot;,&quot;doc:5dd3b8eee4b029f578de2bc7&quot;],&quot;referencesOptions&quot;:{&quot;doc:616953af8f08753f6e472664&quot;:{&quot;author&quot;:true,&quot;year&quot;:true,&quot;pageReplace&quot;:&quot;&quot;,&quot;prefix&quot;:&quot;&quot;,&quot;suffix&quot;:&quot;&quot;},&quot;doc:5dd2b1f3e4b0caca97c34deb&quot;:{&quot;author&quot;:true,&quot;year&quot;:true,&quot;pageReplace&quot;:&quot;&quot;,&quot;prefix&quot;:&quot;&quot;,&quot;suffix&quot;:&quot;&quot;},&quot;doc:5dd3b8eee4b029f578de2bc7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042086524,&quot;citationText&quot;:&quot;&lt;span style=\&quot;font-family:Arial;font-size:16px;color:#000000\&quot;&gt;(Di Pietro et al., 2021; Salem et al., 2018; Stewart et al., 2018)&lt;/span&gt;&quot;},&quot;1090127902&quot;:{&quot;referencesIds&quot;:[&quot;doc:616953af8f08753f6e472664&quot;,&quot;doc:5db6dffbe4b017fab9d14192&quot;],&quot;referencesOptions&quot;:{&quot;doc:616953af8f08753f6e472664&quot;:{&quot;author&quot;:true,&quot;year&quot;:true,&quot;pageReplace&quot;:&quot;&quot;,&quot;prefix&quot;:&quot;&quot;,&quot;suffix&quot;:&quot;&quot;},&quot;doc:5db6dffbe4b017fab9d1419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090127902,&quot;citationText&quot;:&quot;&lt;span style=\&quot;font-family:Arial;font-size:16px;color:#000000\&quot;&gt;(Costa et al., 2015; Di Pietro et al., 2021)&lt;/span&gt;&quot;},&quot;1141614547&quot;:{&quot;referencesIds&quot;:[&quot;doc:616fcf818f08f4d64a7f6776&quot;],&quot;referencesOptions&quot;:{&quot;doc:616fcf818f08f4d64a7f677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141614547,&quot;citationText&quot;:&quot;&lt;span style=\&quot;font-family:Arial;font-size:16px;color:#000000\&quot;&gt;(Ayling et al., 2020)&lt;/span&gt;&quot;},&quot;1148705107&quot;:{&quot;referencesIds&quot;:[&quot;doc:5e00999ce4b0ed77c0836ebc&quot;,&quot;doc:5db6dffbe4b017fab9d14192&quot;],&quot;referencesOptions&quot;:{&quot;doc:5e00999ce4b0ed77c0836ebc&quot;:{&quot;author&quot;:true,&quot;year&quot;:true,&quot;pageReplace&quot;:&quot;&quot;,&quot;prefix&quot;:&quot;&quot;,&quot;suffix&quot;:&quot;&quot;},&quot;doc:5db6dffbe4b017fab9d1419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148705107,&quot;citationText&quot;:&quot;&lt;span style=\&quot;font-family:Arial;font-size:16px;color:#000000\&quot;&gt;(Costa et al., 2015; Faubladier et al., 2013)&lt;/span&gt;&quot;},&quot;1171150285&quot;:{&quot;referencesIds&quot;:[&quot;doc:5f899760e4b06c6873a39e1b&quot;],&quot;referencesOptions&quot;:{&quot;doc:5f899760e4b06c6873a39e1b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171150285,&quot;citationText&quot;:&quot;&lt;span style=\&quot;font-family:Arial;font-size:16px;color:#000000\&quot;&gt;(Schoster et al., 2016)&lt;/span&gt;&quot;},&quot;1204677116&quot;:{&quot;referencesIds&quot;:[&quot;doc:5db6dffbe4b017fab9d14192&quot;],&quot;referencesOptions&quot;:{&quot;doc:5db6dffbe4b017fab9d1419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204677116,&quot;citationText&quot;:&quot;&lt;span style=\&quot;font-family:Arial;font-size:16px;color:#000000\&quot;&gt;(Costa et al., 2015)&lt;/span&gt;&quot;},&quot;1241445812&quot;:{&quot;referencesIds&quot;:[&quot;doc:5f92a801e4b06b32e129be36&quot;],&quot;referencesOptions&quot;:{&quot;doc:5f92a801e4b06b32e129be36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241445812,&quot;citationText&quot;:&quot;&lt;span style=\&quot;font-family:Arial;font-size:16px;color:#000000\&quot;&gt;(Quast et al., 2013)&lt;/span&gt;&quot;},&quot;1400554649&quot;:{&quot;referencesIds&quot;:[&quot;doc:5f7ee2e0e4b0470b8b9e0050&quot;],&quot;referencesOptions&quot;:{&quot;doc:5f7ee2e0e4b0470b8b9e0050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400554649,&quot;citationText&quot;:&quot;&lt;span style=\&quot;font-family:Arial;font-size:16px;color:#000000\&quot;&gt;(Knudsen et al., 2016)&lt;/span&gt;&quot;},&quot;1445270608&quot;:{&quot;referencesIds&quot;:[&quot;doc:5daece03e4b03d49cc53d6ee&quot;],&quot;referencesOptions&quot;:{&quot;doc:5daece03e4b03d49cc53d6ee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445270608,&quot;citationText&quot;:&quot;&lt;span style=\&quot;font-family:Arial;font-size:16px;color:#000000\&quot;&gt;(Costa &amp;amp; Weese, 2018)&lt;/span&gt;&quot;},&quot;1530295697&quot;:{&quot;referencesIds&quot;:[&quot;doc:615d57aa8f08e5f355a79658&quot;],&quot;referencesOptions&quot;:{&quot;doc:615d57aa8f08e5f355a79658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530295697,&quot;citationText&quot;:&quot;&lt;span style=\&quot;font-family:Arial;font-size:16px;color:#000000\&quot;&gt;(Theelen et al., 2021)&lt;/span&gt;&quot;},&quot;1892689476&quot;:{&quot;referencesIds&quot;:[&quot;doc:616953af8f08753f6e472664&quot;],&quot;referencesOptions&quot;:{&quot;doc:616953af8f08753f6e47266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892689476,&quot;citationText&quot;:&quot;&lt;span style=\&quot;font-family:Arial;font-size:16px;color:#000000\&quot;&gt;(Di Pietro et al., 2021)&lt;/span&gt;&quot;},&quot;1977939504&quot;:{&quot;referencesIds&quot;:[&quot;doc:5f8aca88e4b0d970fca76bb4&quot;],&quot;referencesOptions&quot;:{&quot;doc:5f8aca88e4b0d970fca76bb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1977939504,&quot;citationText&quot;:&quot;&lt;span style=\&quot;font-family:Arial;font-size:16px;color:#000000\&quot;&gt;(R Core Team, 2020)&lt;/span&gt;&quot;},&quot;-902907559&quot;:{&quot;referencesIds&quot;:[&quot;doc:615d57aa8f08e5f355a79658&quot;],&quot;referencesOptions&quot;:{&quot;doc:615d57aa8f08e5f355a79658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902907559,&quot;citationText&quot;:&quot;&lt;span style=\&quot;font-family:Arial;font-size:16px;color:#000000\&quot;&gt;(Theelen et al., 2021)&lt;/span&gt;&quot;},&quot;-714266783&quot;:{&quot;referencesIds&quot;:[&quot;doc:5dc0292ce4b084f77a5c1472&quot;],&quot;referencesOptions&quot;:{&quot;doc:5dc0292ce4b084f77a5c147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714266783,&quot;citationText&quot;:&quot;&lt;span style=\&quot;font-family:Arial;font-size:16px;color:#000000\&quot;&gt;(Costa et al., 2012)&lt;/span&gt;&quot;},&quot;-416027392&quot;:{&quot;referencesIds&quot;:[&quot;doc:615d5a3c8f088a83f61d89f4&quot;,&quot;doc:5db6dffbe4b017fab9d14192&quot;,&quot;doc:615d59bd8f08806159e73df0&quot;],&quot;referencesOptions&quot;:{&quot;doc:615d5a3c8f088a83f61d89f4&quot;:{&quot;author&quot;:true,&quot;year&quot;:true,&quot;pageReplace&quot;:&quot;&quot;,&quot;prefix&quot;:&quot;&quot;,&quot;suffix&quot;:&quot;&quot;},&quot;doc:5db6dffbe4b017fab9d14192&quot;:{&quot;author&quot;:true,&quot;year&quot;:true,&quot;pageReplace&quot;:&quot;&quot;,&quot;prefix&quot;:&quot;&quot;,&quot;suffix&quot;:&quot;&quot;},&quot;doc:615d59bd8f08806159e73df0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416027392,&quot;citationText&quot;:&quot;&lt;span style=\&quot;font-family:Arial;font-size:16px;color:#000000\&quot;&gt;(Arnold et al., 2021; Barr et al., 2013; Costa, Stämpfli et al., 2015)&lt;/span&gt;&quot;},&quot;-377933903&quot;:{&quot;referencesIds&quot;:[&quot;doc:5db6dffbe4b017fab9d14192&quot;],&quot;referencesOptions&quot;:{&quot;doc:5db6dffbe4b017fab9d1419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377933903,&quot;citationText&quot;:&quot;&lt;span style=\&quot;font-family:Arial;font-size:16px;color:#000000\&quot;&gt;(Costa et al., 2015)&lt;/span&gt;&quot;},&quot;-278177018&quot;:{&quot;referencesIds&quot;:[&quot;doc:615dab5b8f084f63c81d9b6e&quot;],&quot;referencesOptions&quot;:{&quot;doc:615dab5b8f084f63c81d9b6e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278177018,&quot;citationText&quot;:&quot;&lt;span style=\&quot;font-family:Arial;font-size:16px;color:#000000\&quot;&gt;(Singh et al., 2021)&lt;/span&gt;&quot;},&quot;-781265205&quot;:{&quot;referencesIds&quot;:[&quot;doc:615daddc8f08e5f355a7a637&quot;],&quot;referencesOptions&quot;:{&quot;doc:615daddc8f08e5f355a7a637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781265205,&quot;citationText&quot;:&quot;&lt;span style=\&quot;font-family:Arial;font-size:16px;color:#000000\&quot;&gt;(Kim et al., 2021)&lt;/span&gt;&quot;},&quot;-1654750747&quot;:{&quot;referencesIds&quot;:[&quot;doc:615dab5b8f084f63c81d9b6e&quot;],&quot;referencesOptions&quot;:{&quot;doc:615dab5b8f084f63c81d9b6e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654750747,&quot;citationText&quot;:&quot;&lt;span style=\&quot;font-family:Arial;font-size:16px;color:#000000\&quot;&gt;(Singh et al., 2021)&lt;/span&gt;&quot;},&quot;-2002418911&quot;:{&quot;referencesIds&quot;:[&quot;doc:615db5468f088a83f61da52b&quot;],&quot;referencesOptions&quot;:{&quot;doc:615db5468f088a83f61da52b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2002418911,&quot;citationText&quot;:&quot;&lt;span style=\&quot;font-family:Arial;font-size:16px;color:#000000\&quot;&gt;(Wright, 2007)&lt;/span&gt;&quot;},&quot;-771630960&quot;:{&quot;referencesIds&quot;:[&quot;doc:615d4c1c8f084f63c81d8379&quot;],&quot;referencesOptions&quot;:{&quot;doc:615d4c1c8f084f63c81d8379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771630960,&quot;citationText&quot;:&quot;&lt;span style=\&quot;font-family:Arial;font-size:16px;color:#000000\&quot;&gt;(Mitchell et al., 2021)&lt;/span&gt;&quot;},&quot;-215280220&quot;:{&quot;referencesIds&quot;:[&quot;doc:615d81bc8f088a83f61d97d4&quot;,&quot;doc:615dafa88f08ba56b8280d14&quot;],&quot;referencesOptions&quot;:{&quot;doc:615d81bc8f088a83f61d97d4&quot;:{&quot;author&quot;:true,&quot;year&quot;:true,&quot;pageReplace&quot;:&quot;&quot;,&quot;prefix&quot;:&quot;&quot;,&quot;suffix&quot;:&quot;&quot;},&quot;doc:615dafa88f08ba56b8280d1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215280220,&quot;citationText&quot;:&quot;&lt;span style=\&quot;font-family:Arial;font-size:16px;color:#000000\&quot;&gt;(Álvarez–Narváez et al., 2020; Liu et al., 2021)&lt;/span&gt;&quot;},&quot;-813255714&quot;:{&quot;referencesIds&quot;:[&quot;doc:5f8ada89e4b0d32b013ea88e&quot;],&quot;referencesOptions&quot;:{&quot;doc:5f8ada89e4b0d32b013ea88e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813255714,&quot;citationText&quot;:&quot;&lt;span style=\&quot;font-family:Arial;font-size:16px;color:#000000\&quot;&gt;(Oksanen et al., 2008)&lt;/span&gt;&quot;},&quot;-687609339&quot;:{&quot;referencesIds&quot;:[&quot;doc:5f8adbc7e4b0d32b013ea8b2&quot;],&quot;referencesOptions&quot;:{&quot;doc:5f8adbc7e4b0d32b013ea8b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687609339,&quot;citationText&quot;:&quot;&lt;span style=\&quot;font-family:Arial;font-size:16px;color:#000000\&quot;&gt;(Love et al., 2014)&lt;/span&gt;&quot;},&quot;-266390661&quot;:{&quot;referencesIds&quot;:[&quot;doc:5db6d54ee4b03d8801ecca74&quot;,&quot;doc:5f8990ece4b06c6873a39c1c&quot;,&quot;doc:5dbfe374e4b033ce910ee651&quot;,&quot;doc:5dd3c82be4b01c4943020f01&quot;,&quot;doc:5f899760e4b06c6873a39e1b&quot;],&quot;referencesOptions&quot;:{&quot;doc:5db6d54ee4b03d8801ecca74&quot;:{&quot;author&quot;:true,&quot;year&quot;:true,&quot;pageReplace&quot;:&quot;&quot;,&quot;prefix&quot;:&quot;&quot;,&quot;suffix&quot;:&quot;&quot;},&quot;doc:5f8990ece4b06c6873a39c1c&quot;:{&quot;author&quot;:true,&quot;year&quot;:true,&quot;pageReplace&quot;:&quot;&quot;,&quot;prefix&quot;:&quot;&quot;,&quot;suffix&quot;:&quot;&quot;},&quot;doc:5dbfe374e4b033ce910ee651&quot;:{&quot;author&quot;:true,&quot;year&quot;:true,&quot;pageReplace&quot;:&quot;&quot;,&quot;prefix&quot;:&quot;&quot;,&quot;suffix&quot;:&quot;&quot;},&quot;doc:5dd3c82be4b01c4943020f01&quot;:{&quot;author&quot;:true,&quot;year&quot;:true,&quot;pageReplace&quot;:&quot;&quot;,&quot;prefix&quot;:&quot;&quot;,&quot;suffix&quot;:&quot;&quot;},&quot;doc:5f899760e4b06c6873a39e1b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266390661,&quot;citationText&quot;:&quot;&lt;span style=\&quot;font-family:Arial;font-size:16px;color:#000000\&quot;&gt;(Costa, Silva et al., 2015; Massacci et al., 2020; O'Donnell et al., 2013; Proudman et al., 2015; Schoster et al., 2016)&lt;/span&gt;&quot;},&quot;-358047553&quot;:{&quot;referencesIds&quot;:[&quot;doc:616d49788f08e103de178d04&quot;],&quot;referencesOptions&quot;:{&quot;doc:616d49788f08e103de178d0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358047553,&quot;citationText&quot;:&quot;&lt;span style=\&quot;font-family:Arial;font-size:16px;color:#000000\&quot;&gt;(Enck et al., 1989)&lt;/span&gt;&quot;},&quot;-489642668&quot;:{&quot;referencesIds&quot;:[&quot;doc:616953af8f08753f6e472664&quot;],&quot;referencesOptions&quot;:{&quot;doc:616953af8f08753f6e47266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489642668,&quot;citationText&quot;:&quot;&lt;span style=\&quot;font-family:Arial;font-size:16px;color:#000000\&quot;&gt;(Di Pietro et al., 2021)&lt;/span&gt;&quot;},&quot;-1659297781&quot;:{&quot;referencesIds&quot;:[&quot;doc:616953af8f08753f6e472664&quot;],&quot;referencesOptions&quot;:{&quot;doc:616953af8f08753f6e472664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659297781,&quot;citationText&quot;:&quot;&lt;span style=\&quot;font-family:Arial;font-size:16px;color:#000000\&quot;&gt;(Di Pietro et al., 2021)&lt;/span&gt;&quot;},&quot;-336690120&quot;:{&quot;referencesIds&quot;:[&quot;doc:5db6dffbe4b017fab9d14192&quot;],&quot;referencesOptions&quot;:{&quot;doc:5db6dffbe4b017fab9d1419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336690120,&quot;citationText&quot;:&quot;&lt;span style=\&quot;font-family:Arial;font-size:16px;color:#000000\&quot;&gt;(Costa et al., 2015)&lt;/span&gt;&quot;},&quot;-217058159&quot;:{&quot;referencesIds&quot;:[&quot;doc:5db6dffbe4b017fab9d14192&quot;],&quot;referencesOptions&quot;:{&quot;doc:5db6dffbe4b017fab9d14192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217058159,&quot;citationText&quot;:&quot;&lt;span style=\&quot;font-family:Arial;font-size:16px;color:#000000\&quot;&gt;(Costa et al., 2015)&lt;/span&gt;&quot;},&quot;-1665617228&quot;:{&quot;referencesIds&quot;:[&quot;doc:616d616f8f08009f6e49ee61&quot;,&quot;doc:616d62238f08a023f70ce8b9&quot;,&quot;doc:616d649b8f085d1a9de64f1d&quot;,&quot;doc:616d66298f08f4d64a7ef9b1&quot;,&quot;doc:616d67d88f0853a393d4c1e0&quot;,&quot;doc:616d6b398f08c38c882af67a&quot;],&quot;referencesOptions&quot;:{&quot;doc:616d616f8f08009f6e49ee61&quot;:{&quot;author&quot;:true,&quot;year&quot;:true,&quot;pageReplace&quot;:&quot;&quot;,&quot;prefix&quot;:&quot;&quot;,&quot;suffix&quot;:&quot;&quot;},&quot;doc:616d62238f08a023f70ce8b9&quot;:{&quot;author&quot;:true,&quot;year&quot;:true,&quot;pageReplace&quot;:&quot;&quot;,&quot;prefix&quot;:&quot;&quot;,&quot;suffix&quot;:&quot;&quot;},&quot;doc:616d649b8f085d1a9de64f1d&quot;:{&quot;author&quot;:true,&quot;year&quot;:true,&quot;pageReplace&quot;:&quot;&quot;,&quot;prefix&quot;:&quot;&quot;,&quot;suffix&quot;:&quot;&quot;},&quot;doc:616d66298f08f4d64a7ef9b1&quot;:{&quot;author&quot;:true,&quot;year&quot;:true,&quot;pageReplace&quot;:&quot;&quot;,&quot;prefix&quot;:&quot;&quot;,&quot;suffix&quot;:&quot;&quot;},&quot;doc:616d67d88f0853a393d4c1e0&quot;:{&quot;author&quot;:true,&quot;year&quot;:true,&quot;pageReplace&quot;:&quot;&quot;,&quot;prefix&quot;:&quot;&quot;,&quot;suffix&quot;:&quot;&quot;},&quot;doc:616d6b398f08c38c882af67a&quot;:{&quot;author&quot;:true,&quot;year&quot;:true,&quot;pageReplace&quot;:&quot;&quot;,&quot;prefix&quot;:&quot;&quot;,&quot;suffix&quot;:&quot;&quot;}},&quot;hasBrokenReferences&quot;:false,&quot;hasManualEdits&quot;:false,&quot;citationType&quot;:&quot;inline&quot;,&quot;id&quot;:-1665617228,&quot;citationText&quot;:&quot;&lt;span style=\&quot;font-family:Arial;font-size:16px;color:#000000\&quot;&gt;(Adams et al., 2021; Bryan et al., 2010; Dunowska et al., 2006; Kauter et al., 2021; Schoster et al., 2020; Williams et al., 2013)&lt;/span&gt;&quot;}}"/>
    <we:property name="currentStyle" value="{&quot;id&quot;:&quot;4376&quot;,&quot;styleType&quot;:&quot;refworks&quot;,&quot;name&quot;:&quot;APA 7th (basic) - No Case Changes (No Title Casing), DOI: empty&quot;,&quot;isInstitutional&quot;:false,&quot;citeStyle&quot;:&quot;INTEXT_ONLY&quot;,&quot;isSorted&quot;:true,&quot;usesNumbers&quot;:false}"/>
    <we:property name="rcm.version" value="2"/>
    <we:property name="rw.control.unlocked" value="true"/>
    <we:property name="rw.officeVersion" value="&quot;1.3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UU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Mathijs Theelen</dc:creator>
  <cp:keywords/>
  <dc:description/>
  <cp:lastModifiedBy>Caroline Domile</cp:lastModifiedBy>
  <cp:revision>20</cp:revision>
  <cp:lastPrinted>2021-10-18T09:22:00Z</cp:lastPrinted>
  <dcterms:created xsi:type="dcterms:W3CDTF">2022-02-15T20:41:00Z</dcterms:created>
  <dcterms:modified xsi:type="dcterms:W3CDTF">2023-02-24T02:19:00Z</dcterms:modified>
</cp:coreProperties>
</file>