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16726" w14:textId="77777777" w:rsidR="005C3098" w:rsidRPr="008E7DBB" w:rsidRDefault="005C3098" w:rsidP="005C3098">
      <w:pPr>
        <w:adjustRightInd w:val="0"/>
        <w:snapToGrid w:val="0"/>
        <w:spacing w:line="480" w:lineRule="auto"/>
        <w:outlineLvl w:val="0"/>
        <w:rPr>
          <w:rFonts w:ascii="Times New Roman" w:eastAsia="Times New Roman" w:hAnsi="Times New Roman" w:cs="Times New Roman"/>
          <w:b/>
          <w:color w:val="000000" w:themeColor="text1"/>
          <w:sz w:val="22"/>
        </w:rPr>
      </w:pPr>
      <w:bookmarkStart w:id="0" w:name="_Toc66350063"/>
      <w:bookmarkStart w:id="1" w:name="OLE_LINK1"/>
      <w:r w:rsidRPr="008E7DBB">
        <w:rPr>
          <w:rFonts w:ascii="Times New Roman" w:eastAsia="Times New Roman" w:hAnsi="Times New Roman" w:cs="Times New Roman"/>
          <w:b/>
          <w:color w:val="000000" w:themeColor="text1"/>
          <w:sz w:val="22"/>
        </w:rPr>
        <w:t xml:space="preserve">Surgery-induced gut </w:t>
      </w:r>
      <w:bookmarkStart w:id="2" w:name="_Hlk118975989"/>
      <w:r w:rsidRPr="008E7DBB">
        <w:rPr>
          <w:rFonts w:ascii="Times New Roman" w:eastAsia="Times New Roman" w:hAnsi="Times New Roman" w:cs="Times New Roman"/>
          <w:b/>
          <w:color w:val="000000" w:themeColor="text1"/>
          <w:sz w:val="22"/>
        </w:rPr>
        <w:t>microbial dysbiosis</w:t>
      </w:r>
      <w:bookmarkEnd w:id="2"/>
      <w:r w:rsidRPr="008E7DBB">
        <w:rPr>
          <w:rFonts w:ascii="Times New Roman" w:eastAsia="Times New Roman" w:hAnsi="Times New Roman" w:cs="Times New Roman"/>
          <w:b/>
          <w:color w:val="000000" w:themeColor="text1"/>
          <w:sz w:val="22"/>
        </w:rPr>
        <w:t xml:space="preserve"> promotes cognitive impairment via </w:t>
      </w:r>
      <w:bookmarkStart w:id="3" w:name="_Hlk121215950"/>
      <w:r w:rsidRPr="008E7DBB">
        <w:rPr>
          <w:rFonts w:ascii="Times New Roman" w:eastAsia="Times New Roman" w:hAnsi="Times New Roman" w:cs="Times New Roman"/>
          <w:b/>
          <w:color w:val="000000" w:themeColor="text1"/>
          <w:sz w:val="22"/>
        </w:rPr>
        <w:t>regulation of intestinal function and the metabolite palmitic amide</w:t>
      </w:r>
    </w:p>
    <w:p w14:paraId="1DCEF320"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vertAlign w:val="superscript"/>
        </w:rPr>
      </w:pPr>
      <w:bookmarkStart w:id="4" w:name="_Hlk77665914"/>
      <w:bookmarkEnd w:id="3"/>
      <w:proofErr w:type="spellStart"/>
      <w:r w:rsidRPr="008E7DBB">
        <w:rPr>
          <w:rFonts w:ascii="Times New Roman" w:hAnsi="Times New Roman" w:cs="Times New Roman"/>
          <w:color w:val="000000" w:themeColor="text1"/>
          <w:sz w:val="22"/>
        </w:rPr>
        <w:t>Cailong</w:t>
      </w:r>
      <w:proofErr w:type="spellEnd"/>
      <w:r w:rsidRPr="008E7DBB">
        <w:rPr>
          <w:rFonts w:ascii="Times New Roman" w:hAnsi="Times New Roman" w:cs="Times New Roman"/>
          <w:color w:val="000000" w:themeColor="text1"/>
          <w:sz w:val="22"/>
        </w:rPr>
        <w:t xml:space="preserve"> Pan </w:t>
      </w:r>
      <w:proofErr w:type="spellStart"/>
      <w:r w:rsidRPr="008E7DBB">
        <w:rPr>
          <w:rFonts w:ascii="Times New Roman" w:hAnsi="Times New Roman" w:cs="Times New Roman"/>
          <w:color w:val="000000" w:themeColor="text1"/>
          <w:sz w:val="22"/>
          <w:vertAlign w:val="superscript"/>
        </w:rPr>
        <w:t>a</w:t>
      </w:r>
      <w:proofErr w:type="spellEnd"/>
      <w:r w:rsidRPr="008E7DBB">
        <w:rPr>
          <w:rFonts w:ascii="Times New Roman" w:hAnsi="Times New Roman" w:cs="Times New Roman"/>
          <w:color w:val="000000" w:themeColor="text1"/>
          <w:sz w:val="22"/>
          <w:vertAlign w:val="superscript"/>
        </w:rPr>
        <w:t>,1</w:t>
      </w:r>
      <w:r w:rsidRPr="008E7DBB">
        <w:rPr>
          <w:rFonts w:ascii="Times New Roman" w:hAnsi="Times New Roman" w:cs="Times New Roman"/>
          <w:color w:val="000000" w:themeColor="text1"/>
          <w:sz w:val="22"/>
        </w:rPr>
        <w:t xml:space="preserve">, </w:t>
      </w:r>
      <w:proofErr w:type="spellStart"/>
      <w:r w:rsidRPr="008E7DBB">
        <w:rPr>
          <w:rFonts w:ascii="Times New Roman" w:hAnsi="Times New Roman" w:cs="Times New Roman"/>
          <w:color w:val="000000" w:themeColor="text1"/>
          <w:sz w:val="22"/>
        </w:rPr>
        <w:t>Huiwen</w:t>
      </w:r>
      <w:proofErr w:type="spellEnd"/>
      <w:r w:rsidRPr="008E7DBB">
        <w:rPr>
          <w:rFonts w:ascii="Times New Roman" w:hAnsi="Times New Roman" w:cs="Times New Roman"/>
          <w:color w:val="000000" w:themeColor="text1"/>
          <w:sz w:val="22"/>
        </w:rPr>
        <w:t xml:space="preserve"> Zhang </w:t>
      </w:r>
      <w:r w:rsidRPr="008E7DBB">
        <w:rPr>
          <w:rFonts w:ascii="Times New Roman" w:hAnsi="Times New Roman" w:cs="Times New Roman"/>
          <w:color w:val="000000" w:themeColor="text1"/>
          <w:sz w:val="22"/>
          <w:vertAlign w:val="superscript"/>
        </w:rPr>
        <w:t>a,1</w:t>
      </w:r>
      <w:r w:rsidRPr="008E7DBB">
        <w:rPr>
          <w:rFonts w:ascii="Times New Roman" w:hAnsi="Times New Roman" w:cs="Times New Roman"/>
          <w:color w:val="000000" w:themeColor="text1"/>
          <w:sz w:val="22"/>
        </w:rPr>
        <w:t xml:space="preserve">, </w:t>
      </w:r>
      <w:bookmarkStart w:id="5" w:name="_Hlk98668143"/>
      <w:proofErr w:type="spellStart"/>
      <w:r w:rsidRPr="008E7DBB">
        <w:rPr>
          <w:rFonts w:ascii="Times New Roman" w:hAnsi="Times New Roman" w:cs="Times New Roman"/>
          <w:color w:val="000000" w:themeColor="text1"/>
          <w:sz w:val="22"/>
        </w:rPr>
        <w:t>Lingyuan</w:t>
      </w:r>
      <w:proofErr w:type="spellEnd"/>
      <w:r w:rsidRPr="008E7DBB">
        <w:rPr>
          <w:rFonts w:ascii="Times New Roman" w:hAnsi="Times New Roman" w:cs="Times New Roman"/>
          <w:color w:val="000000" w:themeColor="text1"/>
          <w:sz w:val="22"/>
        </w:rPr>
        <w:t xml:space="preserve"> Zhang</w:t>
      </w:r>
      <w:bookmarkEnd w:id="5"/>
      <w:r w:rsidRPr="008E7DBB">
        <w:rPr>
          <w:rFonts w:ascii="Times New Roman" w:hAnsi="Times New Roman" w:cs="Times New Roman"/>
          <w:color w:val="000000" w:themeColor="text1"/>
          <w:sz w:val="22"/>
        </w:rPr>
        <w:t xml:space="preserve"> </w:t>
      </w:r>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w:t>
      </w:r>
      <w:bookmarkStart w:id="6" w:name="_Hlk98668212"/>
      <w:r w:rsidRPr="008E7DBB">
        <w:rPr>
          <w:rFonts w:ascii="Times New Roman" w:hAnsi="Times New Roman" w:cs="Times New Roman"/>
          <w:color w:val="000000" w:themeColor="text1"/>
          <w:sz w:val="22"/>
        </w:rPr>
        <w:t xml:space="preserve">Lu Chen </w:t>
      </w:r>
      <w:bookmarkEnd w:id="6"/>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Lu Xu </w:t>
      </w:r>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Ning Xu </w:t>
      </w:r>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Xue Liu </w:t>
      </w:r>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Qinghai Meng </w:t>
      </w:r>
      <w:r w:rsidRPr="008E7DBB">
        <w:rPr>
          <w:rFonts w:ascii="Times New Roman" w:hAnsi="Times New Roman" w:cs="Times New Roman"/>
          <w:color w:val="000000" w:themeColor="text1"/>
          <w:sz w:val="22"/>
          <w:vertAlign w:val="superscript"/>
        </w:rPr>
        <w:t>b</w:t>
      </w:r>
      <w:r w:rsidRPr="008E7DBB">
        <w:rPr>
          <w:rFonts w:ascii="Times New Roman" w:hAnsi="Times New Roman" w:cs="Times New Roman"/>
          <w:color w:val="000000" w:themeColor="text1"/>
          <w:sz w:val="22"/>
        </w:rPr>
        <w:t xml:space="preserve">, </w:t>
      </w:r>
      <w:proofErr w:type="spellStart"/>
      <w:r w:rsidRPr="008E7DBB">
        <w:rPr>
          <w:rFonts w:ascii="Times New Roman" w:hAnsi="Times New Roman" w:cs="Times New Roman"/>
          <w:color w:val="000000" w:themeColor="text1"/>
          <w:sz w:val="22"/>
        </w:rPr>
        <w:t>Xiaoliang</w:t>
      </w:r>
      <w:proofErr w:type="spellEnd"/>
      <w:r w:rsidRPr="008E7DBB">
        <w:rPr>
          <w:rFonts w:ascii="Times New Roman" w:hAnsi="Times New Roman" w:cs="Times New Roman"/>
          <w:color w:val="000000" w:themeColor="text1"/>
          <w:sz w:val="22"/>
        </w:rPr>
        <w:t xml:space="preserve"> Wang </w:t>
      </w:r>
      <w:r w:rsidRPr="008E7DBB">
        <w:rPr>
          <w:rFonts w:ascii="Times New Roman" w:hAnsi="Times New Roman" w:cs="Times New Roman"/>
          <w:color w:val="000000" w:themeColor="text1"/>
          <w:sz w:val="22"/>
          <w:vertAlign w:val="superscript"/>
        </w:rPr>
        <w:t xml:space="preserve">c, </w:t>
      </w:r>
      <w:r w:rsidRPr="008E7DBB">
        <w:rPr>
          <w:rFonts w:ascii="Times New Roman" w:hAnsi="Times New Roman" w:cs="Times New Roman"/>
          <w:color w:val="000000" w:themeColor="text1"/>
          <w:sz w:val="22"/>
        </w:rPr>
        <w:t>*, Zhi-Yuan Zhang</w:t>
      </w:r>
      <w:bookmarkEnd w:id="4"/>
      <w:r w:rsidRPr="008E7DBB">
        <w:rPr>
          <w:rFonts w:ascii="Times New Roman" w:hAnsi="Times New Roman" w:cs="Times New Roman"/>
          <w:color w:val="000000" w:themeColor="text1"/>
          <w:sz w:val="22"/>
        </w:rPr>
        <w:t xml:space="preserve"> </w:t>
      </w:r>
      <w:r w:rsidRPr="008E7DBB">
        <w:rPr>
          <w:rFonts w:ascii="Times New Roman" w:hAnsi="Times New Roman" w:cs="Times New Roman"/>
          <w:color w:val="000000" w:themeColor="text1"/>
          <w:sz w:val="22"/>
          <w:vertAlign w:val="superscript"/>
        </w:rPr>
        <w:t xml:space="preserve">a, d, </w:t>
      </w:r>
      <w:r w:rsidRPr="008E7DBB">
        <w:rPr>
          <w:rFonts w:ascii="Times New Roman" w:hAnsi="Times New Roman" w:cs="Times New Roman"/>
          <w:color w:val="000000" w:themeColor="text1"/>
          <w:sz w:val="22"/>
        </w:rPr>
        <w:t>*</w:t>
      </w:r>
    </w:p>
    <w:p w14:paraId="2751CFB2" w14:textId="77777777" w:rsidR="005C3098" w:rsidRPr="008E7DBB" w:rsidRDefault="005C3098" w:rsidP="005C3098">
      <w:pPr>
        <w:adjustRightInd w:val="0"/>
        <w:snapToGrid w:val="0"/>
        <w:spacing w:line="480" w:lineRule="auto"/>
        <w:rPr>
          <w:rFonts w:ascii="Times New Roman" w:hAnsi="Times New Roman" w:cs="Times New Roman"/>
          <w:b/>
          <w:bCs/>
          <w:color w:val="000000" w:themeColor="text1"/>
          <w:sz w:val="22"/>
        </w:rPr>
      </w:pPr>
    </w:p>
    <w:p w14:paraId="08999491"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color w:val="000000" w:themeColor="text1"/>
          <w:sz w:val="22"/>
          <w:vertAlign w:val="superscript"/>
        </w:rPr>
        <w:t>a</w:t>
      </w:r>
      <w:r w:rsidRPr="008E7DBB">
        <w:rPr>
          <w:rFonts w:ascii="Times New Roman" w:hAnsi="Times New Roman" w:cs="Times New Roman"/>
          <w:color w:val="000000" w:themeColor="text1"/>
          <w:sz w:val="22"/>
        </w:rPr>
        <w:t xml:space="preserve"> School of Basic Medical Sciences, Nanjing Medical University, Nanjing 211166, China</w:t>
      </w:r>
    </w:p>
    <w:p w14:paraId="06E53B4C"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color w:val="000000" w:themeColor="text1"/>
          <w:sz w:val="22"/>
          <w:vertAlign w:val="superscript"/>
        </w:rPr>
        <w:t>b</w:t>
      </w:r>
      <w:r w:rsidRPr="008E7DBB">
        <w:rPr>
          <w:rFonts w:ascii="Times New Roman" w:hAnsi="Times New Roman" w:cs="Times New Roman"/>
          <w:color w:val="000000" w:themeColor="text1"/>
          <w:sz w:val="22"/>
        </w:rPr>
        <w:t xml:space="preserve"> </w:t>
      </w:r>
      <w:bookmarkStart w:id="7" w:name="OLE_LINK23"/>
      <w:bookmarkStart w:id="8" w:name="OLE_LINK24"/>
      <w:bookmarkStart w:id="9" w:name="OLE_LINK30"/>
      <w:bookmarkStart w:id="10" w:name="OLE_LINK31"/>
      <w:r w:rsidRPr="008E7DBB">
        <w:rPr>
          <w:rFonts w:ascii="Times New Roman" w:eastAsia="等线" w:hAnsi="Times New Roman" w:cs="Times New Roman"/>
          <w:color w:val="000000" w:themeColor="text1"/>
          <w:sz w:val="22"/>
          <w:lang w:eastAsia="en-US"/>
        </w:rPr>
        <w:t>School of Medicine &amp; Holistic Integrative M</w:t>
      </w:r>
      <w:r w:rsidRPr="008E7DBB">
        <w:rPr>
          <w:rFonts w:ascii="Times New Roman" w:eastAsia="等线" w:hAnsi="Times New Roman" w:cs="Times New Roman"/>
          <w:color w:val="000000" w:themeColor="text1"/>
          <w:sz w:val="22"/>
        </w:rPr>
        <w:t>edicine</w:t>
      </w:r>
      <w:r w:rsidRPr="008E7DBB">
        <w:rPr>
          <w:rFonts w:ascii="Times New Roman" w:eastAsia="等线" w:hAnsi="Times New Roman" w:cs="Times New Roman"/>
          <w:color w:val="000000" w:themeColor="text1"/>
          <w:sz w:val="22"/>
          <w:lang w:eastAsia="en-US"/>
        </w:rPr>
        <w:t xml:space="preserve">, Nanjing University of Chinese Medicine, </w:t>
      </w:r>
      <w:bookmarkEnd w:id="7"/>
      <w:bookmarkEnd w:id="8"/>
      <w:r w:rsidRPr="008E7DBB">
        <w:rPr>
          <w:rFonts w:ascii="Times New Roman" w:eastAsia="等线" w:hAnsi="Times New Roman" w:cs="Times New Roman"/>
          <w:color w:val="000000" w:themeColor="text1"/>
          <w:sz w:val="22"/>
          <w:lang w:eastAsia="en-US"/>
        </w:rPr>
        <w:t>Nanjing 210023, China</w:t>
      </w:r>
      <w:bookmarkEnd w:id="9"/>
      <w:bookmarkEnd w:id="10"/>
    </w:p>
    <w:p w14:paraId="23208410"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color w:val="000000" w:themeColor="text1"/>
          <w:sz w:val="22"/>
          <w:vertAlign w:val="superscript"/>
        </w:rPr>
        <w:t xml:space="preserve">c </w:t>
      </w:r>
      <w:r w:rsidRPr="008E7DBB">
        <w:rPr>
          <w:rFonts w:ascii="Times New Roman" w:hAnsi="Times New Roman" w:cs="Times New Roman"/>
          <w:color w:val="000000" w:themeColor="text1"/>
          <w:sz w:val="22"/>
        </w:rPr>
        <w:t>Department of Anesthesiology, Nanjing First Hospital, Nanjing Medical University, Nanjing 210029, China</w:t>
      </w:r>
    </w:p>
    <w:p w14:paraId="31772F28"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color w:val="000000" w:themeColor="text1"/>
          <w:sz w:val="22"/>
          <w:vertAlign w:val="superscript"/>
        </w:rPr>
        <w:t>d</w:t>
      </w:r>
      <w:r w:rsidRPr="008E7DBB">
        <w:rPr>
          <w:rFonts w:ascii="Times New Roman" w:hAnsi="Times New Roman" w:cs="Times New Roman"/>
          <w:color w:val="000000" w:themeColor="text1"/>
          <w:sz w:val="22"/>
        </w:rPr>
        <w:t xml:space="preserve"> Key Laboratory of Rare Metabolic Diseases, Nanjing Medical University, Nanjing 211166, China</w:t>
      </w:r>
    </w:p>
    <w:p w14:paraId="4458E719"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p>
    <w:p w14:paraId="21A6948F" w14:textId="77777777" w:rsidR="005C3098" w:rsidRPr="008E7DBB" w:rsidRDefault="005C3098" w:rsidP="005C3098">
      <w:pPr>
        <w:adjustRightInd w:val="0"/>
        <w:snapToGrid w:val="0"/>
        <w:spacing w:line="480" w:lineRule="auto"/>
        <w:rPr>
          <w:rFonts w:ascii="Times New Roman" w:hAnsi="Times New Roman" w:cs="Times New Roman"/>
          <w:b/>
          <w:color w:val="000000" w:themeColor="text1"/>
          <w:sz w:val="22"/>
        </w:rPr>
      </w:pPr>
      <w:r w:rsidRPr="008E7DBB">
        <w:rPr>
          <w:rFonts w:ascii="Times New Roman" w:hAnsi="Times New Roman" w:cs="Times New Roman"/>
          <w:bCs/>
          <w:color w:val="000000" w:themeColor="text1"/>
          <w:sz w:val="22"/>
          <w:vertAlign w:val="superscript"/>
        </w:rPr>
        <w:t>1</w:t>
      </w:r>
      <w:r w:rsidRPr="008E7DBB">
        <w:rPr>
          <w:rFonts w:ascii="Times New Roman" w:hAnsi="Times New Roman" w:cs="Times New Roman"/>
          <w:color w:val="000000" w:themeColor="text1"/>
          <w:sz w:val="22"/>
        </w:rPr>
        <w:t xml:space="preserve"> Co-first author</w:t>
      </w:r>
    </w:p>
    <w:p w14:paraId="0E9DE9B3" w14:textId="77777777" w:rsidR="005C3098" w:rsidRPr="008E7DBB" w:rsidRDefault="005C3098" w:rsidP="005C3098">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color w:val="000000" w:themeColor="text1"/>
          <w:sz w:val="22"/>
        </w:rPr>
        <w:t xml:space="preserve">*Address correspondence to: Zhi-Yuan Zhang, Nanjing Medical University, </w:t>
      </w:r>
      <w:proofErr w:type="spellStart"/>
      <w:r w:rsidRPr="008E7DBB">
        <w:rPr>
          <w:rFonts w:ascii="Times New Roman" w:hAnsi="Times New Roman" w:cs="Times New Roman"/>
          <w:color w:val="000000" w:themeColor="text1"/>
          <w:sz w:val="22"/>
        </w:rPr>
        <w:t>Longmian</w:t>
      </w:r>
      <w:proofErr w:type="spellEnd"/>
      <w:r w:rsidRPr="008E7DBB">
        <w:rPr>
          <w:rFonts w:ascii="Times New Roman" w:hAnsi="Times New Roman" w:cs="Times New Roman"/>
          <w:color w:val="000000" w:themeColor="text1"/>
          <w:sz w:val="22"/>
        </w:rPr>
        <w:t xml:space="preserve"> Avenue 101, Nanjing 211166, China. Email: </w:t>
      </w:r>
      <w:hyperlink r:id="rId7" w:history="1">
        <w:r w:rsidRPr="008E7DBB">
          <w:rPr>
            <w:rStyle w:val="a8"/>
            <w:rFonts w:ascii="Times New Roman" w:hAnsi="Times New Roman" w:cs="Times New Roman"/>
            <w:color w:val="000000" w:themeColor="text1"/>
            <w:sz w:val="22"/>
          </w:rPr>
          <w:t>zzy@njmu.edu.cn</w:t>
        </w:r>
      </w:hyperlink>
      <w:r w:rsidRPr="008E7DBB">
        <w:rPr>
          <w:rFonts w:ascii="Times New Roman" w:hAnsi="Times New Roman" w:cs="Times New Roman"/>
          <w:color w:val="000000" w:themeColor="text1"/>
          <w:sz w:val="22"/>
        </w:rPr>
        <w:t xml:space="preserve">. Tel: +86-25-86869333; Fax: +86-25-86869333. </w:t>
      </w:r>
      <w:proofErr w:type="spellStart"/>
      <w:r w:rsidRPr="008E7DBB">
        <w:rPr>
          <w:rFonts w:ascii="Times New Roman" w:hAnsi="Times New Roman" w:cs="Times New Roman"/>
          <w:color w:val="000000" w:themeColor="text1"/>
          <w:sz w:val="22"/>
        </w:rPr>
        <w:t>Xiaoliang</w:t>
      </w:r>
      <w:proofErr w:type="spellEnd"/>
      <w:r w:rsidRPr="008E7DBB">
        <w:rPr>
          <w:rFonts w:ascii="Times New Roman" w:hAnsi="Times New Roman" w:cs="Times New Roman"/>
          <w:color w:val="000000" w:themeColor="text1"/>
          <w:sz w:val="22"/>
        </w:rPr>
        <w:t xml:space="preserve"> Wang, Nanjing First Hospital, Nanjing Medical University, </w:t>
      </w:r>
      <w:proofErr w:type="spellStart"/>
      <w:r w:rsidRPr="008E7DBB">
        <w:rPr>
          <w:rFonts w:ascii="Times New Roman" w:hAnsi="Times New Roman" w:cs="Times New Roman"/>
          <w:color w:val="000000" w:themeColor="text1"/>
          <w:sz w:val="22"/>
        </w:rPr>
        <w:t>Changle</w:t>
      </w:r>
      <w:proofErr w:type="spellEnd"/>
      <w:r w:rsidRPr="008E7DBB">
        <w:rPr>
          <w:rFonts w:ascii="Times New Roman" w:hAnsi="Times New Roman" w:cs="Times New Roman"/>
          <w:color w:val="000000" w:themeColor="text1"/>
          <w:sz w:val="22"/>
        </w:rPr>
        <w:t xml:space="preserve"> Road 89, Nanjing 210029, China. Email: </w:t>
      </w:r>
      <w:hyperlink r:id="rId8" w:history="1">
        <w:r w:rsidRPr="008E7DBB">
          <w:rPr>
            <w:rStyle w:val="a8"/>
            <w:rFonts w:ascii="Times New Roman" w:hAnsi="Times New Roman" w:cs="Times New Roman"/>
            <w:color w:val="000000" w:themeColor="text1"/>
            <w:sz w:val="22"/>
          </w:rPr>
          <w:t>wxl145381@njmu.edu.cn</w:t>
        </w:r>
      </w:hyperlink>
      <w:r w:rsidRPr="008E7DBB">
        <w:rPr>
          <w:rFonts w:ascii="Times New Roman" w:hAnsi="Times New Roman" w:cs="Times New Roman"/>
          <w:color w:val="000000" w:themeColor="text1"/>
          <w:sz w:val="22"/>
        </w:rPr>
        <w:t>.</w:t>
      </w:r>
    </w:p>
    <w:p w14:paraId="5B1B30E6" w14:textId="77777777" w:rsidR="005C3098" w:rsidRPr="008E7DBB" w:rsidRDefault="005C3098" w:rsidP="005C3098">
      <w:pPr>
        <w:adjustRightInd w:val="0"/>
        <w:snapToGrid w:val="0"/>
        <w:spacing w:line="480" w:lineRule="auto"/>
        <w:rPr>
          <w:rFonts w:ascii="Times New Roman" w:hAnsi="Times New Roman" w:cs="Times New Roman"/>
          <w:b/>
          <w:bCs/>
          <w:color w:val="000000" w:themeColor="text1"/>
          <w:sz w:val="22"/>
        </w:rPr>
      </w:pPr>
    </w:p>
    <w:p w14:paraId="3D2FBC39" w14:textId="77777777" w:rsidR="005C3098" w:rsidRPr="008E7DBB" w:rsidRDefault="005C3098" w:rsidP="005C3098">
      <w:pPr>
        <w:widowControl/>
        <w:adjustRightInd w:val="0"/>
        <w:snapToGrid w:val="0"/>
        <w:spacing w:line="480" w:lineRule="auto"/>
        <w:jc w:val="left"/>
        <w:rPr>
          <w:rFonts w:ascii="Times New Roman" w:hAnsi="Times New Roman" w:cs="Times New Roman"/>
          <w:color w:val="000000" w:themeColor="text1"/>
          <w:sz w:val="22"/>
        </w:rPr>
      </w:pPr>
      <w:r w:rsidRPr="008E7DBB">
        <w:rPr>
          <w:rFonts w:ascii="Times New Roman" w:hAnsi="Times New Roman" w:cs="Times New Roman"/>
          <w:color w:val="000000" w:themeColor="text1"/>
          <w:sz w:val="22"/>
        </w:rPr>
        <w:br w:type="page"/>
      </w:r>
    </w:p>
    <w:p w14:paraId="4F99EDE7" w14:textId="03F01B35" w:rsidR="007C43FB" w:rsidRPr="008E7DBB" w:rsidRDefault="005F0D58" w:rsidP="00904C55">
      <w:pPr>
        <w:spacing w:line="400" w:lineRule="exact"/>
        <w:jc w:val="left"/>
        <w:outlineLvl w:val="1"/>
        <w:rPr>
          <w:rFonts w:ascii="Times New Roman" w:eastAsiaTheme="minorHAnsi" w:hAnsi="Times New Roman" w:cs="Times New Roman"/>
          <w:b/>
          <w:color w:val="000000" w:themeColor="text1"/>
          <w:spacing w:val="-6"/>
          <w:sz w:val="24"/>
        </w:rPr>
      </w:pPr>
      <w:bookmarkStart w:id="11" w:name="_Hlk97395067"/>
      <w:bookmarkEnd w:id="0"/>
      <w:r w:rsidRPr="008E7DBB">
        <w:rPr>
          <w:rFonts w:ascii="Times New Roman" w:eastAsiaTheme="minorHAnsi" w:hAnsi="Times New Roman" w:cs="Times New Roman"/>
          <w:b/>
          <w:color w:val="000000" w:themeColor="text1"/>
          <w:spacing w:val="-6"/>
          <w:sz w:val="24"/>
        </w:rPr>
        <w:lastRenderedPageBreak/>
        <w:t>Supplementary</w:t>
      </w:r>
      <w:r w:rsidR="003A718B" w:rsidRPr="008E7DBB">
        <w:rPr>
          <w:rFonts w:ascii="Times New Roman" w:eastAsiaTheme="minorHAnsi" w:hAnsi="Times New Roman" w:cs="Times New Roman"/>
          <w:b/>
          <w:color w:val="000000" w:themeColor="text1"/>
          <w:spacing w:val="-6"/>
          <w:sz w:val="24"/>
        </w:rPr>
        <w:t xml:space="preserve"> </w:t>
      </w:r>
      <w:r w:rsidR="008A6A2C" w:rsidRPr="008E7DBB">
        <w:rPr>
          <w:rFonts w:ascii="Times New Roman" w:eastAsiaTheme="minorHAnsi" w:hAnsi="Times New Roman" w:cs="Times New Roman"/>
          <w:b/>
          <w:color w:val="000000" w:themeColor="text1"/>
          <w:spacing w:val="-6"/>
          <w:sz w:val="24"/>
        </w:rPr>
        <w:t>Figure</w:t>
      </w:r>
      <w:r w:rsidR="003A718B" w:rsidRPr="008E7DBB">
        <w:rPr>
          <w:rFonts w:ascii="Times New Roman" w:eastAsiaTheme="minorHAnsi" w:hAnsi="Times New Roman" w:cs="Times New Roman"/>
          <w:b/>
          <w:color w:val="000000" w:themeColor="text1"/>
          <w:spacing w:val="-6"/>
          <w:sz w:val="24"/>
        </w:rPr>
        <w:t>s</w:t>
      </w:r>
    </w:p>
    <w:p w14:paraId="7F9B207D" w14:textId="77777777" w:rsidR="004657D8" w:rsidRPr="008E7DBB" w:rsidRDefault="003A718B" w:rsidP="004657D8">
      <w:pPr>
        <w:adjustRightInd w:val="0"/>
        <w:snapToGrid w:val="0"/>
        <w:spacing w:line="360" w:lineRule="auto"/>
        <w:ind w:leftChars="-67" w:left="1" w:hangingChars="59" w:hanging="142"/>
        <w:jc w:val="center"/>
        <w:rPr>
          <w:rFonts w:ascii="Times New Roman" w:eastAsiaTheme="minorHAnsi" w:hAnsi="Times New Roman" w:cs="Times New Roman"/>
          <w:b/>
          <w:color w:val="000000" w:themeColor="text1"/>
          <w:kern w:val="0"/>
          <w:sz w:val="24"/>
        </w:rPr>
      </w:pPr>
      <w:bookmarkStart w:id="12" w:name="OLE_LINK9"/>
      <w:bookmarkStart w:id="13" w:name="_Hlk143853271"/>
      <w:bookmarkEnd w:id="11"/>
      <w:r w:rsidRPr="008E7DBB">
        <w:rPr>
          <w:rFonts w:ascii="Times New Roman" w:eastAsiaTheme="minorHAnsi" w:hAnsi="Times New Roman" w:cs="Times New Roman"/>
          <w:b/>
          <w:noProof/>
          <w:color w:val="000000" w:themeColor="text1"/>
          <w:kern w:val="0"/>
          <w:sz w:val="24"/>
        </w:rPr>
        <w:drawing>
          <wp:inline distT="0" distB="0" distL="0" distR="0" wp14:anchorId="304DB40F" wp14:editId="4793DA3A">
            <wp:extent cx="5913084" cy="1816769"/>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33794" cy="1823132"/>
                    </a:xfrm>
                    <a:prstGeom prst="rect">
                      <a:avLst/>
                    </a:prstGeom>
                  </pic:spPr>
                </pic:pic>
              </a:graphicData>
            </a:graphic>
          </wp:inline>
        </w:drawing>
      </w:r>
    </w:p>
    <w:p w14:paraId="4E342DD5" w14:textId="4C7716A5" w:rsidR="00FF3E23" w:rsidRPr="008E7DBB" w:rsidRDefault="008E5E5C" w:rsidP="00FF3E23">
      <w:pPr>
        <w:spacing w:line="400" w:lineRule="exact"/>
        <w:ind w:firstLineChars="200" w:firstLine="396"/>
        <w:outlineLvl w:val="2"/>
        <w:rPr>
          <w:rFonts w:ascii="Times New Roman" w:eastAsia="等线" w:hAnsi="Times New Roman" w:cs="Times New Roman"/>
          <w:b/>
          <w:bCs/>
          <w:color w:val="000000" w:themeColor="text1"/>
          <w:spacing w:val="-6"/>
          <w:szCs w:val="21"/>
        </w:rPr>
      </w:pPr>
      <w:bookmarkStart w:id="14" w:name="OLE_LINK4"/>
      <w:bookmarkEnd w:id="12"/>
      <w:r w:rsidRPr="008E7DBB">
        <w:rPr>
          <w:rFonts w:ascii="Times New Roman" w:eastAsia="等线" w:hAnsi="Times New Roman" w:cs="Times New Roman"/>
          <w:b/>
          <w:bCs/>
          <w:color w:val="000000" w:themeColor="text1"/>
          <w:spacing w:val="-6"/>
          <w:szCs w:val="21"/>
        </w:rPr>
        <w:t>Figure S</w:t>
      </w:r>
      <w:r w:rsidR="00FF3E23" w:rsidRPr="008E7DBB">
        <w:rPr>
          <w:rFonts w:ascii="Times New Roman" w:eastAsia="等线" w:hAnsi="Times New Roman" w:cs="Times New Roman"/>
          <w:b/>
          <w:bCs/>
          <w:color w:val="000000" w:themeColor="text1"/>
          <w:spacing w:val="-6"/>
          <w:szCs w:val="21"/>
        </w:rPr>
        <w:t>1. Effect of exploratory laparotomy on body weight and food intake in young and aged mice over a 14-day post-surgery period.</w:t>
      </w:r>
    </w:p>
    <w:p w14:paraId="1390C5FC" w14:textId="54E11BE6" w:rsidR="005C6DFD" w:rsidRPr="008E7DBB" w:rsidRDefault="00FF3E23" w:rsidP="00FF3E23">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(A) Changes in body weight of young (2-month-old) and aged (18-month-old) mice subjected to exploratory laparotomy over 14 days, with non-operated young and aged mice serving as controls. (B) Daily food intake for each mouse over the 14-day post-surgery period. (C) Daily food intake normalized to body weight for each mouse over the 14-day post-surgery period.</w:t>
      </w:r>
      <w:r w:rsidRPr="008E7DBB">
        <w:rPr>
          <w:rFonts w:ascii="Times New Roman" w:eastAsiaTheme="minorHAnsi" w:hAnsi="Times New Roman" w:cs="Times New Roman" w:hint="eastAsia"/>
          <w:color w:val="000000" w:themeColor="text1"/>
          <w:spacing w:val="-6"/>
          <w:szCs w:val="21"/>
        </w:rPr>
        <w:t xml:space="preserve"> </w:t>
      </w:r>
    </w:p>
    <w:bookmarkEnd w:id="13"/>
    <w:bookmarkEnd w:id="14"/>
    <w:p w14:paraId="7D3A4E92" w14:textId="2095EE50" w:rsidR="00202C3B" w:rsidRPr="008E7DBB" w:rsidRDefault="003A718B" w:rsidP="00202C3B">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br w:type="page"/>
      </w:r>
    </w:p>
    <w:p w14:paraId="4B06AD6C" w14:textId="77777777" w:rsidR="005C5325" w:rsidRPr="008E7DBB" w:rsidRDefault="005C5325" w:rsidP="00D537A9">
      <w:pPr>
        <w:adjustRightInd w:val="0"/>
        <w:snapToGrid w:val="0"/>
        <w:spacing w:line="480" w:lineRule="auto"/>
        <w:ind w:leftChars="-135" w:left="1" w:hangingChars="129" w:hanging="284"/>
        <w:rPr>
          <w:rFonts w:ascii="Times New Roman" w:hAnsi="Times New Roman" w:cs="Times New Roman"/>
          <w:color w:val="000000" w:themeColor="text1"/>
          <w:sz w:val="22"/>
        </w:rPr>
      </w:pPr>
      <w:bookmarkStart w:id="15" w:name="_Hlk143854254"/>
      <w:bookmarkStart w:id="16" w:name="_Hlk80211036"/>
      <w:r w:rsidRPr="008E7DBB">
        <w:rPr>
          <w:rFonts w:ascii="Times New Roman" w:hAnsi="Times New Roman" w:cs="Times New Roman"/>
          <w:noProof/>
          <w:color w:val="000000" w:themeColor="text1"/>
          <w:sz w:val="22"/>
        </w:rPr>
        <w:lastRenderedPageBreak/>
        <w:drawing>
          <wp:inline distT="0" distB="0" distL="0" distR="0" wp14:anchorId="4BD47441" wp14:editId="3EBF899A">
            <wp:extent cx="5663821" cy="5179216"/>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67010" cy="5182132"/>
                    </a:xfrm>
                    <a:prstGeom prst="rect">
                      <a:avLst/>
                    </a:prstGeom>
                    <a:noFill/>
                    <a:ln>
                      <a:noFill/>
                    </a:ln>
                  </pic:spPr>
                </pic:pic>
              </a:graphicData>
            </a:graphic>
          </wp:inline>
        </w:drawing>
      </w:r>
    </w:p>
    <w:p w14:paraId="6060ED9D" w14:textId="77777777" w:rsidR="008063A7" w:rsidRPr="008E7DBB" w:rsidRDefault="008063A7" w:rsidP="008063A7">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Figure S2. Comparative composition of gut microbiota in young and aged mice subjected to surgery and with or without behavioral tests</w:t>
      </w:r>
    </w:p>
    <w:p w14:paraId="10D1AD54" w14:textId="5554A20C" w:rsidR="00176DC2" w:rsidRPr="008E7DBB" w:rsidRDefault="008063A7" w:rsidP="008063A7">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 xml:space="preserve">(A) Bar graph demonstrates species composition variations in the fecal samples, spanning various taxonomic levels. (B) Venn diagram showcases the OTUs identified in fecal samples using 16S rRNA gene sequencing, highlighting shared and unique OTUs across groups. (C) The α-diversity analysis of gut microbiota across all groups. (D) NMDS elucidates the beta diversity of gut microbiota in fecal samples. (E) PERMANOVA analysis assesses the beta diversity within fecal samples. (F) </w:t>
      </w:r>
      <w:proofErr w:type="spellStart"/>
      <w:r w:rsidRPr="008E7DBB">
        <w:rPr>
          <w:rFonts w:ascii="Times New Roman" w:eastAsiaTheme="minorHAnsi" w:hAnsi="Times New Roman" w:cs="Times New Roman"/>
          <w:color w:val="000000" w:themeColor="text1"/>
          <w:spacing w:val="-6"/>
          <w:szCs w:val="21"/>
        </w:rPr>
        <w:t>LEfSe</w:t>
      </w:r>
      <w:proofErr w:type="spellEnd"/>
      <w:r w:rsidRPr="008E7DBB">
        <w:rPr>
          <w:rFonts w:ascii="Times New Roman" w:eastAsiaTheme="minorHAnsi" w:hAnsi="Times New Roman" w:cs="Times New Roman"/>
          <w:color w:val="000000" w:themeColor="text1"/>
          <w:spacing w:val="-6"/>
          <w:szCs w:val="21"/>
        </w:rPr>
        <w:t xml:space="preserve"> analysis pinpoints species with significant variances in fecal samples, using a one-against-all strategy with an LDA threshold of 2.</w:t>
      </w:r>
    </w:p>
    <w:bookmarkEnd w:id="15"/>
    <w:p w14:paraId="42359CC3" w14:textId="77777777" w:rsidR="00202C3B" w:rsidRPr="008E7DBB" w:rsidRDefault="003A718B">
      <w:pPr>
        <w:widowControl/>
        <w:jc w:val="left"/>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br w:type="page"/>
      </w:r>
    </w:p>
    <w:p w14:paraId="05AEE671" w14:textId="2D637C49" w:rsidR="0031279B" w:rsidRPr="008E7DBB" w:rsidRDefault="0031279B" w:rsidP="0031279B">
      <w:pPr>
        <w:adjustRightInd w:val="0"/>
        <w:snapToGrid w:val="0"/>
        <w:spacing w:line="480" w:lineRule="auto"/>
        <w:rPr>
          <w:rFonts w:ascii="Times New Roman" w:hAnsi="Times New Roman" w:cs="Times New Roman"/>
          <w:color w:val="000000" w:themeColor="text1"/>
          <w:sz w:val="22"/>
        </w:rPr>
      </w:pPr>
      <w:bookmarkStart w:id="17" w:name="_Hlk143557254"/>
      <w:bookmarkEnd w:id="16"/>
      <w:r w:rsidRPr="008E7DBB">
        <w:rPr>
          <w:rFonts w:ascii="Times New Roman" w:hAnsi="Times New Roman" w:cs="Times New Roman"/>
          <w:noProof/>
          <w:color w:val="000000" w:themeColor="text1"/>
          <w:sz w:val="22"/>
        </w:rPr>
        <w:lastRenderedPageBreak/>
        <w:drawing>
          <wp:inline distT="0" distB="0" distL="0" distR="0" wp14:anchorId="097C2EF4" wp14:editId="0F4E59D9">
            <wp:extent cx="5267018" cy="294568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267018" cy="2945680"/>
                    </a:xfrm>
                    <a:prstGeom prst="rect">
                      <a:avLst/>
                    </a:prstGeom>
                    <a:noFill/>
                    <a:ln>
                      <a:noFill/>
                    </a:ln>
                  </pic:spPr>
                </pic:pic>
              </a:graphicData>
            </a:graphic>
          </wp:inline>
        </w:drawing>
      </w:r>
    </w:p>
    <w:p w14:paraId="1B4E5074" w14:textId="77777777" w:rsidR="00DE673C" w:rsidRPr="008E7DBB" w:rsidRDefault="00DE673C" w:rsidP="00DE673C">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Figure S3. Influence of antibiotics vancomycin and ampicillin on gut microbiota diversity in mice prior to surgery</w:t>
      </w:r>
    </w:p>
    <w:p w14:paraId="26712924" w14:textId="77777777" w:rsidR="00DE673C" w:rsidRPr="008E7DBB" w:rsidRDefault="00DE673C" w:rsidP="00DE673C">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Prior to surgery, mice designated for FMT underwent a seven-day regimen with drinking water infused with antibiotics (vancomycin at 0.5 g/L and ampicillin at 1 g/L) to mitigate their intrinsic gut microbial populations.</w:t>
      </w:r>
      <w:r w:rsidRPr="008E7DBB">
        <w:rPr>
          <w:rFonts w:ascii="Times New Roman" w:eastAsiaTheme="minorHAnsi" w:hAnsi="Times New Roman" w:cs="Times New Roman" w:hint="eastAsia"/>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(A) Bar chart reveals species composition differences across groups.</w:t>
      </w:r>
      <w:r w:rsidRPr="008E7DBB">
        <w:rPr>
          <w:rFonts w:ascii="Times New Roman" w:eastAsiaTheme="minorHAnsi" w:hAnsi="Times New Roman" w:cs="Times New Roman" w:hint="eastAsia"/>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 xml:space="preserve">(B) Venn diagram presents OTUs from fecal samples identified via 16S rRNA gene sequencing. (C) Exploration of the α-diversity of fecal-derived gut microbiota. (D) </w:t>
      </w:r>
      <w:proofErr w:type="spellStart"/>
      <w:r w:rsidRPr="008E7DBB">
        <w:rPr>
          <w:rFonts w:ascii="Times New Roman" w:eastAsiaTheme="minorHAnsi" w:hAnsi="Times New Roman" w:cs="Times New Roman"/>
          <w:color w:val="000000" w:themeColor="text1"/>
          <w:spacing w:val="-6"/>
          <w:szCs w:val="21"/>
        </w:rPr>
        <w:t>PCoA</w:t>
      </w:r>
      <w:proofErr w:type="spellEnd"/>
      <w:r w:rsidRPr="008E7DBB">
        <w:rPr>
          <w:rFonts w:ascii="Times New Roman" w:eastAsiaTheme="minorHAnsi" w:hAnsi="Times New Roman" w:cs="Times New Roman"/>
          <w:color w:val="000000" w:themeColor="text1"/>
          <w:spacing w:val="-6"/>
          <w:szCs w:val="21"/>
        </w:rPr>
        <w:t xml:space="preserve"> analysis probes the beta-diversity in mouse fecal samples. (E) PERMANOVA analysis quantifies the beta diversity of gut microbiota.</w:t>
      </w:r>
    </w:p>
    <w:bookmarkEnd w:id="17"/>
    <w:p w14:paraId="4299089E" w14:textId="7390DBA8" w:rsidR="00202C3B" w:rsidRPr="008E7DBB" w:rsidRDefault="003A718B" w:rsidP="00202C3B">
      <w:pPr>
        <w:spacing w:line="400" w:lineRule="exact"/>
        <w:ind w:firstLineChars="200" w:firstLine="400"/>
        <w:rPr>
          <w:rFonts w:ascii="Times New Roman" w:eastAsiaTheme="minorHAnsi" w:hAnsi="Times New Roman" w:cs="Times New Roman"/>
          <w:bCs/>
          <w:color w:val="000000" w:themeColor="text1"/>
          <w:sz w:val="20"/>
          <w:szCs w:val="20"/>
        </w:rPr>
      </w:pPr>
      <w:r w:rsidRPr="008E7DBB">
        <w:rPr>
          <w:rFonts w:ascii="Times New Roman" w:eastAsiaTheme="minorHAnsi" w:hAnsi="Times New Roman" w:cs="Times New Roman"/>
          <w:bCs/>
          <w:color w:val="000000" w:themeColor="text1"/>
          <w:sz w:val="20"/>
          <w:szCs w:val="20"/>
        </w:rPr>
        <w:br w:type="page"/>
      </w:r>
    </w:p>
    <w:p w14:paraId="16CAC49F" w14:textId="77777777" w:rsidR="005C5325" w:rsidRPr="008E7DBB" w:rsidRDefault="005C5325" w:rsidP="005C5325">
      <w:pPr>
        <w:adjustRightInd w:val="0"/>
        <w:snapToGrid w:val="0"/>
        <w:spacing w:line="480" w:lineRule="auto"/>
        <w:rPr>
          <w:rFonts w:ascii="Times New Roman" w:hAnsi="Times New Roman" w:cs="Times New Roman"/>
          <w:color w:val="000000" w:themeColor="text1"/>
          <w:sz w:val="22"/>
        </w:rPr>
      </w:pPr>
      <w:bookmarkStart w:id="18" w:name="OLE_LINK2"/>
      <w:bookmarkStart w:id="19" w:name="_Hlk143854117"/>
      <w:r w:rsidRPr="008E7DBB">
        <w:rPr>
          <w:rFonts w:ascii="Times New Roman" w:hAnsi="Times New Roman" w:cs="Times New Roman"/>
          <w:noProof/>
          <w:color w:val="000000" w:themeColor="text1"/>
          <w:sz w:val="22"/>
        </w:rPr>
        <w:lastRenderedPageBreak/>
        <w:drawing>
          <wp:inline distT="0" distB="0" distL="0" distR="0" wp14:anchorId="3B1C886F" wp14:editId="74AE47A9">
            <wp:extent cx="5830215" cy="5385888"/>
            <wp:effectExtent l="0" t="0" r="0" b="5715"/>
            <wp:docPr id="348442377" name="图片 34844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2377" name="图片 34844237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35005" cy="5390313"/>
                    </a:xfrm>
                    <a:prstGeom prst="rect">
                      <a:avLst/>
                    </a:prstGeom>
                    <a:noFill/>
                    <a:ln>
                      <a:noFill/>
                    </a:ln>
                  </pic:spPr>
                </pic:pic>
              </a:graphicData>
            </a:graphic>
          </wp:inline>
        </w:drawing>
      </w:r>
    </w:p>
    <w:p w14:paraId="11B16BF2" w14:textId="01048489" w:rsidR="006049B1" w:rsidRPr="008E7DBB" w:rsidRDefault="008E5E5C" w:rsidP="006049B1">
      <w:pPr>
        <w:spacing w:line="400" w:lineRule="exact"/>
        <w:ind w:firstLineChars="200" w:firstLine="396"/>
        <w:outlineLvl w:val="2"/>
        <w:rPr>
          <w:rFonts w:ascii="Times New Roman" w:eastAsia="等线" w:hAnsi="Times New Roman" w:cs="Times New Roman"/>
          <w:b/>
          <w:bCs/>
          <w:color w:val="000000" w:themeColor="text1"/>
          <w:spacing w:val="-6"/>
          <w:szCs w:val="21"/>
        </w:rPr>
      </w:pPr>
      <w:bookmarkStart w:id="20" w:name="OLE_LINK5"/>
      <w:r w:rsidRPr="008E7DBB">
        <w:rPr>
          <w:rFonts w:ascii="Times New Roman" w:eastAsia="等线" w:hAnsi="Times New Roman" w:cs="Times New Roman"/>
          <w:b/>
          <w:bCs/>
          <w:color w:val="000000" w:themeColor="text1"/>
          <w:spacing w:val="-6"/>
          <w:szCs w:val="21"/>
        </w:rPr>
        <w:t>Figure S</w:t>
      </w:r>
      <w:r w:rsidR="006049B1" w:rsidRPr="008E7DBB">
        <w:rPr>
          <w:rFonts w:ascii="Times New Roman" w:eastAsia="等线" w:hAnsi="Times New Roman" w:cs="Times New Roman"/>
          <w:b/>
          <w:bCs/>
          <w:color w:val="000000" w:themeColor="text1"/>
          <w:spacing w:val="-6"/>
          <w:szCs w:val="21"/>
        </w:rPr>
        <w:t>4</w:t>
      </w:r>
      <w:r w:rsidR="008D5D6E" w:rsidRPr="008E7DBB">
        <w:rPr>
          <w:rFonts w:ascii="Times New Roman" w:eastAsia="等线" w:hAnsi="Times New Roman" w:cs="Times New Roman"/>
          <w:b/>
          <w:bCs/>
          <w:color w:val="000000" w:themeColor="text1"/>
          <w:spacing w:val="-6"/>
          <w:szCs w:val="21"/>
        </w:rPr>
        <w:t>.</w:t>
      </w:r>
      <w:r w:rsidR="006049B1" w:rsidRPr="008E7DBB">
        <w:rPr>
          <w:rFonts w:ascii="Times New Roman" w:eastAsia="等线" w:hAnsi="Times New Roman" w:cs="Times New Roman"/>
          <w:b/>
          <w:bCs/>
          <w:color w:val="000000" w:themeColor="text1"/>
          <w:spacing w:val="-6"/>
          <w:szCs w:val="21"/>
        </w:rPr>
        <w:t xml:space="preserve"> </w:t>
      </w:r>
      <w:r w:rsidR="00822EAF" w:rsidRPr="008E7DBB">
        <w:rPr>
          <w:rFonts w:ascii="Times New Roman" w:eastAsia="等线" w:hAnsi="Times New Roman" w:cs="Times New Roman"/>
          <w:b/>
          <w:bCs/>
          <w:color w:val="000000" w:themeColor="text1"/>
          <w:spacing w:val="-6"/>
          <w:szCs w:val="21"/>
        </w:rPr>
        <w:t>I</w:t>
      </w:r>
      <w:r w:rsidR="00992412" w:rsidRPr="008E7DBB">
        <w:rPr>
          <w:rFonts w:ascii="Times New Roman" w:eastAsia="等线" w:hAnsi="Times New Roman" w:cs="Times New Roman"/>
          <w:b/>
          <w:bCs/>
          <w:color w:val="000000" w:themeColor="text1"/>
          <w:spacing w:val="-6"/>
          <w:szCs w:val="21"/>
        </w:rPr>
        <w:t>mpact</w:t>
      </w:r>
      <w:r w:rsidR="00AC54E0" w:rsidRPr="008E7DBB">
        <w:rPr>
          <w:rFonts w:ascii="Times New Roman" w:eastAsia="等线" w:hAnsi="Times New Roman" w:cs="Times New Roman" w:hint="eastAsia"/>
          <w:b/>
          <w:bCs/>
          <w:color w:val="000000" w:themeColor="text1"/>
          <w:spacing w:val="-6"/>
          <w:szCs w:val="21"/>
        </w:rPr>
        <w:t>s</w:t>
      </w:r>
      <w:r w:rsidR="00992412" w:rsidRPr="008E7DBB">
        <w:rPr>
          <w:rFonts w:ascii="Times New Roman" w:eastAsia="等线" w:hAnsi="Times New Roman" w:cs="Times New Roman"/>
          <w:b/>
          <w:bCs/>
          <w:color w:val="000000" w:themeColor="text1"/>
          <w:spacing w:val="-6"/>
          <w:szCs w:val="21"/>
        </w:rPr>
        <w:t xml:space="preserve"> of </w:t>
      </w:r>
      <w:r w:rsidR="00C91AF6" w:rsidRPr="008E7DBB">
        <w:rPr>
          <w:rFonts w:ascii="Times New Roman" w:eastAsia="等线" w:hAnsi="Times New Roman" w:cs="Times New Roman"/>
          <w:b/>
          <w:bCs/>
          <w:color w:val="000000" w:themeColor="text1"/>
          <w:spacing w:val="-6"/>
          <w:szCs w:val="21"/>
        </w:rPr>
        <w:t>dexamethasone</w:t>
      </w:r>
      <w:r w:rsidR="00992412" w:rsidRPr="008E7DBB">
        <w:rPr>
          <w:rFonts w:ascii="Times New Roman" w:eastAsia="等线" w:hAnsi="Times New Roman" w:cs="Times New Roman"/>
          <w:b/>
          <w:bCs/>
          <w:color w:val="000000" w:themeColor="text1"/>
          <w:spacing w:val="-6"/>
          <w:szCs w:val="21"/>
        </w:rPr>
        <w:t xml:space="preserve"> on cognition and intestinal function in young and aged surgical mice</w:t>
      </w:r>
    </w:p>
    <w:p w14:paraId="552ADDE6" w14:textId="08EF3C04" w:rsidR="0033665F" w:rsidRPr="008E7DBB" w:rsidRDefault="0033665F" w:rsidP="00B803F0">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 xml:space="preserve">(A) Flow chart of the experiment indicates the pretreatment of </w:t>
      </w:r>
      <w:r w:rsidR="009914D0" w:rsidRPr="008E7DBB">
        <w:rPr>
          <w:rFonts w:ascii="Times New Roman" w:eastAsiaTheme="minorHAnsi" w:hAnsi="Times New Roman" w:cs="Times New Roman"/>
          <w:color w:val="000000" w:themeColor="text1"/>
          <w:spacing w:val="-6"/>
          <w:szCs w:val="21"/>
        </w:rPr>
        <w:t>dexamethasone</w:t>
      </w:r>
      <w:r w:rsidRPr="008E7DBB">
        <w:rPr>
          <w:rFonts w:ascii="Times New Roman" w:eastAsiaTheme="minorHAnsi" w:hAnsi="Times New Roman" w:cs="Times New Roman"/>
          <w:color w:val="000000" w:themeColor="text1"/>
          <w:spacing w:val="-6"/>
          <w:szCs w:val="21"/>
        </w:rPr>
        <w:t xml:space="preserve"> in aged mice before surgery and the detection time of each cognitive behavior. (B) Swimming path diagrams of the aged mice with different treatment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on postoperative day 12 and day 13. (C) Latency to find the platform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from 8 to 12 days after surgery of the aged mice. </w:t>
      </w:r>
      <w:r w:rsidR="00376324" w:rsidRPr="008E7DBB">
        <w:rPr>
          <w:rFonts w:ascii="Times New Roman" w:eastAsiaTheme="minorHAnsi" w:hAnsi="Times New Roman" w:cs="Times New Roman"/>
          <w:color w:val="000000" w:themeColor="text1"/>
          <w:spacing w:val="-6"/>
          <w:szCs w:val="21"/>
        </w:rPr>
        <w:t>(D) The number of times of mice in each group crossed the platform in the MWM test in the 13</w:t>
      </w:r>
      <w:r w:rsidR="00376324" w:rsidRPr="008E7DBB">
        <w:rPr>
          <w:rFonts w:ascii="Times New Roman" w:eastAsiaTheme="minorHAnsi" w:hAnsi="Times New Roman" w:cs="Times New Roman"/>
          <w:color w:val="000000" w:themeColor="text1"/>
          <w:spacing w:val="-6"/>
          <w:szCs w:val="21"/>
          <w:vertAlign w:val="superscript"/>
        </w:rPr>
        <w:t>th</w:t>
      </w:r>
      <w:r w:rsidR="00376324" w:rsidRPr="008E7DBB">
        <w:rPr>
          <w:rFonts w:ascii="Times New Roman" w:eastAsiaTheme="minorHAnsi" w:hAnsi="Times New Roman" w:cs="Times New Roman"/>
          <w:color w:val="000000" w:themeColor="text1"/>
          <w:spacing w:val="-6"/>
          <w:szCs w:val="21"/>
        </w:rPr>
        <w:t xml:space="preserve"> days after </w:t>
      </w:r>
      <w:bookmarkStart w:id="21" w:name="_Hlk122730941"/>
      <w:r w:rsidR="00376324" w:rsidRPr="008E7DBB">
        <w:rPr>
          <w:rFonts w:ascii="Times New Roman" w:eastAsiaTheme="minorHAnsi" w:hAnsi="Times New Roman" w:cs="Times New Roman"/>
          <w:color w:val="000000" w:themeColor="text1"/>
          <w:spacing w:val="-6"/>
          <w:szCs w:val="21"/>
        </w:rPr>
        <w:t>surgery</w:t>
      </w:r>
      <w:bookmarkEnd w:id="21"/>
      <w:r w:rsidR="00376324" w:rsidRPr="008E7DBB">
        <w:rPr>
          <w:rFonts w:ascii="Times New Roman" w:eastAsiaTheme="minorHAnsi" w:hAnsi="Times New Roman" w:cs="Times New Roman"/>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 xml:space="preserve">(E) The retention time in the platform quadrant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in the 13</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of the aged mice. (F) Freezing time in the fear conditioning test in the 16</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of the aged mice. (G) Novel object exploration index in novel object recognition in the 19</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of the aged mice. (H) Representative images of immunofluorescence staining of IBA1and GFAP in brain tissues of the aged mice. (I) Correlation with H, the fluorescence intensity of IBA1 and GFAP in the mouse brain tissues was calculated. (J) Representative images of immunofluorescence staining of the tight junction protein ZO-1, Cluadin-1, and </w:t>
      </w:r>
      <w:proofErr w:type="spellStart"/>
      <w:r w:rsidRPr="008E7DBB">
        <w:rPr>
          <w:rFonts w:ascii="Times New Roman" w:eastAsiaTheme="minorHAnsi" w:hAnsi="Times New Roman" w:cs="Times New Roman"/>
          <w:color w:val="000000" w:themeColor="text1"/>
          <w:spacing w:val="-6"/>
          <w:szCs w:val="21"/>
        </w:rPr>
        <w:lastRenderedPageBreak/>
        <w:t>Occludin</w:t>
      </w:r>
      <w:proofErr w:type="spellEnd"/>
      <w:r w:rsidRPr="008E7DBB">
        <w:rPr>
          <w:rFonts w:ascii="Times New Roman" w:eastAsiaTheme="minorHAnsi" w:hAnsi="Times New Roman" w:cs="Times New Roman"/>
          <w:color w:val="000000" w:themeColor="text1"/>
          <w:spacing w:val="-6"/>
          <w:szCs w:val="21"/>
        </w:rPr>
        <w:t xml:space="preserve"> in colon tissues of the aged mice. (K) Correlation with J, the fluorescence intensity of ZO-1, Cluadin-1, and </w:t>
      </w:r>
      <w:proofErr w:type="spellStart"/>
      <w:r w:rsidRPr="008E7DBB">
        <w:rPr>
          <w:rFonts w:ascii="Times New Roman" w:eastAsiaTheme="minorHAnsi" w:hAnsi="Times New Roman" w:cs="Times New Roman"/>
          <w:color w:val="000000" w:themeColor="text1"/>
          <w:spacing w:val="-6"/>
          <w:szCs w:val="21"/>
        </w:rPr>
        <w:t>Occludin</w:t>
      </w:r>
      <w:proofErr w:type="spellEnd"/>
      <w:r w:rsidRPr="008E7DBB">
        <w:rPr>
          <w:rFonts w:ascii="Times New Roman" w:eastAsiaTheme="minorHAnsi" w:hAnsi="Times New Roman" w:cs="Times New Roman"/>
          <w:color w:val="000000" w:themeColor="text1"/>
          <w:spacing w:val="-6"/>
          <w:szCs w:val="21"/>
        </w:rPr>
        <w:t xml:space="preserve"> in the mouse colon tissues was calculated. (L) Representative images of </w:t>
      </w:r>
      <w:r w:rsidR="00BE681C" w:rsidRPr="00BE681C">
        <w:rPr>
          <w:rFonts w:ascii="Times New Roman" w:eastAsiaTheme="minorHAnsi" w:hAnsi="Times New Roman" w:cs="Times New Roman"/>
          <w:color w:val="000000" w:themeColor="text1"/>
          <w:spacing w:val="-6"/>
          <w:szCs w:val="21"/>
        </w:rPr>
        <w:t>immunohistochemical</w:t>
      </w:r>
      <w:r w:rsidRPr="008E7DBB">
        <w:rPr>
          <w:rFonts w:ascii="Times New Roman" w:eastAsiaTheme="minorHAnsi" w:hAnsi="Times New Roman" w:cs="Times New Roman"/>
          <w:color w:val="000000" w:themeColor="text1"/>
          <w:spacing w:val="-6"/>
          <w:szCs w:val="21"/>
        </w:rPr>
        <w:t xml:space="preserve"> staining of the tight junction protein ZO-1, Cluadin-1, and </w:t>
      </w:r>
      <w:proofErr w:type="spellStart"/>
      <w:r w:rsidRPr="008E7DBB">
        <w:rPr>
          <w:rFonts w:ascii="Times New Roman" w:eastAsiaTheme="minorHAnsi" w:hAnsi="Times New Roman" w:cs="Times New Roman"/>
          <w:color w:val="000000" w:themeColor="text1"/>
          <w:spacing w:val="-6"/>
          <w:szCs w:val="21"/>
        </w:rPr>
        <w:t>Occludin</w:t>
      </w:r>
      <w:proofErr w:type="spellEnd"/>
      <w:r w:rsidRPr="008E7DBB">
        <w:rPr>
          <w:rFonts w:ascii="Times New Roman" w:eastAsiaTheme="minorHAnsi" w:hAnsi="Times New Roman" w:cs="Times New Roman"/>
          <w:color w:val="000000" w:themeColor="text1"/>
          <w:spacing w:val="-6"/>
          <w:szCs w:val="21"/>
        </w:rPr>
        <w:t xml:space="preserve"> in ileum tissues of the aged mice. (M) Correlation with L,</w:t>
      </w:r>
      <w:r w:rsidR="00BE681C">
        <w:rPr>
          <w:rFonts w:ascii="Times New Roman" w:eastAsiaTheme="minorHAnsi" w:hAnsi="Times New Roman" w:cs="Times New Roman"/>
          <w:color w:val="000000" w:themeColor="text1"/>
          <w:spacing w:val="-6"/>
          <w:szCs w:val="21"/>
        </w:rPr>
        <w:t xml:space="preserve"> the</w:t>
      </w:r>
      <w:r w:rsidRPr="008E7DBB">
        <w:rPr>
          <w:rFonts w:ascii="Times New Roman" w:eastAsiaTheme="minorHAnsi" w:hAnsi="Times New Roman" w:cs="Times New Roman"/>
          <w:color w:val="000000" w:themeColor="text1"/>
          <w:spacing w:val="-6"/>
          <w:szCs w:val="21"/>
        </w:rPr>
        <w:t xml:space="preserve"> </w:t>
      </w:r>
      <w:r w:rsidR="00BE681C" w:rsidRPr="00BE681C">
        <w:rPr>
          <w:rFonts w:ascii="Times New Roman" w:eastAsiaTheme="minorHAnsi" w:hAnsi="Times New Roman" w:cs="Times New Roman"/>
          <w:color w:val="000000" w:themeColor="text1"/>
          <w:spacing w:val="-6"/>
          <w:szCs w:val="21"/>
        </w:rPr>
        <w:t xml:space="preserve">mean IOD/area of </w:t>
      </w:r>
      <w:r w:rsidRPr="008E7DBB">
        <w:rPr>
          <w:rFonts w:ascii="Times New Roman" w:eastAsiaTheme="minorHAnsi" w:hAnsi="Times New Roman" w:cs="Times New Roman"/>
          <w:color w:val="000000" w:themeColor="text1"/>
          <w:spacing w:val="-6"/>
          <w:szCs w:val="21"/>
        </w:rPr>
        <w:t xml:space="preserve">ZO-1, Cluadin-1, and </w:t>
      </w:r>
      <w:proofErr w:type="spellStart"/>
      <w:r w:rsidRPr="008E7DBB">
        <w:rPr>
          <w:rFonts w:ascii="Times New Roman" w:eastAsiaTheme="minorHAnsi" w:hAnsi="Times New Roman" w:cs="Times New Roman"/>
          <w:color w:val="000000" w:themeColor="text1"/>
          <w:spacing w:val="-6"/>
          <w:szCs w:val="21"/>
        </w:rPr>
        <w:t>Occludin</w:t>
      </w:r>
      <w:proofErr w:type="spellEnd"/>
      <w:r w:rsidRPr="008E7DBB">
        <w:rPr>
          <w:rFonts w:ascii="Times New Roman" w:eastAsiaTheme="minorHAnsi" w:hAnsi="Times New Roman" w:cs="Times New Roman"/>
          <w:color w:val="000000" w:themeColor="text1"/>
          <w:spacing w:val="-6"/>
          <w:szCs w:val="21"/>
        </w:rPr>
        <w:t xml:space="preserve"> in the mouse ileum tissues was calculated. (N) Immunohistochemical staining was used to detects the expression level of IL-17a and IL-22 in ileum tissues of the aged mice</w:t>
      </w:r>
      <w:bookmarkEnd w:id="20"/>
      <w:r w:rsidRPr="008E7DBB">
        <w:rPr>
          <w:rFonts w:ascii="Times New Roman" w:eastAsiaTheme="minorHAnsi" w:hAnsi="Times New Roman" w:cs="Times New Roman"/>
          <w:color w:val="000000" w:themeColor="text1"/>
          <w:spacing w:val="-6"/>
          <w:szCs w:val="21"/>
        </w:rPr>
        <w:t>.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0.05,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0.001,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Pr="008E7DBB">
        <w:rPr>
          <w:rFonts w:ascii="Times New Roman" w:eastAsiaTheme="minorHAnsi" w:hAnsi="Times New Roman" w:cs="Times New Roman"/>
          <w:color w:val="000000" w:themeColor="text1"/>
          <w:spacing w:val="-6"/>
          <w:szCs w:val="21"/>
        </w:rPr>
        <w:t xml:space="preserve">0.0001. </w:t>
      </w:r>
    </w:p>
    <w:p w14:paraId="2F6B94A1" w14:textId="77777777" w:rsidR="006049B1" w:rsidRPr="008E7DBB" w:rsidRDefault="006049B1" w:rsidP="006049B1">
      <w:pPr>
        <w:spacing w:line="400" w:lineRule="exact"/>
        <w:ind w:firstLineChars="200" w:firstLine="400"/>
        <w:rPr>
          <w:rFonts w:ascii="Times New Roman" w:eastAsiaTheme="minorHAnsi" w:hAnsi="Times New Roman" w:cs="Times New Roman"/>
          <w:bCs/>
          <w:color w:val="000000" w:themeColor="text1"/>
          <w:sz w:val="20"/>
          <w:szCs w:val="20"/>
        </w:rPr>
      </w:pPr>
      <w:r w:rsidRPr="008E7DBB">
        <w:rPr>
          <w:rFonts w:ascii="Times New Roman" w:eastAsiaTheme="minorHAnsi" w:hAnsi="Times New Roman" w:cs="Times New Roman"/>
          <w:bCs/>
          <w:color w:val="000000" w:themeColor="text1"/>
          <w:sz w:val="20"/>
          <w:szCs w:val="20"/>
        </w:rPr>
        <w:br w:type="page"/>
      </w:r>
    </w:p>
    <w:p w14:paraId="4D31B453" w14:textId="77777777" w:rsidR="006049B1" w:rsidRPr="008E7DBB" w:rsidRDefault="006049B1" w:rsidP="006049B1">
      <w:pPr>
        <w:adjustRightInd w:val="0"/>
        <w:snapToGrid w:val="0"/>
        <w:spacing w:line="480" w:lineRule="auto"/>
        <w:rPr>
          <w:rFonts w:ascii="Times New Roman" w:hAnsi="Times New Roman" w:cs="Times New Roman"/>
          <w:color w:val="000000" w:themeColor="text1"/>
          <w:sz w:val="22"/>
        </w:rPr>
      </w:pPr>
      <w:r w:rsidRPr="008E7DBB">
        <w:rPr>
          <w:rFonts w:ascii="Times New Roman" w:hAnsi="Times New Roman" w:cs="Times New Roman"/>
          <w:noProof/>
          <w:color w:val="000000" w:themeColor="text1"/>
          <w:sz w:val="22"/>
        </w:rPr>
        <w:lastRenderedPageBreak/>
        <w:drawing>
          <wp:inline distT="0" distB="0" distL="0" distR="0" wp14:anchorId="06DFAF75" wp14:editId="0206E17C">
            <wp:extent cx="5270500" cy="3880065"/>
            <wp:effectExtent l="0" t="0" r="6350" b="6350"/>
            <wp:docPr id="1447635102" name="图片 144763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270500" cy="3880065"/>
                    </a:xfrm>
                    <a:prstGeom prst="rect">
                      <a:avLst/>
                    </a:prstGeom>
                    <a:noFill/>
                    <a:ln>
                      <a:noFill/>
                    </a:ln>
                  </pic:spPr>
                </pic:pic>
              </a:graphicData>
            </a:graphic>
          </wp:inline>
        </w:drawing>
      </w:r>
    </w:p>
    <w:p w14:paraId="7445E788" w14:textId="6A338C1B" w:rsidR="005C5325" w:rsidRPr="008E7DBB" w:rsidRDefault="008E5E5C" w:rsidP="005C5325">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Figure S</w:t>
      </w:r>
      <w:r w:rsidR="005F68D7" w:rsidRPr="008E7DBB">
        <w:rPr>
          <w:rFonts w:ascii="Times New Roman" w:eastAsia="等线" w:hAnsi="Times New Roman" w:cs="Times New Roman"/>
          <w:b/>
          <w:bCs/>
          <w:color w:val="000000" w:themeColor="text1"/>
          <w:spacing w:val="-6"/>
          <w:szCs w:val="21"/>
        </w:rPr>
        <w:t>5</w:t>
      </w:r>
      <w:r w:rsidR="008D5D6E" w:rsidRPr="008E7DBB">
        <w:rPr>
          <w:rFonts w:ascii="Times New Roman" w:eastAsia="等线" w:hAnsi="Times New Roman" w:cs="Times New Roman"/>
          <w:b/>
          <w:bCs/>
          <w:color w:val="000000" w:themeColor="text1"/>
          <w:spacing w:val="-6"/>
          <w:szCs w:val="21"/>
        </w:rPr>
        <w:t>.</w:t>
      </w:r>
      <w:r w:rsidR="005C5325" w:rsidRPr="008E7DBB">
        <w:rPr>
          <w:rFonts w:ascii="Times New Roman" w:eastAsia="等线" w:hAnsi="Times New Roman" w:cs="Times New Roman"/>
          <w:b/>
          <w:bCs/>
          <w:color w:val="000000" w:themeColor="text1"/>
          <w:spacing w:val="-6"/>
          <w:szCs w:val="21"/>
        </w:rPr>
        <w:t xml:space="preserve"> </w:t>
      </w:r>
      <w:r w:rsidR="00BB1C7A" w:rsidRPr="008E7DBB">
        <w:rPr>
          <w:rFonts w:ascii="Times New Roman" w:eastAsia="等线" w:hAnsi="Times New Roman" w:cs="Times New Roman"/>
          <w:b/>
          <w:bCs/>
          <w:color w:val="000000" w:themeColor="text1"/>
          <w:spacing w:val="-6"/>
          <w:szCs w:val="21"/>
        </w:rPr>
        <w:t xml:space="preserve">Impacts of </w:t>
      </w:r>
      <w:r w:rsidR="00C91AF6" w:rsidRPr="008E7DBB">
        <w:rPr>
          <w:rFonts w:ascii="Times New Roman" w:eastAsia="等线" w:hAnsi="Times New Roman" w:cs="Times New Roman"/>
          <w:b/>
          <w:bCs/>
          <w:color w:val="000000" w:themeColor="text1"/>
          <w:spacing w:val="-6"/>
          <w:szCs w:val="21"/>
        </w:rPr>
        <w:t>dexamethasone</w:t>
      </w:r>
      <w:r w:rsidR="00BB1C7A" w:rsidRPr="008E7DBB">
        <w:rPr>
          <w:rFonts w:ascii="Times New Roman" w:eastAsia="等线" w:hAnsi="Times New Roman" w:cs="Times New Roman"/>
          <w:b/>
          <w:bCs/>
          <w:color w:val="000000" w:themeColor="text1"/>
          <w:spacing w:val="-6"/>
          <w:szCs w:val="21"/>
        </w:rPr>
        <w:t xml:space="preserve"> on gut microbiota in aged surgical mice</w:t>
      </w:r>
    </w:p>
    <w:p w14:paraId="1F29B7B5" w14:textId="04179322" w:rsidR="004657D8" w:rsidRPr="008E7DBB" w:rsidRDefault="008064B2" w:rsidP="008064B2">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(A) Bar chart presents species composition variations in mouse fecal samples. (B) Venn diagram indicates the OTUs identified in fecal samples. (</w:t>
      </w:r>
      <w:r w:rsidR="00762E21" w:rsidRPr="008E7DBB">
        <w:rPr>
          <w:rFonts w:ascii="Times New Roman" w:eastAsiaTheme="minorHAnsi" w:hAnsi="Times New Roman" w:cs="Times New Roman"/>
          <w:color w:val="000000" w:themeColor="text1"/>
          <w:spacing w:val="-6"/>
          <w:szCs w:val="21"/>
        </w:rPr>
        <w:t>C</w:t>
      </w:r>
      <w:r w:rsidRPr="008E7DBB">
        <w:rPr>
          <w:rFonts w:ascii="Times New Roman" w:eastAsiaTheme="minorHAnsi" w:hAnsi="Times New Roman" w:cs="Times New Roman"/>
          <w:color w:val="000000" w:themeColor="text1"/>
          <w:spacing w:val="-6"/>
          <w:szCs w:val="21"/>
        </w:rPr>
        <w:t>) Alpha diversity analysis of gut microbiota in fecal samples. (</w:t>
      </w:r>
      <w:r w:rsidR="00762E21" w:rsidRPr="008E7DBB">
        <w:rPr>
          <w:rFonts w:ascii="Times New Roman" w:eastAsiaTheme="minorHAnsi" w:hAnsi="Times New Roman" w:cs="Times New Roman"/>
          <w:color w:val="000000" w:themeColor="text1"/>
          <w:spacing w:val="-6"/>
          <w:szCs w:val="21"/>
        </w:rPr>
        <w:t>D</w:t>
      </w:r>
      <w:r w:rsidRPr="008E7DBB">
        <w:rPr>
          <w:rFonts w:ascii="Times New Roman" w:eastAsiaTheme="minorHAnsi" w:hAnsi="Times New Roman" w:cs="Times New Roman"/>
          <w:color w:val="000000" w:themeColor="text1"/>
          <w:spacing w:val="-6"/>
          <w:szCs w:val="21"/>
        </w:rPr>
        <w:t xml:space="preserve">) NMDS evaluates beta diversity of fecal gut microbiota. </w:t>
      </w:r>
      <w:r w:rsidR="006113B7" w:rsidRPr="008E7DBB">
        <w:rPr>
          <w:rFonts w:ascii="Times New Roman" w:eastAsiaTheme="minorHAnsi" w:hAnsi="Times New Roman" w:cs="Times New Roman"/>
          <w:color w:val="000000" w:themeColor="text1"/>
          <w:spacing w:val="-6"/>
          <w:szCs w:val="21"/>
        </w:rPr>
        <w:t>(E) PERMANOVA analysis quantifies the beta diversity of gut microbiota.</w:t>
      </w:r>
      <w:r w:rsidRPr="008E7DBB">
        <w:rPr>
          <w:rFonts w:ascii="Times New Roman" w:eastAsiaTheme="minorHAnsi" w:hAnsi="Times New Roman" w:cs="Times New Roman"/>
          <w:color w:val="000000" w:themeColor="text1"/>
          <w:spacing w:val="-6"/>
          <w:szCs w:val="21"/>
        </w:rPr>
        <w:t xml:space="preserve"> </w:t>
      </w:r>
      <w:r w:rsidR="00762E21" w:rsidRPr="008E7DBB">
        <w:rPr>
          <w:rFonts w:ascii="Times New Roman" w:eastAsiaTheme="minorHAnsi" w:hAnsi="Times New Roman" w:cs="Times New Roman"/>
          <w:color w:val="000000" w:themeColor="text1"/>
          <w:spacing w:val="-6"/>
          <w:szCs w:val="21"/>
        </w:rPr>
        <w:t xml:space="preserve">(F) Hierarchical clustering emphasizes fecal sample similarity across groups. </w:t>
      </w:r>
      <w:r w:rsidRPr="008E7DBB">
        <w:rPr>
          <w:rFonts w:ascii="Times New Roman" w:eastAsiaTheme="minorHAnsi" w:hAnsi="Times New Roman" w:cs="Times New Roman"/>
          <w:color w:val="000000" w:themeColor="text1"/>
          <w:spacing w:val="-6"/>
          <w:szCs w:val="21"/>
        </w:rPr>
        <w:t xml:space="preserve">(G) </w:t>
      </w:r>
      <w:proofErr w:type="spellStart"/>
      <w:r w:rsidRPr="008E7DBB">
        <w:rPr>
          <w:rFonts w:ascii="Times New Roman" w:eastAsiaTheme="minorHAnsi" w:hAnsi="Times New Roman" w:cs="Times New Roman"/>
          <w:color w:val="000000" w:themeColor="text1"/>
          <w:spacing w:val="-6"/>
          <w:szCs w:val="21"/>
        </w:rPr>
        <w:t>LEfSe</w:t>
      </w:r>
      <w:proofErr w:type="spellEnd"/>
      <w:r w:rsidRPr="008E7DBB">
        <w:rPr>
          <w:rFonts w:ascii="Times New Roman" w:eastAsiaTheme="minorHAnsi" w:hAnsi="Times New Roman" w:cs="Times New Roman"/>
          <w:color w:val="000000" w:themeColor="text1"/>
          <w:spacing w:val="-6"/>
          <w:szCs w:val="21"/>
        </w:rPr>
        <w:t xml:space="preserve"> analysis detects species with pronounced differences in fecal samples.</w:t>
      </w:r>
    </w:p>
    <w:bookmarkEnd w:id="18"/>
    <w:p w14:paraId="1E795B58" w14:textId="628E89A0" w:rsidR="00202C3B" w:rsidRPr="008E7DBB" w:rsidRDefault="003A718B" w:rsidP="00202C3B">
      <w:pPr>
        <w:spacing w:line="400" w:lineRule="exact"/>
        <w:ind w:firstLineChars="200" w:firstLine="400"/>
        <w:rPr>
          <w:rFonts w:ascii="Times New Roman" w:eastAsiaTheme="minorHAnsi" w:hAnsi="Times New Roman" w:cs="Times New Roman"/>
          <w:bCs/>
          <w:color w:val="000000" w:themeColor="text1"/>
          <w:sz w:val="20"/>
          <w:szCs w:val="20"/>
        </w:rPr>
      </w:pPr>
      <w:r w:rsidRPr="008E7DBB">
        <w:rPr>
          <w:rFonts w:ascii="Times New Roman" w:eastAsiaTheme="minorHAnsi" w:hAnsi="Times New Roman" w:cs="Times New Roman"/>
          <w:bCs/>
          <w:color w:val="000000" w:themeColor="text1"/>
          <w:sz w:val="20"/>
          <w:szCs w:val="20"/>
        </w:rPr>
        <w:br w:type="page"/>
      </w:r>
    </w:p>
    <w:p w14:paraId="21F2E760" w14:textId="62C0B4A8" w:rsidR="00A20C54" w:rsidRPr="008E7DBB" w:rsidRDefault="00A20C54" w:rsidP="009E0369">
      <w:pPr>
        <w:adjustRightInd w:val="0"/>
        <w:snapToGrid w:val="0"/>
        <w:spacing w:line="480" w:lineRule="auto"/>
        <w:rPr>
          <w:rFonts w:ascii="Times New Roman" w:hAnsi="Times New Roman" w:cs="Times New Roman"/>
          <w:color w:val="000000" w:themeColor="text1"/>
          <w:sz w:val="22"/>
        </w:rPr>
      </w:pPr>
      <w:bookmarkStart w:id="22" w:name="_Hlk143854424"/>
      <w:bookmarkStart w:id="23" w:name="_GoBack"/>
      <w:bookmarkEnd w:id="19"/>
      <w:r w:rsidRPr="008E7DBB">
        <w:rPr>
          <w:rFonts w:ascii="Times New Roman" w:hAnsi="Times New Roman" w:cs="Times New Roman" w:hint="eastAsia"/>
          <w:noProof/>
          <w:color w:val="000000" w:themeColor="text1"/>
          <w:sz w:val="22"/>
        </w:rPr>
        <w:lastRenderedPageBreak/>
        <w:drawing>
          <wp:inline distT="0" distB="0" distL="0" distR="0" wp14:anchorId="15DF7789" wp14:editId="2F697004">
            <wp:extent cx="5364332" cy="5889627"/>
            <wp:effectExtent l="0" t="0" r="8255" b="0"/>
            <wp:docPr id="16809495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49563" name="图片 168094956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64332" cy="5889627"/>
                    </a:xfrm>
                    <a:prstGeom prst="rect">
                      <a:avLst/>
                    </a:prstGeom>
                  </pic:spPr>
                </pic:pic>
              </a:graphicData>
            </a:graphic>
          </wp:inline>
        </w:drawing>
      </w:r>
      <w:bookmarkStart w:id="24" w:name="_Hlk143854407"/>
      <w:bookmarkEnd w:id="23"/>
    </w:p>
    <w:p w14:paraId="704E3FFA" w14:textId="312F7F3D" w:rsidR="0005258A" w:rsidRPr="008E7DBB" w:rsidRDefault="008E5E5C" w:rsidP="0005258A">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Figure S</w:t>
      </w:r>
      <w:r w:rsidR="0005258A" w:rsidRPr="008E7DBB">
        <w:rPr>
          <w:rFonts w:ascii="Times New Roman" w:eastAsia="等线" w:hAnsi="Times New Roman" w:cs="Times New Roman"/>
          <w:b/>
          <w:bCs/>
          <w:color w:val="000000" w:themeColor="text1"/>
          <w:spacing w:val="-6"/>
          <w:szCs w:val="21"/>
        </w:rPr>
        <w:t>6</w:t>
      </w:r>
      <w:r w:rsidR="008D5D6E" w:rsidRPr="008E7DBB">
        <w:rPr>
          <w:rFonts w:ascii="Times New Roman" w:eastAsia="等线" w:hAnsi="Times New Roman" w:cs="Times New Roman"/>
          <w:b/>
          <w:bCs/>
          <w:color w:val="000000" w:themeColor="text1"/>
          <w:spacing w:val="-6"/>
          <w:szCs w:val="21"/>
        </w:rPr>
        <w:t>.</w:t>
      </w:r>
      <w:r w:rsidR="0005258A" w:rsidRPr="008E7DBB">
        <w:rPr>
          <w:rFonts w:ascii="Times New Roman" w:eastAsia="等线" w:hAnsi="Times New Roman" w:cs="Times New Roman"/>
          <w:b/>
          <w:bCs/>
          <w:color w:val="000000" w:themeColor="text1"/>
          <w:spacing w:val="-6"/>
          <w:szCs w:val="21"/>
        </w:rPr>
        <w:t xml:space="preserve"> </w:t>
      </w:r>
      <w:r w:rsidR="009641EA" w:rsidRPr="008E7DBB">
        <w:rPr>
          <w:rFonts w:ascii="Times New Roman" w:eastAsia="等线" w:hAnsi="Times New Roman" w:cs="Times New Roman"/>
          <w:b/>
          <w:bCs/>
          <w:color w:val="000000" w:themeColor="text1"/>
          <w:spacing w:val="-6"/>
          <w:szCs w:val="21"/>
        </w:rPr>
        <w:t>I</w:t>
      </w:r>
      <w:r w:rsidR="008D5D6E" w:rsidRPr="008E7DBB">
        <w:rPr>
          <w:rFonts w:ascii="Times New Roman" w:eastAsia="等线" w:hAnsi="Times New Roman" w:cs="Times New Roman"/>
          <w:b/>
          <w:bCs/>
          <w:color w:val="000000" w:themeColor="text1"/>
          <w:spacing w:val="-6"/>
          <w:szCs w:val="21"/>
        </w:rPr>
        <w:t>mpact</w:t>
      </w:r>
      <w:r w:rsidR="009641EA" w:rsidRPr="008E7DBB">
        <w:rPr>
          <w:rFonts w:ascii="Times New Roman" w:eastAsia="等线" w:hAnsi="Times New Roman" w:cs="Times New Roman"/>
          <w:b/>
          <w:bCs/>
          <w:color w:val="000000" w:themeColor="text1"/>
          <w:spacing w:val="-6"/>
          <w:szCs w:val="21"/>
        </w:rPr>
        <w:t>s</w:t>
      </w:r>
      <w:r w:rsidR="008D5D6E" w:rsidRPr="008E7DBB">
        <w:rPr>
          <w:rFonts w:ascii="Times New Roman" w:eastAsia="等线" w:hAnsi="Times New Roman" w:cs="Times New Roman"/>
          <w:b/>
          <w:bCs/>
          <w:color w:val="000000" w:themeColor="text1"/>
          <w:spacing w:val="-6"/>
          <w:szCs w:val="21"/>
        </w:rPr>
        <w:t xml:space="preserve"> of FMT on cognition and intestinal function in young and aged surgical mice </w:t>
      </w:r>
    </w:p>
    <w:bookmarkEnd w:id="22"/>
    <w:p w14:paraId="71103224" w14:textId="56FAB46E" w:rsidR="004C0D99" w:rsidRPr="008E7DBB" w:rsidRDefault="00581CB7" w:rsidP="00B803F0">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(A) Flow chart of the experiment indicates the handling of the donor and recipient mice in the FMT experiment and the detection time of each cognitive behavior. (B) Swimming path diagrams of the</w:t>
      </w:r>
      <w:r w:rsidR="004C0D99" w:rsidRPr="008E7DBB">
        <w:rPr>
          <w:rFonts w:ascii="Times New Roman" w:eastAsiaTheme="minorHAnsi" w:hAnsi="Times New Roman" w:cs="Times New Roman"/>
          <w:color w:val="000000" w:themeColor="text1"/>
          <w:spacing w:val="-6"/>
          <w:szCs w:val="21"/>
        </w:rPr>
        <w:t xml:space="preserve"> recipient mice</w:t>
      </w:r>
      <w:r w:rsidRPr="008E7DBB">
        <w:rPr>
          <w:rFonts w:ascii="Times New Roman" w:eastAsiaTheme="minorHAnsi" w:hAnsi="Times New Roman" w:cs="Times New Roman"/>
          <w:color w:val="000000" w:themeColor="text1"/>
          <w:spacing w:val="-6"/>
          <w:szCs w:val="21"/>
        </w:rPr>
        <w:t xml:space="preserve">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on postoperative day 12 and day 13. (C) Latency to find the platform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from 8 to 12 days after surgery of the</w:t>
      </w:r>
      <w:r w:rsidR="004C0D99" w:rsidRPr="008E7DBB">
        <w:rPr>
          <w:rFonts w:ascii="Times New Roman" w:eastAsiaTheme="minorHAnsi" w:hAnsi="Times New Roman" w:cs="Times New Roman"/>
          <w:color w:val="000000" w:themeColor="text1"/>
          <w:spacing w:val="-6"/>
          <w:szCs w:val="21"/>
        </w:rPr>
        <w:t xml:space="preserve"> recipient mice</w:t>
      </w:r>
      <w:r w:rsidRPr="008E7DBB">
        <w:rPr>
          <w:rFonts w:ascii="Times New Roman" w:eastAsiaTheme="minorHAnsi" w:hAnsi="Times New Roman" w:cs="Times New Roman"/>
          <w:color w:val="000000" w:themeColor="text1"/>
          <w:spacing w:val="-6"/>
          <w:szCs w:val="21"/>
        </w:rPr>
        <w:t xml:space="preserve">. (D) The retention time of </w:t>
      </w:r>
      <w:r w:rsidR="004C0D99" w:rsidRPr="008E7DBB">
        <w:rPr>
          <w:rFonts w:ascii="Times New Roman" w:eastAsiaTheme="minorHAnsi" w:hAnsi="Times New Roman" w:cs="Times New Roman"/>
          <w:color w:val="000000" w:themeColor="text1"/>
          <w:spacing w:val="-6"/>
          <w:szCs w:val="21"/>
        </w:rPr>
        <w:t>the recipient mice</w:t>
      </w:r>
      <w:r w:rsidRPr="008E7DBB">
        <w:rPr>
          <w:rFonts w:ascii="Times New Roman" w:eastAsiaTheme="minorHAnsi" w:hAnsi="Times New Roman" w:cs="Times New Roman"/>
          <w:color w:val="000000" w:themeColor="text1"/>
          <w:spacing w:val="-6"/>
          <w:szCs w:val="21"/>
        </w:rPr>
        <w:t xml:space="preserve"> in the platform quadrant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in the 13</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(E) The number of times that</w:t>
      </w:r>
      <w:r w:rsidR="004C0D99" w:rsidRPr="008E7DBB">
        <w:rPr>
          <w:rFonts w:ascii="Times New Roman" w:eastAsiaTheme="minorHAnsi" w:hAnsi="Times New Roman" w:cs="Times New Roman"/>
          <w:color w:val="000000" w:themeColor="text1"/>
          <w:spacing w:val="-6"/>
          <w:szCs w:val="21"/>
        </w:rPr>
        <w:t xml:space="preserve"> the recipient mice</w:t>
      </w:r>
      <w:r w:rsidRPr="008E7DBB">
        <w:rPr>
          <w:rFonts w:ascii="Times New Roman" w:eastAsiaTheme="minorHAnsi" w:hAnsi="Times New Roman" w:cs="Times New Roman"/>
          <w:color w:val="000000" w:themeColor="text1"/>
          <w:spacing w:val="-6"/>
          <w:szCs w:val="21"/>
        </w:rPr>
        <w:t xml:space="preserve"> crossed the platform in the </w:t>
      </w:r>
      <w:r w:rsidR="004C0D99" w:rsidRPr="008E7DBB">
        <w:rPr>
          <w:rFonts w:ascii="Times New Roman" w:eastAsiaTheme="minorHAnsi" w:hAnsi="Times New Roman" w:cs="Times New Roman"/>
          <w:color w:val="000000" w:themeColor="text1"/>
          <w:spacing w:val="-6"/>
          <w:szCs w:val="21"/>
        </w:rPr>
        <w:t>MWM</w:t>
      </w:r>
      <w:r w:rsidRPr="008E7DBB">
        <w:rPr>
          <w:rFonts w:ascii="Times New Roman" w:eastAsiaTheme="minorHAnsi" w:hAnsi="Times New Roman" w:cs="Times New Roman"/>
          <w:color w:val="000000" w:themeColor="text1"/>
          <w:spacing w:val="-6"/>
          <w:szCs w:val="21"/>
        </w:rPr>
        <w:t xml:space="preserve"> test in the 13</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(F) Freezing time in the fear conditioning test in the 16</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of </w:t>
      </w:r>
      <w:r w:rsidR="004C0D99" w:rsidRPr="008E7DBB">
        <w:rPr>
          <w:rFonts w:ascii="Times New Roman" w:eastAsiaTheme="minorHAnsi" w:hAnsi="Times New Roman" w:cs="Times New Roman"/>
          <w:color w:val="000000" w:themeColor="text1"/>
          <w:spacing w:val="-6"/>
          <w:szCs w:val="21"/>
        </w:rPr>
        <w:t>the recipient mice</w:t>
      </w:r>
      <w:r w:rsidRPr="008E7DBB">
        <w:rPr>
          <w:rFonts w:ascii="Times New Roman" w:eastAsiaTheme="minorHAnsi" w:hAnsi="Times New Roman" w:cs="Times New Roman"/>
          <w:color w:val="000000" w:themeColor="text1"/>
          <w:spacing w:val="-6"/>
          <w:szCs w:val="21"/>
        </w:rPr>
        <w:t>. (G) Novel object exploration index in novel object recognition in the 19</w:t>
      </w:r>
      <w:r w:rsidRPr="008E7DBB">
        <w:rPr>
          <w:rFonts w:ascii="Times New Roman" w:eastAsiaTheme="minorHAnsi" w:hAnsi="Times New Roman" w:cs="Times New Roman"/>
          <w:color w:val="000000" w:themeColor="text1"/>
          <w:spacing w:val="-6"/>
          <w:szCs w:val="21"/>
          <w:vertAlign w:val="superscript"/>
        </w:rPr>
        <w:t>th</w:t>
      </w:r>
      <w:r w:rsidRPr="008E7DBB">
        <w:rPr>
          <w:rFonts w:ascii="Times New Roman" w:eastAsiaTheme="minorHAnsi" w:hAnsi="Times New Roman" w:cs="Times New Roman"/>
          <w:color w:val="000000" w:themeColor="text1"/>
          <w:spacing w:val="-6"/>
          <w:szCs w:val="21"/>
        </w:rPr>
        <w:t xml:space="preserve"> days after surgery in</w:t>
      </w:r>
      <w:r w:rsidR="004C0D99" w:rsidRPr="008E7DBB">
        <w:rPr>
          <w:rFonts w:ascii="Times New Roman" w:eastAsiaTheme="minorHAnsi" w:hAnsi="Times New Roman" w:cs="Times New Roman"/>
          <w:color w:val="000000" w:themeColor="text1"/>
          <w:spacing w:val="-6"/>
          <w:szCs w:val="21"/>
        </w:rPr>
        <w:t xml:space="preserve"> the recipient mice</w:t>
      </w:r>
      <w:r w:rsidRPr="008E7DBB">
        <w:rPr>
          <w:rFonts w:ascii="Times New Roman" w:eastAsiaTheme="minorHAnsi" w:hAnsi="Times New Roman" w:cs="Times New Roman"/>
          <w:color w:val="000000" w:themeColor="text1"/>
          <w:spacing w:val="-6"/>
          <w:szCs w:val="21"/>
        </w:rPr>
        <w:t>.</w:t>
      </w:r>
      <w:r w:rsidR="00164235" w:rsidRPr="008E7DBB">
        <w:rPr>
          <w:rFonts w:ascii="Times New Roman" w:eastAsiaTheme="minorHAnsi" w:hAnsi="Times New Roman" w:cs="Times New Roman"/>
          <w:color w:val="000000" w:themeColor="text1"/>
          <w:spacing w:val="-6"/>
          <w:szCs w:val="21"/>
        </w:rPr>
        <w:t xml:space="preserve"> </w:t>
      </w:r>
      <w:r w:rsidR="004C0D99" w:rsidRPr="008E7DBB">
        <w:rPr>
          <w:rFonts w:ascii="Times New Roman" w:eastAsiaTheme="minorHAnsi" w:hAnsi="Times New Roman" w:cs="Times New Roman"/>
          <w:color w:val="000000" w:themeColor="text1"/>
          <w:spacing w:val="-6"/>
          <w:szCs w:val="21"/>
        </w:rPr>
        <w:t xml:space="preserve">(H) Representative images of immunofluorescence staining of IBA1and GFAP in brain tissues of the recipient mice. (I) Correlation with H, the fluorescence intensity of IBA1 in the mouse brain tissues was calculated. </w:t>
      </w:r>
      <w:r w:rsidR="00164235" w:rsidRPr="008E7DBB">
        <w:rPr>
          <w:rFonts w:ascii="Times New Roman" w:eastAsiaTheme="minorHAnsi" w:hAnsi="Times New Roman" w:cs="Times New Roman"/>
          <w:color w:val="000000" w:themeColor="text1"/>
          <w:spacing w:val="-6"/>
          <w:szCs w:val="21"/>
        </w:rPr>
        <w:t xml:space="preserve">(J) Correlation with H, the </w:t>
      </w:r>
      <w:r w:rsidR="00164235" w:rsidRPr="008E7DBB">
        <w:rPr>
          <w:rFonts w:ascii="Times New Roman" w:eastAsiaTheme="minorHAnsi" w:hAnsi="Times New Roman" w:cs="Times New Roman"/>
          <w:color w:val="000000" w:themeColor="text1"/>
          <w:spacing w:val="-6"/>
          <w:szCs w:val="21"/>
        </w:rPr>
        <w:lastRenderedPageBreak/>
        <w:t xml:space="preserve">fluorescence intensity of GFAP in the mouse brain tissues was calculated. </w:t>
      </w:r>
      <w:r w:rsidR="004C0D99" w:rsidRPr="008E7DBB">
        <w:rPr>
          <w:rFonts w:ascii="Times New Roman" w:eastAsiaTheme="minorHAnsi" w:hAnsi="Times New Roman" w:cs="Times New Roman"/>
          <w:color w:val="000000" w:themeColor="text1"/>
          <w:spacing w:val="-6"/>
          <w:szCs w:val="21"/>
        </w:rPr>
        <w:t>(</w:t>
      </w:r>
      <w:r w:rsidR="00164235" w:rsidRPr="008E7DBB">
        <w:rPr>
          <w:rFonts w:ascii="Times New Roman" w:eastAsiaTheme="minorHAnsi" w:hAnsi="Times New Roman" w:cs="Times New Roman"/>
          <w:color w:val="000000" w:themeColor="text1"/>
          <w:spacing w:val="-6"/>
          <w:szCs w:val="21"/>
        </w:rPr>
        <w:t>K</w:t>
      </w:r>
      <w:r w:rsidR="004C0D99" w:rsidRPr="008E7DBB">
        <w:rPr>
          <w:rFonts w:ascii="Times New Roman" w:eastAsiaTheme="minorHAnsi" w:hAnsi="Times New Roman" w:cs="Times New Roman"/>
          <w:color w:val="000000" w:themeColor="text1"/>
          <w:spacing w:val="-6"/>
          <w:szCs w:val="21"/>
        </w:rPr>
        <w:t xml:space="preserve">) Representative images of immunofluorescence staining of the tight junction protein ZO-1, Cluadin-1, and </w:t>
      </w:r>
      <w:proofErr w:type="spellStart"/>
      <w:r w:rsidR="004C0D99" w:rsidRPr="008E7DBB">
        <w:rPr>
          <w:rFonts w:ascii="Times New Roman" w:eastAsiaTheme="minorHAnsi" w:hAnsi="Times New Roman" w:cs="Times New Roman"/>
          <w:color w:val="000000" w:themeColor="text1"/>
          <w:spacing w:val="-6"/>
          <w:szCs w:val="21"/>
        </w:rPr>
        <w:t>Occludin</w:t>
      </w:r>
      <w:proofErr w:type="spellEnd"/>
      <w:r w:rsidR="004C0D99" w:rsidRPr="008E7DBB">
        <w:rPr>
          <w:rFonts w:ascii="Times New Roman" w:eastAsiaTheme="minorHAnsi" w:hAnsi="Times New Roman" w:cs="Times New Roman"/>
          <w:color w:val="000000" w:themeColor="text1"/>
          <w:spacing w:val="-6"/>
          <w:szCs w:val="21"/>
        </w:rPr>
        <w:t xml:space="preserve"> in colon tissues of the recipient mice. (</w:t>
      </w:r>
      <w:r w:rsidR="00164235" w:rsidRPr="008E7DBB">
        <w:rPr>
          <w:rFonts w:ascii="Times New Roman" w:eastAsiaTheme="minorHAnsi" w:hAnsi="Times New Roman" w:cs="Times New Roman"/>
          <w:color w:val="000000" w:themeColor="text1"/>
          <w:spacing w:val="-6"/>
          <w:szCs w:val="21"/>
        </w:rPr>
        <w:t>L</w:t>
      </w:r>
      <w:r w:rsidR="004C0D99" w:rsidRPr="008E7DBB">
        <w:rPr>
          <w:rFonts w:ascii="Times New Roman" w:eastAsiaTheme="minorHAnsi" w:hAnsi="Times New Roman" w:cs="Times New Roman"/>
          <w:color w:val="000000" w:themeColor="text1"/>
          <w:spacing w:val="-6"/>
          <w:szCs w:val="21"/>
        </w:rPr>
        <w:t xml:space="preserve">) Correlation with </w:t>
      </w:r>
      <w:r w:rsidR="00164235" w:rsidRPr="008E7DBB">
        <w:rPr>
          <w:rFonts w:ascii="Times New Roman" w:eastAsiaTheme="minorHAnsi" w:hAnsi="Times New Roman" w:cs="Times New Roman"/>
          <w:color w:val="000000" w:themeColor="text1"/>
          <w:spacing w:val="-6"/>
          <w:szCs w:val="21"/>
        </w:rPr>
        <w:t>K</w:t>
      </w:r>
      <w:r w:rsidR="004C0D99" w:rsidRPr="008E7DBB">
        <w:rPr>
          <w:rFonts w:ascii="Times New Roman" w:eastAsiaTheme="minorHAnsi" w:hAnsi="Times New Roman" w:cs="Times New Roman"/>
          <w:color w:val="000000" w:themeColor="text1"/>
          <w:spacing w:val="-6"/>
          <w:szCs w:val="21"/>
        </w:rPr>
        <w:t xml:space="preserve">, the fluorescence intensity of ZO-1, Cluadin-1, and </w:t>
      </w:r>
      <w:proofErr w:type="spellStart"/>
      <w:r w:rsidR="004C0D99" w:rsidRPr="008E7DBB">
        <w:rPr>
          <w:rFonts w:ascii="Times New Roman" w:eastAsiaTheme="minorHAnsi" w:hAnsi="Times New Roman" w:cs="Times New Roman"/>
          <w:color w:val="000000" w:themeColor="text1"/>
          <w:spacing w:val="-6"/>
          <w:szCs w:val="21"/>
        </w:rPr>
        <w:t>Occludin</w:t>
      </w:r>
      <w:proofErr w:type="spellEnd"/>
      <w:r w:rsidR="004C0D99" w:rsidRPr="008E7DBB">
        <w:rPr>
          <w:rFonts w:ascii="Times New Roman" w:eastAsiaTheme="minorHAnsi" w:hAnsi="Times New Roman" w:cs="Times New Roman"/>
          <w:color w:val="000000" w:themeColor="text1"/>
          <w:spacing w:val="-6"/>
          <w:szCs w:val="21"/>
        </w:rPr>
        <w:t xml:space="preserve"> in the mouse colon tissues was calculated. (</w:t>
      </w:r>
      <w:r w:rsidR="00164235" w:rsidRPr="008E7DBB">
        <w:rPr>
          <w:rFonts w:ascii="Times New Roman" w:eastAsiaTheme="minorHAnsi" w:hAnsi="Times New Roman" w:cs="Times New Roman"/>
          <w:color w:val="000000" w:themeColor="text1"/>
          <w:spacing w:val="-6"/>
          <w:szCs w:val="21"/>
        </w:rPr>
        <w:t>M</w:t>
      </w:r>
      <w:r w:rsidR="004C0D99" w:rsidRPr="008E7DBB">
        <w:rPr>
          <w:rFonts w:ascii="Times New Roman" w:eastAsiaTheme="minorHAnsi" w:hAnsi="Times New Roman" w:cs="Times New Roman"/>
          <w:color w:val="000000" w:themeColor="text1"/>
          <w:spacing w:val="-6"/>
          <w:szCs w:val="21"/>
        </w:rPr>
        <w:t xml:space="preserve">) Representative images of </w:t>
      </w:r>
      <w:r w:rsidR="00BE681C" w:rsidRPr="00BE681C">
        <w:rPr>
          <w:rFonts w:ascii="Times New Roman" w:eastAsiaTheme="minorHAnsi" w:hAnsi="Times New Roman" w:cs="Times New Roman"/>
          <w:color w:val="000000" w:themeColor="text1"/>
          <w:spacing w:val="-6"/>
          <w:szCs w:val="21"/>
        </w:rPr>
        <w:t>immunohistochemical</w:t>
      </w:r>
      <w:r w:rsidR="004C0D99" w:rsidRPr="008E7DBB">
        <w:rPr>
          <w:rFonts w:ascii="Times New Roman" w:eastAsiaTheme="minorHAnsi" w:hAnsi="Times New Roman" w:cs="Times New Roman"/>
          <w:color w:val="000000" w:themeColor="text1"/>
          <w:spacing w:val="-6"/>
          <w:szCs w:val="21"/>
        </w:rPr>
        <w:t xml:space="preserve"> staining of the tight junction protein ZO-1, Cluadin-1, and </w:t>
      </w:r>
      <w:proofErr w:type="spellStart"/>
      <w:r w:rsidR="004C0D99" w:rsidRPr="008E7DBB">
        <w:rPr>
          <w:rFonts w:ascii="Times New Roman" w:eastAsiaTheme="minorHAnsi" w:hAnsi="Times New Roman" w:cs="Times New Roman"/>
          <w:color w:val="000000" w:themeColor="text1"/>
          <w:spacing w:val="-6"/>
          <w:szCs w:val="21"/>
        </w:rPr>
        <w:t>Occludin</w:t>
      </w:r>
      <w:proofErr w:type="spellEnd"/>
      <w:r w:rsidR="004C0D99" w:rsidRPr="008E7DBB">
        <w:rPr>
          <w:rFonts w:ascii="Times New Roman" w:eastAsiaTheme="minorHAnsi" w:hAnsi="Times New Roman" w:cs="Times New Roman"/>
          <w:color w:val="000000" w:themeColor="text1"/>
          <w:spacing w:val="-6"/>
          <w:szCs w:val="21"/>
        </w:rPr>
        <w:t xml:space="preserve"> in ileum tissues of the recipient mice. (</w:t>
      </w:r>
      <w:r w:rsidR="00164235" w:rsidRPr="008E7DBB">
        <w:rPr>
          <w:rFonts w:ascii="Times New Roman" w:eastAsiaTheme="minorHAnsi" w:hAnsi="Times New Roman" w:cs="Times New Roman"/>
          <w:color w:val="000000" w:themeColor="text1"/>
          <w:spacing w:val="-6"/>
          <w:szCs w:val="21"/>
        </w:rPr>
        <w:t>N</w:t>
      </w:r>
      <w:r w:rsidR="004C0D99" w:rsidRPr="008E7DBB">
        <w:rPr>
          <w:rFonts w:ascii="Times New Roman" w:eastAsiaTheme="minorHAnsi" w:hAnsi="Times New Roman" w:cs="Times New Roman"/>
          <w:color w:val="000000" w:themeColor="text1"/>
          <w:spacing w:val="-6"/>
          <w:szCs w:val="21"/>
        </w:rPr>
        <w:t xml:space="preserve">) Correlation with </w:t>
      </w:r>
      <w:r w:rsidR="00164235" w:rsidRPr="008E7DBB">
        <w:rPr>
          <w:rFonts w:ascii="Times New Roman" w:eastAsiaTheme="minorHAnsi" w:hAnsi="Times New Roman" w:cs="Times New Roman"/>
          <w:color w:val="000000" w:themeColor="text1"/>
          <w:spacing w:val="-6"/>
          <w:szCs w:val="21"/>
        </w:rPr>
        <w:t>M</w:t>
      </w:r>
      <w:r w:rsidR="004C0D99" w:rsidRPr="008E7DBB">
        <w:rPr>
          <w:rFonts w:ascii="Times New Roman" w:eastAsiaTheme="minorHAnsi" w:hAnsi="Times New Roman" w:cs="Times New Roman"/>
          <w:color w:val="000000" w:themeColor="text1"/>
          <w:spacing w:val="-6"/>
          <w:szCs w:val="21"/>
        </w:rPr>
        <w:t>, the</w:t>
      </w:r>
      <w:r w:rsidR="00BE681C" w:rsidRPr="00BE681C">
        <w:t xml:space="preserve"> </w:t>
      </w:r>
      <w:r w:rsidR="00BE681C" w:rsidRPr="00BE681C">
        <w:rPr>
          <w:rFonts w:ascii="Times New Roman" w:eastAsiaTheme="minorHAnsi" w:hAnsi="Times New Roman" w:cs="Times New Roman"/>
          <w:color w:val="000000" w:themeColor="text1"/>
          <w:spacing w:val="-6"/>
          <w:szCs w:val="21"/>
        </w:rPr>
        <w:t>mean IOD/area</w:t>
      </w:r>
      <w:r w:rsidR="004C0D99" w:rsidRPr="008E7DBB">
        <w:rPr>
          <w:rFonts w:ascii="Times New Roman" w:eastAsiaTheme="minorHAnsi" w:hAnsi="Times New Roman" w:cs="Times New Roman"/>
          <w:color w:val="000000" w:themeColor="text1"/>
          <w:spacing w:val="-6"/>
          <w:szCs w:val="21"/>
        </w:rPr>
        <w:t xml:space="preserve"> of ZO-1, Cluadin-1, and </w:t>
      </w:r>
      <w:proofErr w:type="spellStart"/>
      <w:r w:rsidR="004C0D99" w:rsidRPr="008E7DBB">
        <w:rPr>
          <w:rFonts w:ascii="Times New Roman" w:eastAsiaTheme="minorHAnsi" w:hAnsi="Times New Roman" w:cs="Times New Roman"/>
          <w:color w:val="000000" w:themeColor="text1"/>
          <w:spacing w:val="-6"/>
          <w:szCs w:val="21"/>
        </w:rPr>
        <w:t>Occludin</w:t>
      </w:r>
      <w:proofErr w:type="spellEnd"/>
      <w:r w:rsidR="004C0D99" w:rsidRPr="008E7DBB">
        <w:rPr>
          <w:rFonts w:ascii="Times New Roman" w:eastAsiaTheme="minorHAnsi" w:hAnsi="Times New Roman" w:cs="Times New Roman"/>
          <w:color w:val="000000" w:themeColor="text1"/>
          <w:spacing w:val="-6"/>
          <w:szCs w:val="21"/>
        </w:rPr>
        <w:t xml:space="preserve"> in the mouse ileum tissues was calculated. (</w:t>
      </w:r>
      <w:r w:rsidR="00164235" w:rsidRPr="008E7DBB">
        <w:rPr>
          <w:rFonts w:ascii="Times New Roman" w:eastAsiaTheme="minorHAnsi" w:hAnsi="Times New Roman" w:cs="Times New Roman"/>
          <w:color w:val="000000" w:themeColor="text1"/>
          <w:spacing w:val="-6"/>
          <w:szCs w:val="21"/>
        </w:rPr>
        <w:t>O</w:t>
      </w:r>
      <w:r w:rsidR="004C0D99" w:rsidRPr="008E7DBB">
        <w:rPr>
          <w:rFonts w:ascii="Times New Roman" w:eastAsiaTheme="minorHAnsi" w:hAnsi="Times New Roman" w:cs="Times New Roman"/>
          <w:color w:val="000000" w:themeColor="text1"/>
          <w:spacing w:val="-6"/>
          <w:szCs w:val="21"/>
        </w:rPr>
        <w:t>) Immunohistochemical staining was used to detects the expression level of IL-17a and IL-22 in ileum tissues of the recipient mice. (</w:t>
      </w:r>
      <w:r w:rsidR="00164235" w:rsidRPr="008E7DBB">
        <w:rPr>
          <w:rFonts w:ascii="Times New Roman" w:eastAsiaTheme="minorHAnsi" w:hAnsi="Times New Roman" w:cs="Times New Roman"/>
          <w:color w:val="000000" w:themeColor="text1"/>
          <w:spacing w:val="-6"/>
          <w:szCs w:val="21"/>
        </w:rPr>
        <w:t>P</w:t>
      </w:r>
      <w:r w:rsidR="004C0D99" w:rsidRPr="008E7DBB">
        <w:rPr>
          <w:rFonts w:ascii="Times New Roman" w:eastAsiaTheme="minorHAnsi" w:hAnsi="Times New Roman" w:cs="Times New Roman"/>
          <w:color w:val="000000" w:themeColor="text1"/>
          <w:spacing w:val="-6"/>
          <w:szCs w:val="21"/>
        </w:rPr>
        <w:t xml:space="preserve">) Correlation with </w:t>
      </w:r>
      <w:r w:rsidR="00164235" w:rsidRPr="008E7DBB">
        <w:rPr>
          <w:rFonts w:ascii="Times New Roman" w:eastAsiaTheme="minorHAnsi" w:hAnsi="Times New Roman" w:cs="Times New Roman"/>
          <w:color w:val="000000" w:themeColor="text1"/>
          <w:spacing w:val="-6"/>
          <w:szCs w:val="21"/>
        </w:rPr>
        <w:t>O</w:t>
      </w:r>
      <w:r w:rsidR="004C0D99" w:rsidRPr="008E7DBB">
        <w:rPr>
          <w:rFonts w:ascii="Times New Roman" w:eastAsiaTheme="minorHAnsi" w:hAnsi="Times New Roman" w:cs="Times New Roman"/>
          <w:color w:val="000000" w:themeColor="text1"/>
          <w:spacing w:val="-6"/>
          <w:szCs w:val="21"/>
        </w:rPr>
        <w:t xml:space="preserve">, the </w:t>
      </w:r>
      <w:r w:rsidR="00BE681C" w:rsidRPr="00BE681C">
        <w:rPr>
          <w:rFonts w:ascii="Times New Roman" w:eastAsiaTheme="minorHAnsi" w:hAnsi="Times New Roman" w:cs="Times New Roman"/>
          <w:color w:val="000000" w:themeColor="text1"/>
          <w:spacing w:val="-6"/>
          <w:szCs w:val="21"/>
        </w:rPr>
        <w:t>mean IOD/area</w:t>
      </w:r>
      <w:r w:rsidR="004C0D99" w:rsidRPr="008E7DBB">
        <w:rPr>
          <w:rFonts w:ascii="Times New Roman" w:eastAsiaTheme="minorHAnsi" w:hAnsi="Times New Roman" w:cs="Times New Roman"/>
          <w:color w:val="000000" w:themeColor="text1"/>
          <w:spacing w:val="-6"/>
          <w:szCs w:val="21"/>
        </w:rPr>
        <w:t xml:space="preserve"> of IL-17a and IL-22 in ileum was calculated.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4C0D99" w:rsidRPr="008E7DBB">
        <w:rPr>
          <w:rFonts w:ascii="Times New Roman" w:eastAsiaTheme="minorHAnsi" w:hAnsi="Times New Roman" w:cs="Times New Roman"/>
          <w:color w:val="000000" w:themeColor="text1"/>
          <w:spacing w:val="-6"/>
          <w:szCs w:val="21"/>
        </w:rPr>
        <w:t>0.05,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4C0D99" w:rsidRPr="008E7DBB">
        <w:rPr>
          <w:rFonts w:ascii="Times New Roman" w:eastAsiaTheme="minorHAnsi" w:hAnsi="Times New Roman" w:cs="Times New Roman"/>
          <w:color w:val="000000" w:themeColor="text1"/>
          <w:spacing w:val="-6"/>
          <w:szCs w:val="21"/>
        </w:rPr>
        <w:t>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4C0D99" w:rsidRPr="008E7DBB">
        <w:rPr>
          <w:rFonts w:ascii="Times New Roman" w:eastAsiaTheme="minorHAnsi" w:hAnsi="Times New Roman" w:cs="Times New Roman"/>
          <w:color w:val="000000" w:themeColor="text1"/>
          <w:spacing w:val="-6"/>
          <w:szCs w:val="21"/>
        </w:rPr>
        <w:t>0.001,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4C0D99" w:rsidRPr="008E7DBB">
        <w:rPr>
          <w:rFonts w:ascii="Times New Roman" w:eastAsiaTheme="minorHAnsi" w:hAnsi="Times New Roman" w:cs="Times New Roman"/>
          <w:color w:val="000000" w:themeColor="text1"/>
          <w:spacing w:val="-6"/>
          <w:szCs w:val="21"/>
        </w:rPr>
        <w:t xml:space="preserve">0.0001. </w:t>
      </w:r>
    </w:p>
    <w:p w14:paraId="2810C775" w14:textId="1C317E82" w:rsidR="00167EA1" w:rsidRPr="008E7DBB" w:rsidRDefault="00167EA1">
      <w:pPr>
        <w:widowControl/>
        <w:jc w:val="left"/>
        <w:rPr>
          <w:rFonts w:ascii="Times New Roman" w:eastAsia="Times New Roman" w:hAnsi="Times New Roman" w:cs="Times New Roman"/>
          <w:color w:val="000000" w:themeColor="text1"/>
          <w:sz w:val="22"/>
        </w:rPr>
      </w:pPr>
      <w:r w:rsidRPr="008E7DBB">
        <w:rPr>
          <w:rFonts w:ascii="Times New Roman" w:eastAsia="Times New Roman" w:hAnsi="Times New Roman" w:cs="Times New Roman"/>
          <w:color w:val="000000" w:themeColor="text1"/>
          <w:sz w:val="22"/>
        </w:rPr>
        <w:br w:type="page"/>
      </w:r>
    </w:p>
    <w:p w14:paraId="302E957C" w14:textId="77777777" w:rsidR="004C0D99" w:rsidRPr="008E7DBB" w:rsidRDefault="004C0D99" w:rsidP="005F68D7">
      <w:pPr>
        <w:adjustRightInd w:val="0"/>
        <w:snapToGrid w:val="0"/>
        <w:spacing w:line="360" w:lineRule="auto"/>
        <w:ind w:firstLine="482"/>
        <w:rPr>
          <w:rFonts w:ascii="Times New Roman" w:hAnsi="Times New Roman" w:cs="Times New Roman"/>
          <w:color w:val="000000" w:themeColor="text1"/>
          <w:sz w:val="22"/>
        </w:rPr>
      </w:pPr>
    </w:p>
    <w:p w14:paraId="1AAE99EF" w14:textId="77777777" w:rsidR="00DF6787" w:rsidRPr="008E7DBB" w:rsidRDefault="00DF6787" w:rsidP="00DF6787">
      <w:pPr>
        <w:adjustRightInd w:val="0"/>
        <w:snapToGrid w:val="0"/>
        <w:spacing w:line="360" w:lineRule="auto"/>
        <w:ind w:leftChars="-67" w:left="1" w:hangingChars="59" w:hanging="142"/>
        <w:jc w:val="center"/>
        <w:rPr>
          <w:rFonts w:ascii="Times New Roman" w:eastAsiaTheme="minorHAnsi" w:hAnsi="Times New Roman" w:cs="Times New Roman"/>
          <w:b/>
          <w:color w:val="000000" w:themeColor="text1"/>
          <w:kern w:val="0"/>
          <w:sz w:val="24"/>
        </w:rPr>
      </w:pPr>
      <w:r w:rsidRPr="008E7DBB">
        <w:rPr>
          <w:rFonts w:ascii="Times New Roman" w:eastAsiaTheme="minorHAnsi" w:hAnsi="Times New Roman" w:cs="Times New Roman"/>
          <w:b/>
          <w:noProof/>
          <w:color w:val="000000" w:themeColor="text1"/>
          <w:kern w:val="0"/>
          <w:sz w:val="24"/>
        </w:rPr>
        <w:drawing>
          <wp:inline distT="0" distB="0" distL="0" distR="0" wp14:anchorId="1F3D3BD6" wp14:editId="48DE7A1A">
            <wp:extent cx="5352487" cy="4109776"/>
            <wp:effectExtent l="0" t="0" r="635" b="508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43217"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357045" cy="4113276"/>
                    </a:xfrm>
                    <a:prstGeom prst="rect">
                      <a:avLst/>
                    </a:prstGeom>
                  </pic:spPr>
                </pic:pic>
              </a:graphicData>
            </a:graphic>
          </wp:inline>
        </w:drawing>
      </w:r>
    </w:p>
    <w:p w14:paraId="76FDDE2B" w14:textId="6C9195E8" w:rsidR="00C91AF6" w:rsidRPr="008E7DBB" w:rsidRDefault="00C91AF6" w:rsidP="00C91AF6">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 xml:space="preserve">Figure S7. Impacts of FMT on gut microbiota in young and aged surgical mice </w:t>
      </w:r>
    </w:p>
    <w:p w14:paraId="69F93701" w14:textId="7E493516" w:rsidR="00B90066" w:rsidRPr="008E7DBB" w:rsidRDefault="00C91AF6" w:rsidP="0031279B">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 xml:space="preserve">(A) Bar graph showcases species composition variations in mouse fecal samples. (B) Venn diagram delineates OTUs from fecal samples. (C) Hierarchical clustering illustrates fecal sample likeness across groups. (D) Analysis of the α-diversity of gut microbiota. (E) NMDS investigates the beta diversity in fecal samples. (F) </w:t>
      </w:r>
      <w:r w:rsidR="0033399E" w:rsidRPr="008E7DBB">
        <w:rPr>
          <w:rFonts w:ascii="Times New Roman" w:eastAsiaTheme="minorHAnsi" w:hAnsi="Times New Roman" w:cs="Times New Roman"/>
          <w:color w:val="000000" w:themeColor="text1"/>
          <w:spacing w:val="-6"/>
          <w:szCs w:val="21"/>
        </w:rPr>
        <w:t xml:space="preserve">Random forest analysis of fecal species composition denotes the influence of specific microbes on compositional variations. (G) </w:t>
      </w:r>
      <w:proofErr w:type="spellStart"/>
      <w:r w:rsidRPr="008E7DBB">
        <w:rPr>
          <w:rFonts w:ascii="Times New Roman" w:eastAsiaTheme="minorHAnsi" w:hAnsi="Times New Roman" w:cs="Times New Roman"/>
          <w:color w:val="000000" w:themeColor="text1"/>
          <w:spacing w:val="-6"/>
          <w:szCs w:val="21"/>
        </w:rPr>
        <w:t>LEfSe</w:t>
      </w:r>
      <w:proofErr w:type="spellEnd"/>
      <w:r w:rsidRPr="008E7DBB">
        <w:rPr>
          <w:rFonts w:ascii="Times New Roman" w:eastAsiaTheme="minorHAnsi" w:hAnsi="Times New Roman" w:cs="Times New Roman"/>
          <w:color w:val="000000" w:themeColor="text1"/>
          <w:spacing w:val="-6"/>
          <w:szCs w:val="21"/>
        </w:rPr>
        <w:t xml:space="preserve"> distinguishes species with significant disparities in fecal samples.</w:t>
      </w:r>
    </w:p>
    <w:bookmarkEnd w:id="24"/>
    <w:p w14:paraId="0111F70B" w14:textId="3F6201C8" w:rsidR="00202C3B" w:rsidRPr="008E7DBB" w:rsidRDefault="003A718B" w:rsidP="00202C3B">
      <w:pPr>
        <w:spacing w:line="400" w:lineRule="exact"/>
        <w:ind w:firstLineChars="200" w:firstLine="420"/>
        <w:rPr>
          <w:rFonts w:ascii="Times New Roman" w:eastAsiaTheme="minorHAnsi" w:hAnsi="Times New Roman" w:cs="Times New Roman"/>
          <w:bCs/>
          <w:color w:val="000000" w:themeColor="text1"/>
          <w:sz w:val="20"/>
          <w:szCs w:val="20"/>
        </w:rPr>
      </w:pPr>
      <w:r w:rsidRPr="008E7DBB">
        <w:rPr>
          <w:rFonts w:ascii="Times New Roman" w:eastAsiaTheme="minorHAnsi" w:hAnsi="Times New Roman" w:cs="Times New Roman"/>
          <w:color w:val="000000" w:themeColor="text1"/>
        </w:rPr>
        <w:br w:type="page"/>
      </w:r>
    </w:p>
    <w:p w14:paraId="246ECD11" w14:textId="77777777" w:rsidR="004657D8" w:rsidRPr="008E7DBB" w:rsidRDefault="003A718B" w:rsidP="004657D8">
      <w:pPr>
        <w:adjustRightInd w:val="0"/>
        <w:snapToGrid w:val="0"/>
        <w:spacing w:line="360" w:lineRule="auto"/>
        <w:ind w:leftChars="-67" w:left="1" w:hangingChars="59" w:hanging="142"/>
        <w:jc w:val="center"/>
        <w:rPr>
          <w:rFonts w:ascii="Times New Roman" w:eastAsiaTheme="minorHAnsi" w:hAnsi="Times New Roman" w:cs="Times New Roman"/>
          <w:b/>
          <w:color w:val="000000" w:themeColor="text1"/>
          <w:kern w:val="0"/>
          <w:sz w:val="24"/>
        </w:rPr>
      </w:pPr>
      <w:bookmarkStart w:id="25" w:name="_Hlk143851376"/>
      <w:r w:rsidRPr="008E7DBB">
        <w:rPr>
          <w:rFonts w:ascii="Times New Roman" w:eastAsiaTheme="minorHAnsi" w:hAnsi="Times New Roman" w:cs="Times New Roman"/>
          <w:b/>
          <w:noProof/>
          <w:color w:val="000000" w:themeColor="text1"/>
          <w:kern w:val="0"/>
          <w:sz w:val="24"/>
        </w:rPr>
        <w:lastRenderedPageBreak/>
        <w:drawing>
          <wp:inline distT="0" distB="0" distL="0" distR="0" wp14:anchorId="0A61F43E" wp14:editId="04B75D93">
            <wp:extent cx="4873064" cy="6877774"/>
            <wp:effectExtent l="0" t="0" r="381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73064" cy="6877774"/>
                    </a:xfrm>
                    <a:prstGeom prst="rect">
                      <a:avLst/>
                    </a:prstGeom>
                  </pic:spPr>
                </pic:pic>
              </a:graphicData>
            </a:graphic>
          </wp:inline>
        </w:drawing>
      </w:r>
    </w:p>
    <w:p w14:paraId="18731CD9" w14:textId="3F811842" w:rsidR="00D81C32" w:rsidRPr="008E7DBB" w:rsidRDefault="008E5E5C" w:rsidP="00D81C32">
      <w:pPr>
        <w:spacing w:line="400" w:lineRule="exact"/>
        <w:ind w:firstLineChars="200" w:firstLine="396"/>
        <w:outlineLvl w:val="2"/>
        <w:rPr>
          <w:rFonts w:ascii="Times New Roman" w:eastAsia="等线" w:hAnsi="Times New Roman" w:cs="Times New Roman"/>
          <w:b/>
          <w:bCs/>
          <w:color w:val="000000" w:themeColor="text1"/>
          <w:spacing w:val="-6"/>
          <w:szCs w:val="21"/>
        </w:rPr>
      </w:pPr>
      <w:r w:rsidRPr="008E7DBB">
        <w:rPr>
          <w:rFonts w:ascii="Times New Roman" w:eastAsia="等线" w:hAnsi="Times New Roman" w:cs="Times New Roman"/>
          <w:b/>
          <w:bCs/>
          <w:color w:val="000000" w:themeColor="text1"/>
          <w:spacing w:val="-6"/>
          <w:szCs w:val="21"/>
        </w:rPr>
        <w:t>Figure S</w:t>
      </w:r>
      <w:r w:rsidR="00D81C32" w:rsidRPr="008E7DBB">
        <w:rPr>
          <w:rFonts w:ascii="Times New Roman" w:eastAsia="等线" w:hAnsi="Times New Roman" w:cs="Times New Roman"/>
          <w:b/>
          <w:bCs/>
          <w:color w:val="000000" w:themeColor="text1"/>
          <w:spacing w:val="-6"/>
          <w:szCs w:val="21"/>
        </w:rPr>
        <w:t>8</w:t>
      </w:r>
      <w:r w:rsidR="00B803F0" w:rsidRPr="008E7DBB">
        <w:rPr>
          <w:rFonts w:ascii="Times New Roman" w:eastAsia="等线" w:hAnsi="Times New Roman" w:cs="Times New Roman"/>
          <w:b/>
          <w:bCs/>
          <w:color w:val="000000" w:themeColor="text1"/>
          <w:spacing w:val="-6"/>
          <w:szCs w:val="21"/>
        </w:rPr>
        <w:t>.</w:t>
      </w:r>
      <w:r w:rsidR="00D81C32" w:rsidRPr="008E7DBB">
        <w:rPr>
          <w:rFonts w:ascii="Times New Roman" w:eastAsia="等线" w:hAnsi="Times New Roman" w:cs="Times New Roman"/>
          <w:b/>
          <w:bCs/>
          <w:color w:val="000000" w:themeColor="text1"/>
          <w:spacing w:val="-6"/>
          <w:szCs w:val="21"/>
        </w:rPr>
        <w:t xml:space="preserve"> </w:t>
      </w:r>
      <w:r w:rsidR="0095797F" w:rsidRPr="008E7DBB">
        <w:rPr>
          <w:rFonts w:ascii="Times New Roman" w:eastAsia="等线" w:hAnsi="Times New Roman" w:cs="Times New Roman"/>
          <w:b/>
          <w:bCs/>
          <w:color w:val="000000" w:themeColor="text1"/>
          <w:spacing w:val="-6"/>
          <w:szCs w:val="21"/>
        </w:rPr>
        <w:t>PA o</w:t>
      </w:r>
      <w:r w:rsidR="00700419" w:rsidRPr="008E7DBB">
        <w:rPr>
          <w:rFonts w:ascii="Times New Roman" w:eastAsia="等线" w:hAnsi="Times New Roman" w:cs="Times New Roman"/>
          <w:b/>
          <w:bCs/>
          <w:color w:val="000000" w:themeColor="text1"/>
          <w:spacing w:val="-6"/>
          <w:szCs w:val="21"/>
        </w:rPr>
        <w:t xml:space="preserve">ral administration increases the </w:t>
      </w:r>
      <w:r w:rsidR="0095797F" w:rsidRPr="008E7DBB">
        <w:rPr>
          <w:rFonts w:ascii="Times New Roman" w:eastAsia="等线" w:hAnsi="Times New Roman" w:cs="Times New Roman"/>
          <w:b/>
          <w:bCs/>
          <w:color w:val="000000" w:themeColor="text1"/>
          <w:spacing w:val="-6"/>
          <w:szCs w:val="21"/>
        </w:rPr>
        <w:t xml:space="preserve">brain </w:t>
      </w:r>
      <w:r w:rsidR="00700419" w:rsidRPr="008E7DBB">
        <w:rPr>
          <w:rFonts w:ascii="Times New Roman" w:eastAsia="等线" w:hAnsi="Times New Roman" w:cs="Times New Roman"/>
          <w:b/>
          <w:bCs/>
          <w:color w:val="000000" w:themeColor="text1"/>
          <w:spacing w:val="-6"/>
          <w:szCs w:val="21"/>
        </w:rPr>
        <w:t>PA level in young mice and leads to neuroinflammation</w:t>
      </w:r>
    </w:p>
    <w:p w14:paraId="49BDCF0E" w14:textId="31AC024B" w:rsidR="00202C3B" w:rsidRPr="008E7DBB" w:rsidRDefault="00061D85" w:rsidP="0031279B">
      <w:pPr>
        <w:spacing w:line="400" w:lineRule="exact"/>
        <w:ind w:firstLineChars="200" w:firstLine="396"/>
        <w:rPr>
          <w:rFonts w:ascii="Times New Roman" w:eastAsiaTheme="minorHAnsi" w:hAnsi="Times New Roman" w:cs="Times New Roman"/>
          <w:color w:val="000000" w:themeColor="text1"/>
          <w:spacing w:val="-6"/>
          <w:szCs w:val="21"/>
        </w:rPr>
      </w:pPr>
      <w:r w:rsidRPr="008E7DBB">
        <w:rPr>
          <w:rFonts w:ascii="Times New Roman" w:eastAsiaTheme="minorHAnsi" w:hAnsi="Times New Roman" w:cs="Times New Roman"/>
          <w:color w:val="000000" w:themeColor="text1"/>
          <w:spacing w:val="-6"/>
          <w:szCs w:val="21"/>
        </w:rPr>
        <w:t xml:space="preserve">Young (2-month-old) mice </w:t>
      </w:r>
      <w:r w:rsidR="00CD6CFC" w:rsidRPr="008E7DBB">
        <w:rPr>
          <w:rFonts w:ascii="Times New Roman" w:eastAsiaTheme="minorHAnsi" w:hAnsi="Times New Roman" w:cs="Times New Roman"/>
          <w:color w:val="000000" w:themeColor="text1"/>
          <w:spacing w:val="-6"/>
          <w:szCs w:val="21"/>
        </w:rPr>
        <w:t>were gastric gavage with 50 mg/kg PA</w:t>
      </w:r>
      <w:r w:rsidR="00363227" w:rsidRPr="008E7DBB">
        <w:rPr>
          <w:rFonts w:ascii="Times New Roman" w:eastAsiaTheme="minorHAnsi" w:hAnsi="Times New Roman" w:cs="Times New Roman"/>
          <w:color w:val="000000" w:themeColor="text1"/>
          <w:spacing w:val="-6"/>
          <w:szCs w:val="21"/>
        </w:rPr>
        <w:t xml:space="preserve"> for 1, 6, 12, 24, or 72 h</w:t>
      </w:r>
      <w:r w:rsidR="00363227" w:rsidRPr="008E7DBB">
        <w:rPr>
          <w:rFonts w:ascii="Times New Roman" w:eastAsiaTheme="minorHAnsi" w:hAnsi="Times New Roman" w:cs="Times New Roman" w:hint="eastAsia"/>
          <w:color w:val="000000" w:themeColor="text1"/>
          <w:spacing w:val="-6"/>
          <w:szCs w:val="21"/>
        </w:rPr>
        <w:t>.</w:t>
      </w:r>
      <w:r w:rsidR="00363227" w:rsidRPr="008E7DBB">
        <w:rPr>
          <w:rFonts w:ascii="Times New Roman" w:eastAsiaTheme="minorHAnsi" w:hAnsi="Times New Roman" w:cs="Times New Roman"/>
          <w:color w:val="000000" w:themeColor="text1"/>
          <w:spacing w:val="-6"/>
          <w:szCs w:val="21"/>
        </w:rPr>
        <w:t xml:space="preserve"> </w:t>
      </w:r>
      <w:r w:rsidR="002E093B" w:rsidRPr="008E7DBB">
        <w:rPr>
          <w:rFonts w:ascii="Times New Roman" w:eastAsiaTheme="minorHAnsi" w:hAnsi="Times New Roman" w:cs="Times New Roman"/>
          <w:color w:val="000000" w:themeColor="text1"/>
          <w:spacing w:val="-6"/>
          <w:szCs w:val="21"/>
        </w:rPr>
        <w:t>(A) UHPLC analysis was used to detect the PA level in the serum of mice.</w:t>
      </w:r>
      <w:bookmarkEnd w:id="1"/>
      <w:r w:rsidR="00B378F7" w:rsidRPr="008E7DBB">
        <w:rPr>
          <w:rFonts w:ascii="Times New Roman" w:eastAsiaTheme="minorHAnsi" w:hAnsi="Times New Roman" w:cs="Times New Roman" w:hint="eastAsia"/>
          <w:color w:val="000000" w:themeColor="text1"/>
          <w:spacing w:val="-6"/>
          <w:szCs w:val="21"/>
        </w:rPr>
        <w:t xml:space="preserve"> </w:t>
      </w:r>
      <w:r w:rsidR="002E093B" w:rsidRPr="008E7DBB">
        <w:rPr>
          <w:rFonts w:ascii="Times New Roman" w:eastAsiaTheme="minorHAnsi" w:hAnsi="Times New Roman" w:cs="Times New Roman"/>
          <w:color w:val="000000" w:themeColor="text1"/>
          <w:spacing w:val="-6"/>
          <w:szCs w:val="21"/>
        </w:rPr>
        <w:t xml:space="preserve">(B) UHPLC analysis was used to detect the PA level in the brain hippocampus of mice. </w:t>
      </w:r>
      <w:r w:rsidR="00B378F7" w:rsidRPr="008E7DBB">
        <w:rPr>
          <w:rFonts w:ascii="Times New Roman" w:eastAsiaTheme="minorHAnsi" w:hAnsi="Times New Roman" w:cs="Times New Roman"/>
          <w:color w:val="000000" w:themeColor="text1"/>
          <w:spacing w:val="-6"/>
          <w:szCs w:val="21"/>
        </w:rPr>
        <w:t>(C) Representative images of immunofluorescence staining of IBA1, GFAP and Neu</w:t>
      </w:r>
      <w:r w:rsidR="00927E7A">
        <w:rPr>
          <w:rFonts w:ascii="Times New Roman" w:eastAsiaTheme="minorHAnsi" w:hAnsi="Times New Roman" w:cs="Times New Roman"/>
          <w:color w:val="000000" w:themeColor="text1"/>
          <w:spacing w:val="-6"/>
          <w:szCs w:val="21"/>
        </w:rPr>
        <w:t>N</w:t>
      </w:r>
      <w:r w:rsidR="00B378F7" w:rsidRPr="008E7DBB">
        <w:rPr>
          <w:rFonts w:ascii="Times New Roman" w:eastAsiaTheme="minorHAnsi" w:hAnsi="Times New Roman" w:cs="Times New Roman"/>
          <w:color w:val="000000" w:themeColor="text1"/>
          <w:spacing w:val="-6"/>
          <w:szCs w:val="21"/>
        </w:rPr>
        <w:t xml:space="preserve"> in brain tissues of mice. (D) Correlation with C, the fluorescence intensity of IBA1 in the mouse brain tissues was calculated. (E) Correlation with C, the fluorescence intensity of GFAP in the </w:t>
      </w:r>
      <w:r w:rsidR="00B378F7" w:rsidRPr="008E7DBB">
        <w:rPr>
          <w:rFonts w:ascii="Times New Roman" w:eastAsiaTheme="minorHAnsi" w:hAnsi="Times New Roman" w:cs="Times New Roman"/>
          <w:color w:val="000000" w:themeColor="text1"/>
          <w:spacing w:val="-6"/>
          <w:szCs w:val="21"/>
        </w:rPr>
        <w:lastRenderedPageBreak/>
        <w:t xml:space="preserve">mouse brain tissues was calculated. (F) Correlation with C, the fluorescence intensity of </w:t>
      </w:r>
      <w:proofErr w:type="spellStart"/>
      <w:r w:rsidR="00B378F7" w:rsidRPr="008E7DBB">
        <w:rPr>
          <w:rFonts w:ascii="Times New Roman" w:eastAsiaTheme="minorHAnsi" w:hAnsi="Times New Roman" w:cs="Times New Roman"/>
          <w:color w:val="000000" w:themeColor="text1"/>
          <w:spacing w:val="-6"/>
          <w:szCs w:val="21"/>
        </w:rPr>
        <w:t>Neu</w:t>
      </w:r>
      <w:r w:rsidR="00927E7A">
        <w:rPr>
          <w:rFonts w:ascii="Times New Roman" w:eastAsiaTheme="minorHAnsi" w:hAnsi="Times New Roman" w:cs="Times New Roman"/>
          <w:color w:val="000000" w:themeColor="text1"/>
          <w:spacing w:val="-6"/>
          <w:szCs w:val="21"/>
        </w:rPr>
        <w:t>N</w:t>
      </w:r>
      <w:proofErr w:type="spellEnd"/>
      <w:r w:rsidR="00B378F7" w:rsidRPr="008E7DBB">
        <w:rPr>
          <w:rFonts w:ascii="Times New Roman" w:eastAsiaTheme="minorHAnsi" w:hAnsi="Times New Roman" w:cs="Times New Roman"/>
          <w:color w:val="000000" w:themeColor="text1"/>
          <w:spacing w:val="-6"/>
          <w:szCs w:val="21"/>
        </w:rPr>
        <w:t xml:space="preserve"> in the mouse brain tissues was calculated.</w:t>
      </w:r>
      <w:r w:rsidR="002957F6" w:rsidRPr="008E7DBB">
        <w:rPr>
          <w:rFonts w:ascii="Times New Roman" w:eastAsiaTheme="minorHAnsi" w:hAnsi="Times New Roman" w:cs="Times New Roman"/>
          <w:color w:val="000000" w:themeColor="text1"/>
          <w:spacing w:val="-6"/>
          <w:szCs w:val="21"/>
        </w:rPr>
        <w:t xml:space="preserve">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2957F6" w:rsidRPr="008E7DBB">
        <w:rPr>
          <w:rFonts w:ascii="Times New Roman" w:eastAsiaTheme="minorHAnsi" w:hAnsi="Times New Roman" w:cs="Times New Roman"/>
          <w:color w:val="000000" w:themeColor="text1"/>
          <w:spacing w:val="-6"/>
          <w:szCs w:val="21"/>
        </w:rPr>
        <w:t>0.05,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2957F6" w:rsidRPr="008E7DBB">
        <w:rPr>
          <w:rFonts w:ascii="Times New Roman" w:eastAsiaTheme="minorHAnsi" w:hAnsi="Times New Roman" w:cs="Times New Roman"/>
          <w:color w:val="000000" w:themeColor="text1"/>
          <w:spacing w:val="-6"/>
          <w:szCs w:val="21"/>
        </w:rPr>
        <w:t>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2957F6" w:rsidRPr="008E7DBB">
        <w:rPr>
          <w:rFonts w:ascii="Times New Roman" w:eastAsiaTheme="minorHAnsi" w:hAnsi="Times New Roman" w:cs="Times New Roman"/>
          <w:color w:val="000000" w:themeColor="text1"/>
          <w:spacing w:val="-6"/>
          <w:szCs w:val="21"/>
        </w:rPr>
        <w:t>0.001, ****</w:t>
      </w:r>
      <w:r w:rsidR="00B803F0" w:rsidRPr="008E7DBB">
        <w:rPr>
          <w:rFonts w:ascii="Times New Roman" w:eastAsiaTheme="minorHAnsi" w:hAnsi="Times New Roman" w:cs="Times New Roman"/>
          <w:i/>
          <w:color w:val="000000" w:themeColor="text1"/>
          <w:spacing w:val="-6"/>
          <w:szCs w:val="21"/>
        </w:rPr>
        <w:t>P &lt;</w:t>
      </w:r>
      <w:r w:rsidR="00167EA1" w:rsidRPr="008E7DBB">
        <w:rPr>
          <w:rFonts w:ascii="Times New Roman" w:eastAsiaTheme="minorHAnsi" w:hAnsi="Times New Roman" w:cs="Times New Roman"/>
          <w:color w:val="000000" w:themeColor="text1"/>
          <w:spacing w:val="-6"/>
          <w:szCs w:val="21"/>
        </w:rPr>
        <w:t xml:space="preserve"> </w:t>
      </w:r>
      <w:r w:rsidR="002957F6" w:rsidRPr="008E7DBB">
        <w:rPr>
          <w:rFonts w:ascii="Times New Roman" w:eastAsiaTheme="minorHAnsi" w:hAnsi="Times New Roman" w:cs="Times New Roman"/>
          <w:color w:val="000000" w:themeColor="text1"/>
          <w:spacing w:val="-6"/>
          <w:szCs w:val="21"/>
        </w:rPr>
        <w:t>0.0001, ns means no significant.</w:t>
      </w:r>
      <w:bookmarkEnd w:id="25"/>
    </w:p>
    <w:sectPr w:rsidR="00202C3B" w:rsidRPr="008E7DBB" w:rsidSect="009E1E3A">
      <w:pgSz w:w="11906" w:h="16838"/>
      <w:pgMar w:top="1440" w:right="1800" w:bottom="1440" w:left="1800" w:header="851" w:footer="992" w:gutter="0"/>
      <w:lnNumType w:countBy="1"/>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5CAC1" w14:textId="77777777" w:rsidR="000F4241" w:rsidRDefault="000F4241" w:rsidP="009E1E3A">
      <w:r>
        <w:separator/>
      </w:r>
    </w:p>
  </w:endnote>
  <w:endnote w:type="continuationSeparator" w:id="0">
    <w:p w14:paraId="6A510281" w14:textId="77777777" w:rsidR="000F4241" w:rsidRDefault="000F4241" w:rsidP="009E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E9391" w14:textId="77777777" w:rsidR="000F4241" w:rsidRDefault="000F4241" w:rsidP="009E1E3A">
      <w:r>
        <w:separator/>
      </w:r>
    </w:p>
  </w:footnote>
  <w:footnote w:type="continuationSeparator" w:id="0">
    <w:p w14:paraId="1B7A39D0" w14:textId="77777777" w:rsidR="000F4241" w:rsidRDefault="000F4241" w:rsidP="009E1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3719B"/>
    <w:multiLevelType w:val="hybridMultilevel"/>
    <w:tmpl w:val="CEB45032"/>
    <w:lvl w:ilvl="0" w:tplc="AC2CBE18">
      <w:start w:val="1"/>
      <w:numFmt w:val="decimalEnclosedCircle"/>
      <w:lvlText w:val="%1"/>
      <w:lvlJc w:val="left"/>
      <w:pPr>
        <w:ind w:left="800" w:hanging="360"/>
      </w:pPr>
      <w:rPr>
        <w:rFonts w:hint="default"/>
      </w:rPr>
    </w:lvl>
    <w:lvl w:ilvl="1" w:tplc="564E55F6" w:tentative="1">
      <w:start w:val="1"/>
      <w:numFmt w:val="lowerLetter"/>
      <w:lvlText w:val="%2)"/>
      <w:lvlJc w:val="left"/>
      <w:pPr>
        <w:ind w:left="1280" w:hanging="420"/>
      </w:pPr>
    </w:lvl>
    <w:lvl w:ilvl="2" w:tplc="2C46C47C" w:tentative="1">
      <w:start w:val="1"/>
      <w:numFmt w:val="lowerRoman"/>
      <w:lvlText w:val="%3."/>
      <w:lvlJc w:val="right"/>
      <w:pPr>
        <w:ind w:left="1700" w:hanging="420"/>
      </w:pPr>
    </w:lvl>
    <w:lvl w:ilvl="3" w:tplc="4A7A8A86" w:tentative="1">
      <w:start w:val="1"/>
      <w:numFmt w:val="decimal"/>
      <w:lvlText w:val="%4."/>
      <w:lvlJc w:val="left"/>
      <w:pPr>
        <w:ind w:left="2120" w:hanging="420"/>
      </w:pPr>
    </w:lvl>
    <w:lvl w:ilvl="4" w:tplc="B9069EAE" w:tentative="1">
      <w:start w:val="1"/>
      <w:numFmt w:val="lowerLetter"/>
      <w:lvlText w:val="%5)"/>
      <w:lvlJc w:val="left"/>
      <w:pPr>
        <w:ind w:left="2540" w:hanging="420"/>
      </w:pPr>
    </w:lvl>
    <w:lvl w:ilvl="5" w:tplc="FCAABD48" w:tentative="1">
      <w:start w:val="1"/>
      <w:numFmt w:val="lowerRoman"/>
      <w:lvlText w:val="%6."/>
      <w:lvlJc w:val="right"/>
      <w:pPr>
        <w:ind w:left="2960" w:hanging="420"/>
      </w:pPr>
    </w:lvl>
    <w:lvl w:ilvl="6" w:tplc="1C16BCCA" w:tentative="1">
      <w:start w:val="1"/>
      <w:numFmt w:val="decimal"/>
      <w:lvlText w:val="%7."/>
      <w:lvlJc w:val="left"/>
      <w:pPr>
        <w:ind w:left="3380" w:hanging="420"/>
      </w:pPr>
    </w:lvl>
    <w:lvl w:ilvl="7" w:tplc="1C1CA672" w:tentative="1">
      <w:start w:val="1"/>
      <w:numFmt w:val="lowerLetter"/>
      <w:lvlText w:val="%8)"/>
      <w:lvlJc w:val="left"/>
      <w:pPr>
        <w:ind w:left="3800" w:hanging="420"/>
      </w:pPr>
    </w:lvl>
    <w:lvl w:ilvl="8" w:tplc="0A801C2A" w:tentative="1">
      <w:start w:val="1"/>
      <w:numFmt w:val="lowerRoman"/>
      <w:lvlText w:val="%9."/>
      <w:lvlJc w:val="right"/>
      <w:pPr>
        <w:ind w:left="4220" w:hanging="420"/>
      </w:pPr>
    </w:lvl>
  </w:abstractNum>
  <w:abstractNum w:abstractNumId="1" w15:restartNumberingAfterBreak="0">
    <w:nsid w:val="521D7919"/>
    <w:multiLevelType w:val="hybridMultilevel"/>
    <w:tmpl w:val="21A285AC"/>
    <w:lvl w:ilvl="0" w:tplc="A1D4E0B8">
      <w:start w:val="1"/>
      <w:numFmt w:val="decimalEnclosedCircle"/>
      <w:lvlText w:val="%1"/>
      <w:lvlJc w:val="left"/>
      <w:pPr>
        <w:ind w:left="800" w:hanging="360"/>
      </w:pPr>
      <w:rPr>
        <w:rFonts w:hint="default"/>
      </w:rPr>
    </w:lvl>
    <w:lvl w:ilvl="1" w:tplc="6E089546" w:tentative="1">
      <w:start w:val="1"/>
      <w:numFmt w:val="lowerLetter"/>
      <w:lvlText w:val="%2)"/>
      <w:lvlJc w:val="left"/>
      <w:pPr>
        <w:ind w:left="1280" w:hanging="420"/>
      </w:pPr>
    </w:lvl>
    <w:lvl w:ilvl="2" w:tplc="2466BD8E" w:tentative="1">
      <w:start w:val="1"/>
      <w:numFmt w:val="lowerRoman"/>
      <w:lvlText w:val="%3."/>
      <w:lvlJc w:val="right"/>
      <w:pPr>
        <w:ind w:left="1700" w:hanging="420"/>
      </w:pPr>
    </w:lvl>
    <w:lvl w:ilvl="3" w:tplc="6E542466" w:tentative="1">
      <w:start w:val="1"/>
      <w:numFmt w:val="decimal"/>
      <w:lvlText w:val="%4."/>
      <w:lvlJc w:val="left"/>
      <w:pPr>
        <w:ind w:left="2120" w:hanging="420"/>
      </w:pPr>
    </w:lvl>
    <w:lvl w:ilvl="4" w:tplc="D90C493E" w:tentative="1">
      <w:start w:val="1"/>
      <w:numFmt w:val="lowerLetter"/>
      <w:lvlText w:val="%5)"/>
      <w:lvlJc w:val="left"/>
      <w:pPr>
        <w:ind w:left="2540" w:hanging="420"/>
      </w:pPr>
    </w:lvl>
    <w:lvl w:ilvl="5" w:tplc="4C86035A" w:tentative="1">
      <w:start w:val="1"/>
      <w:numFmt w:val="lowerRoman"/>
      <w:lvlText w:val="%6."/>
      <w:lvlJc w:val="right"/>
      <w:pPr>
        <w:ind w:left="2960" w:hanging="420"/>
      </w:pPr>
    </w:lvl>
    <w:lvl w:ilvl="6" w:tplc="08248C6C" w:tentative="1">
      <w:start w:val="1"/>
      <w:numFmt w:val="decimal"/>
      <w:lvlText w:val="%7."/>
      <w:lvlJc w:val="left"/>
      <w:pPr>
        <w:ind w:left="3380" w:hanging="420"/>
      </w:pPr>
    </w:lvl>
    <w:lvl w:ilvl="7" w:tplc="8B28F21E" w:tentative="1">
      <w:start w:val="1"/>
      <w:numFmt w:val="lowerLetter"/>
      <w:lvlText w:val="%8)"/>
      <w:lvlJc w:val="left"/>
      <w:pPr>
        <w:ind w:left="3800" w:hanging="420"/>
      </w:pPr>
    </w:lvl>
    <w:lvl w:ilvl="8" w:tplc="0230645C" w:tentative="1">
      <w:start w:val="1"/>
      <w:numFmt w:val="lowerRoman"/>
      <w:lvlText w:val="%9."/>
      <w:lvlJc w:val="right"/>
      <w:pPr>
        <w:ind w:left="42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18"/>
    <w:rsid w:val="000038FE"/>
    <w:rsid w:val="00005DE4"/>
    <w:rsid w:val="000137C3"/>
    <w:rsid w:val="00014F57"/>
    <w:rsid w:val="00015996"/>
    <w:rsid w:val="00022C81"/>
    <w:rsid w:val="00023A64"/>
    <w:rsid w:val="000377C6"/>
    <w:rsid w:val="000402C9"/>
    <w:rsid w:val="00044F63"/>
    <w:rsid w:val="000524EC"/>
    <w:rsid w:val="0005258A"/>
    <w:rsid w:val="00060DC3"/>
    <w:rsid w:val="00061351"/>
    <w:rsid w:val="00061D85"/>
    <w:rsid w:val="000667D3"/>
    <w:rsid w:val="0007238B"/>
    <w:rsid w:val="00082ED2"/>
    <w:rsid w:val="0008544C"/>
    <w:rsid w:val="0008595F"/>
    <w:rsid w:val="00087F08"/>
    <w:rsid w:val="00093338"/>
    <w:rsid w:val="00093A2F"/>
    <w:rsid w:val="000A019E"/>
    <w:rsid w:val="000A6A1A"/>
    <w:rsid w:val="000C4159"/>
    <w:rsid w:val="000D20CB"/>
    <w:rsid w:val="000D2E08"/>
    <w:rsid w:val="000D3D36"/>
    <w:rsid w:val="000E310F"/>
    <w:rsid w:val="000E3462"/>
    <w:rsid w:val="000F4241"/>
    <w:rsid w:val="000F45EC"/>
    <w:rsid w:val="000F4849"/>
    <w:rsid w:val="00105EB9"/>
    <w:rsid w:val="0013461D"/>
    <w:rsid w:val="00142074"/>
    <w:rsid w:val="00142DAE"/>
    <w:rsid w:val="00156A6F"/>
    <w:rsid w:val="0016235A"/>
    <w:rsid w:val="00162F5A"/>
    <w:rsid w:val="001641AE"/>
    <w:rsid w:val="00164235"/>
    <w:rsid w:val="0016490E"/>
    <w:rsid w:val="001653F2"/>
    <w:rsid w:val="001674A9"/>
    <w:rsid w:val="00167EA1"/>
    <w:rsid w:val="0017140F"/>
    <w:rsid w:val="00174AF2"/>
    <w:rsid w:val="00176DC2"/>
    <w:rsid w:val="001832A7"/>
    <w:rsid w:val="001866B8"/>
    <w:rsid w:val="00197A5C"/>
    <w:rsid w:val="001A6655"/>
    <w:rsid w:val="001C4175"/>
    <w:rsid w:val="001E40B9"/>
    <w:rsid w:val="001E447A"/>
    <w:rsid w:val="001E583A"/>
    <w:rsid w:val="001F184C"/>
    <w:rsid w:val="00202C3B"/>
    <w:rsid w:val="00202DFD"/>
    <w:rsid w:val="00217F2B"/>
    <w:rsid w:val="00223748"/>
    <w:rsid w:val="00223C10"/>
    <w:rsid w:val="00224285"/>
    <w:rsid w:val="00233128"/>
    <w:rsid w:val="00233BFD"/>
    <w:rsid w:val="00235F32"/>
    <w:rsid w:val="002409BF"/>
    <w:rsid w:val="00242408"/>
    <w:rsid w:val="0025240B"/>
    <w:rsid w:val="00264CC8"/>
    <w:rsid w:val="002712C2"/>
    <w:rsid w:val="00284EA3"/>
    <w:rsid w:val="002936DE"/>
    <w:rsid w:val="00293B66"/>
    <w:rsid w:val="002957F6"/>
    <w:rsid w:val="002A1139"/>
    <w:rsid w:val="002A1F75"/>
    <w:rsid w:val="002D5890"/>
    <w:rsid w:val="002D5A2C"/>
    <w:rsid w:val="002D625A"/>
    <w:rsid w:val="002E093B"/>
    <w:rsid w:val="002E6E31"/>
    <w:rsid w:val="002E74F6"/>
    <w:rsid w:val="002F0429"/>
    <w:rsid w:val="0031279B"/>
    <w:rsid w:val="003178E1"/>
    <w:rsid w:val="0033399E"/>
    <w:rsid w:val="00333B14"/>
    <w:rsid w:val="00335B4F"/>
    <w:rsid w:val="0033665F"/>
    <w:rsid w:val="0033785D"/>
    <w:rsid w:val="00353291"/>
    <w:rsid w:val="00363227"/>
    <w:rsid w:val="00370CF7"/>
    <w:rsid w:val="00372A83"/>
    <w:rsid w:val="0037543A"/>
    <w:rsid w:val="00376324"/>
    <w:rsid w:val="00376760"/>
    <w:rsid w:val="00380EF0"/>
    <w:rsid w:val="003910FB"/>
    <w:rsid w:val="0039220D"/>
    <w:rsid w:val="00396D20"/>
    <w:rsid w:val="003A080F"/>
    <w:rsid w:val="003A6DED"/>
    <w:rsid w:val="003A718B"/>
    <w:rsid w:val="003A7467"/>
    <w:rsid w:val="003B30D5"/>
    <w:rsid w:val="003B3D34"/>
    <w:rsid w:val="003B5C6B"/>
    <w:rsid w:val="003B7D76"/>
    <w:rsid w:val="003C1814"/>
    <w:rsid w:val="003C2F91"/>
    <w:rsid w:val="003D280D"/>
    <w:rsid w:val="003E0E88"/>
    <w:rsid w:val="003E3AAB"/>
    <w:rsid w:val="003E77C8"/>
    <w:rsid w:val="003F48C6"/>
    <w:rsid w:val="0040395A"/>
    <w:rsid w:val="00414557"/>
    <w:rsid w:val="004421FA"/>
    <w:rsid w:val="004544BD"/>
    <w:rsid w:val="004546A7"/>
    <w:rsid w:val="00463FBF"/>
    <w:rsid w:val="004657D8"/>
    <w:rsid w:val="00465B60"/>
    <w:rsid w:val="0046730B"/>
    <w:rsid w:val="004710F3"/>
    <w:rsid w:val="00471378"/>
    <w:rsid w:val="004760A9"/>
    <w:rsid w:val="00477CAD"/>
    <w:rsid w:val="00483566"/>
    <w:rsid w:val="00483D30"/>
    <w:rsid w:val="00492950"/>
    <w:rsid w:val="00495AEF"/>
    <w:rsid w:val="004975CC"/>
    <w:rsid w:val="004A15F7"/>
    <w:rsid w:val="004A23DE"/>
    <w:rsid w:val="004A35A3"/>
    <w:rsid w:val="004A5959"/>
    <w:rsid w:val="004A7E58"/>
    <w:rsid w:val="004B0D89"/>
    <w:rsid w:val="004B5FBA"/>
    <w:rsid w:val="004C0D99"/>
    <w:rsid w:val="004C1E00"/>
    <w:rsid w:val="004C6A39"/>
    <w:rsid w:val="004F6556"/>
    <w:rsid w:val="00500A0A"/>
    <w:rsid w:val="0050390D"/>
    <w:rsid w:val="005243F7"/>
    <w:rsid w:val="0053453B"/>
    <w:rsid w:val="00543552"/>
    <w:rsid w:val="00550189"/>
    <w:rsid w:val="005523FF"/>
    <w:rsid w:val="005639DF"/>
    <w:rsid w:val="005646F3"/>
    <w:rsid w:val="00564873"/>
    <w:rsid w:val="0056614E"/>
    <w:rsid w:val="00574159"/>
    <w:rsid w:val="00581CB7"/>
    <w:rsid w:val="005845CF"/>
    <w:rsid w:val="0059196F"/>
    <w:rsid w:val="005A0E5D"/>
    <w:rsid w:val="005A733A"/>
    <w:rsid w:val="005B2C4A"/>
    <w:rsid w:val="005C3098"/>
    <w:rsid w:val="005C5325"/>
    <w:rsid w:val="005C6DFD"/>
    <w:rsid w:val="005D6C1A"/>
    <w:rsid w:val="005E1283"/>
    <w:rsid w:val="005E1C23"/>
    <w:rsid w:val="005F0D58"/>
    <w:rsid w:val="005F19B4"/>
    <w:rsid w:val="005F26F8"/>
    <w:rsid w:val="005F4FD3"/>
    <w:rsid w:val="005F68D7"/>
    <w:rsid w:val="006049B1"/>
    <w:rsid w:val="006113B7"/>
    <w:rsid w:val="00615E46"/>
    <w:rsid w:val="006216CD"/>
    <w:rsid w:val="00622401"/>
    <w:rsid w:val="0063274D"/>
    <w:rsid w:val="00632B4C"/>
    <w:rsid w:val="00636DA7"/>
    <w:rsid w:val="00637002"/>
    <w:rsid w:val="006417DD"/>
    <w:rsid w:val="00645D52"/>
    <w:rsid w:val="00654A6B"/>
    <w:rsid w:val="00656E0E"/>
    <w:rsid w:val="00660924"/>
    <w:rsid w:val="0066203E"/>
    <w:rsid w:val="00674FE2"/>
    <w:rsid w:val="0068674C"/>
    <w:rsid w:val="006928CD"/>
    <w:rsid w:val="006942E7"/>
    <w:rsid w:val="00697C13"/>
    <w:rsid w:val="006A07AD"/>
    <w:rsid w:val="006A5D8C"/>
    <w:rsid w:val="006B28D2"/>
    <w:rsid w:val="006E010B"/>
    <w:rsid w:val="006E0EAC"/>
    <w:rsid w:val="006E24D4"/>
    <w:rsid w:val="006E680C"/>
    <w:rsid w:val="006F6454"/>
    <w:rsid w:val="00700419"/>
    <w:rsid w:val="007131CB"/>
    <w:rsid w:val="00716B61"/>
    <w:rsid w:val="00723435"/>
    <w:rsid w:val="00744121"/>
    <w:rsid w:val="00746CFC"/>
    <w:rsid w:val="00757E32"/>
    <w:rsid w:val="00760047"/>
    <w:rsid w:val="00761E92"/>
    <w:rsid w:val="00762E21"/>
    <w:rsid w:val="00771D90"/>
    <w:rsid w:val="0077319F"/>
    <w:rsid w:val="007853C6"/>
    <w:rsid w:val="0078667E"/>
    <w:rsid w:val="00787048"/>
    <w:rsid w:val="00787809"/>
    <w:rsid w:val="00794973"/>
    <w:rsid w:val="0079737A"/>
    <w:rsid w:val="007A2B52"/>
    <w:rsid w:val="007C43FB"/>
    <w:rsid w:val="007C5C58"/>
    <w:rsid w:val="007C5C9B"/>
    <w:rsid w:val="00801DAF"/>
    <w:rsid w:val="00801E4B"/>
    <w:rsid w:val="008063A7"/>
    <w:rsid w:val="008064B2"/>
    <w:rsid w:val="00810BE0"/>
    <w:rsid w:val="00817418"/>
    <w:rsid w:val="00820080"/>
    <w:rsid w:val="00822EAF"/>
    <w:rsid w:val="00824247"/>
    <w:rsid w:val="008311B0"/>
    <w:rsid w:val="008370BA"/>
    <w:rsid w:val="008462EA"/>
    <w:rsid w:val="00846770"/>
    <w:rsid w:val="008505E7"/>
    <w:rsid w:val="00861F36"/>
    <w:rsid w:val="008622A1"/>
    <w:rsid w:val="00875F31"/>
    <w:rsid w:val="008835ED"/>
    <w:rsid w:val="0088460E"/>
    <w:rsid w:val="00892D02"/>
    <w:rsid w:val="008A2D09"/>
    <w:rsid w:val="008A6A2C"/>
    <w:rsid w:val="008B1C52"/>
    <w:rsid w:val="008B2DC7"/>
    <w:rsid w:val="008B589A"/>
    <w:rsid w:val="008C01CE"/>
    <w:rsid w:val="008D355B"/>
    <w:rsid w:val="008D5D6E"/>
    <w:rsid w:val="008E0354"/>
    <w:rsid w:val="008E0856"/>
    <w:rsid w:val="008E3F4F"/>
    <w:rsid w:val="008E4FD6"/>
    <w:rsid w:val="008E5E5C"/>
    <w:rsid w:val="008E75D3"/>
    <w:rsid w:val="008E7DBB"/>
    <w:rsid w:val="008F0BAE"/>
    <w:rsid w:val="008F24F1"/>
    <w:rsid w:val="00901DC6"/>
    <w:rsid w:val="00901FC0"/>
    <w:rsid w:val="00904C55"/>
    <w:rsid w:val="00905DED"/>
    <w:rsid w:val="00920173"/>
    <w:rsid w:val="00920882"/>
    <w:rsid w:val="00922530"/>
    <w:rsid w:val="00924C06"/>
    <w:rsid w:val="009251C8"/>
    <w:rsid w:val="00926F7E"/>
    <w:rsid w:val="00927E7A"/>
    <w:rsid w:val="009329A2"/>
    <w:rsid w:val="009502CB"/>
    <w:rsid w:val="009534E2"/>
    <w:rsid w:val="0095797F"/>
    <w:rsid w:val="009607DF"/>
    <w:rsid w:val="009641EA"/>
    <w:rsid w:val="00967721"/>
    <w:rsid w:val="00970F1B"/>
    <w:rsid w:val="00973C01"/>
    <w:rsid w:val="00986DCE"/>
    <w:rsid w:val="009914D0"/>
    <w:rsid w:val="009918B4"/>
    <w:rsid w:val="00992412"/>
    <w:rsid w:val="00993269"/>
    <w:rsid w:val="0099371D"/>
    <w:rsid w:val="00994225"/>
    <w:rsid w:val="00996D65"/>
    <w:rsid w:val="009A386E"/>
    <w:rsid w:val="009A74E0"/>
    <w:rsid w:val="009B7841"/>
    <w:rsid w:val="009C5B24"/>
    <w:rsid w:val="009C60D0"/>
    <w:rsid w:val="009D2908"/>
    <w:rsid w:val="009E0369"/>
    <w:rsid w:val="009E1E3A"/>
    <w:rsid w:val="00A04360"/>
    <w:rsid w:val="00A07A98"/>
    <w:rsid w:val="00A12A1C"/>
    <w:rsid w:val="00A15143"/>
    <w:rsid w:val="00A20C54"/>
    <w:rsid w:val="00A43479"/>
    <w:rsid w:val="00A54CF0"/>
    <w:rsid w:val="00A62C7C"/>
    <w:rsid w:val="00A6723F"/>
    <w:rsid w:val="00A7700B"/>
    <w:rsid w:val="00A90A04"/>
    <w:rsid w:val="00A96C26"/>
    <w:rsid w:val="00AA7B99"/>
    <w:rsid w:val="00AB6A44"/>
    <w:rsid w:val="00AC05F8"/>
    <w:rsid w:val="00AC4230"/>
    <w:rsid w:val="00AC54E0"/>
    <w:rsid w:val="00AD04F3"/>
    <w:rsid w:val="00AD1EA4"/>
    <w:rsid w:val="00AD484A"/>
    <w:rsid w:val="00AE0FE1"/>
    <w:rsid w:val="00AF20C4"/>
    <w:rsid w:val="00AF2A46"/>
    <w:rsid w:val="00AF4968"/>
    <w:rsid w:val="00B00A18"/>
    <w:rsid w:val="00B04004"/>
    <w:rsid w:val="00B16E6F"/>
    <w:rsid w:val="00B22543"/>
    <w:rsid w:val="00B2573C"/>
    <w:rsid w:val="00B266A9"/>
    <w:rsid w:val="00B26776"/>
    <w:rsid w:val="00B32DB8"/>
    <w:rsid w:val="00B32E32"/>
    <w:rsid w:val="00B378F7"/>
    <w:rsid w:val="00B41025"/>
    <w:rsid w:val="00B44D6B"/>
    <w:rsid w:val="00B4580A"/>
    <w:rsid w:val="00B45B79"/>
    <w:rsid w:val="00B45BF0"/>
    <w:rsid w:val="00B47F6E"/>
    <w:rsid w:val="00B50B9A"/>
    <w:rsid w:val="00B55585"/>
    <w:rsid w:val="00B57283"/>
    <w:rsid w:val="00B65D5C"/>
    <w:rsid w:val="00B71787"/>
    <w:rsid w:val="00B803F0"/>
    <w:rsid w:val="00B842C1"/>
    <w:rsid w:val="00B84F42"/>
    <w:rsid w:val="00B90066"/>
    <w:rsid w:val="00B90688"/>
    <w:rsid w:val="00B930BE"/>
    <w:rsid w:val="00BA2134"/>
    <w:rsid w:val="00BA41C8"/>
    <w:rsid w:val="00BB1C7A"/>
    <w:rsid w:val="00BB4224"/>
    <w:rsid w:val="00BB7224"/>
    <w:rsid w:val="00BC726A"/>
    <w:rsid w:val="00BD44D8"/>
    <w:rsid w:val="00BD497C"/>
    <w:rsid w:val="00BE681C"/>
    <w:rsid w:val="00BF6311"/>
    <w:rsid w:val="00C01A2D"/>
    <w:rsid w:val="00C132AE"/>
    <w:rsid w:val="00C14082"/>
    <w:rsid w:val="00C148BD"/>
    <w:rsid w:val="00C339F9"/>
    <w:rsid w:val="00C44515"/>
    <w:rsid w:val="00C4514D"/>
    <w:rsid w:val="00C52D09"/>
    <w:rsid w:val="00C55DA7"/>
    <w:rsid w:val="00C6115A"/>
    <w:rsid w:val="00C6782F"/>
    <w:rsid w:val="00C71610"/>
    <w:rsid w:val="00C75A71"/>
    <w:rsid w:val="00C77C78"/>
    <w:rsid w:val="00C91AF6"/>
    <w:rsid w:val="00CA0571"/>
    <w:rsid w:val="00CA2A5A"/>
    <w:rsid w:val="00CA48DA"/>
    <w:rsid w:val="00CA72D5"/>
    <w:rsid w:val="00CB06E7"/>
    <w:rsid w:val="00CC7E2B"/>
    <w:rsid w:val="00CD354F"/>
    <w:rsid w:val="00CD41DE"/>
    <w:rsid w:val="00CD6CFC"/>
    <w:rsid w:val="00CD7DF1"/>
    <w:rsid w:val="00CE1223"/>
    <w:rsid w:val="00D1779B"/>
    <w:rsid w:val="00D305DA"/>
    <w:rsid w:val="00D34B59"/>
    <w:rsid w:val="00D34E7C"/>
    <w:rsid w:val="00D37056"/>
    <w:rsid w:val="00D4159A"/>
    <w:rsid w:val="00D41FED"/>
    <w:rsid w:val="00D42D3B"/>
    <w:rsid w:val="00D438B9"/>
    <w:rsid w:val="00D51158"/>
    <w:rsid w:val="00D51777"/>
    <w:rsid w:val="00D537A9"/>
    <w:rsid w:val="00D5551C"/>
    <w:rsid w:val="00D558ED"/>
    <w:rsid w:val="00D616C2"/>
    <w:rsid w:val="00D81C32"/>
    <w:rsid w:val="00D87421"/>
    <w:rsid w:val="00D9010B"/>
    <w:rsid w:val="00D9721B"/>
    <w:rsid w:val="00DB7FF3"/>
    <w:rsid w:val="00DC60FE"/>
    <w:rsid w:val="00DC65AE"/>
    <w:rsid w:val="00DC69D7"/>
    <w:rsid w:val="00DD1C4C"/>
    <w:rsid w:val="00DE5110"/>
    <w:rsid w:val="00DE673C"/>
    <w:rsid w:val="00DF6787"/>
    <w:rsid w:val="00E005D0"/>
    <w:rsid w:val="00E008BF"/>
    <w:rsid w:val="00E01B2C"/>
    <w:rsid w:val="00E03614"/>
    <w:rsid w:val="00E03774"/>
    <w:rsid w:val="00E10D7C"/>
    <w:rsid w:val="00E1279E"/>
    <w:rsid w:val="00E224E1"/>
    <w:rsid w:val="00E23234"/>
    <w:rsid w:val="00E25C9D"/>
    <w:rsid w:val="00E26D4C"/>
    <w:rsid w:val="00E36E9B"/>
    <w:rsid w:val="00E40460"/>
    <w:rsid w:val="00E634FC"/>
    <w:rsid w:val="00E651CE"/>
    <w:rsid w:val="00E71D72"/>
    <w:rsid w:val="00E76A67"/>
    <w:rsid w:val="00E85D32"/>
    <w:rsid w:val="00E96BBB"/>
    <w:rsid w:val="00EB1D67"/>
    <w:rsid w:val="00EC37F2"/>
    <w:rsid w:val="00ED114C"/>
    <w:rsid w:val="00ED7451"/>
    <w:rsid w:val="00EE3E3C"/>
    <w:rsid w:val="00EF1F5E"/>
    <w:rsid w:val="00F022E8"/>
    <w:rsid w:val="00F06F25"/>
    <w:rsid w:val="00F10107"/>
    <w:rsid w:val="00F15F94"/>
    <w:rsid w:val="00F20562"/>
    <w:rsid w:val="00F24C0C"/>
    <w:rsid w:val="00F2562F"/>
    <w:rsid w:val="00F26FCF"/>
    <w:rsid w:val="00F344F3"/>
    <w:rsid w:val="00F3749E"/>
    <w:rsid w:val="00F40441"/>
    <w:rsid w:val="00F50C56"/>
    <w:rsid w:val="00F633D8"/>
    <w:rsid w:val="00F65A15"/>
    <w:rsid w:val="00F9256E"/>
    <w:rsid w:val="00F93D38"/>
    <w:rsid w:val="00FA2F13"/>
    <w:rsid w:val="00FA56D6"/>
    <w:rsid w:val="00FB3926"/>
    <w:rsid w:val="00FC0D68"/>
    <w:rsid w:val="00FC6897"/>
    <w:rsid w:val="00FC7CDA"/>
    <w:rsid w:val="00FD02FF"/>
    <w:rsid w:val="00FD7CF4"/>
    <w:rsid w:val="00FE2AED"/>
    <w:rsid w:val="00FF3E23"/>
    <w:rsid w:val="00FF7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84A27"/>
  <w15:chartTrackingRefBased/>
  <w15:docId w15:val="{762BF8C3-8E49-450C-B0CF-F6185C49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43FB"/>
    <w:pPr>
      <w:widowControl w:val="0"/>
      <w:jc w:val="both"/>
    </w:pPr>
    <w:rPr>
      <w:szCs w:val="24"/>
    </w:rPr>
  </w:style>
  <w:style w:type="paragraph" w:styleId="2">
    <w:name w:val="heading 2"/>
    <w:basedOn w:val="a"/>
    <w:next w:val="a"/>
    <w:link w:val="20"/>
    <w:uiPriority w:val="9"/>
    <w:unhideWhenUsed/>
    <w:qFormat/>
    <w:rsid w:val="005C532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3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C43FB"/>
    <w:rPr>
      <w:sz w:val="18"/>
      <w:szCs w:val="18"/>
    </w:rPr>
  </w:style>
  <w:style w:type="paragraph" w:styleId="a5">
    <w:name w:val="footer"/>
    <w:basedOn w:val="a"/>
    <w:link w:val="a6"/>
    <w:uiPriority w:val="99"/>
    <w:unhideWhenUsed/>
    <w:rsid w:val="007C43FB"/>
    <w:pPr>
      <w:tabs>
        <w:tab w:val="center" w:pos="4153"/>
        <w:tab w:val="right" w:pos="8306"/>
      </w:tabs>
      <w:snapToGrid w:val="0"/>
      <w:jc w:val="left"/>
    </w:pPr>
    <w:rPr>
      <w:sz w:val="18"/>
      <w:szCs w:val="18"/>
    </w:rPr>
  </w:style>
  <w:style w:type="character" w:customStyle="1" w:styleId="a6">
    <w:name w:val="页脚 字符"/>
    <w:basedOn w:val="a0"/>
    <w:link w:val="a5"/>
    <w:uiPriority w:val="99"/>
    <w:rsid w:val="007C43FB"/>
    <w:rPr>
      <w:sz w:val="18"/>
      <w:szCs w:val="18"/>
    </w:rPr>
  </w:style>
  <w:style w:type="table" w:styleId="a7">
    <w:name w:val="Table Grid"/>
    <w:basedOn w:val="a1"/>
    <w:qFormat/>
    <w:rsid w:val="007C43F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7C43FB"/>
    <w:rPr>
      <w:color w:val="0000FF"/>
      <w:u w:val="single"/>
    </w:rPr>
  </w:style>
  <w:style w:type="paragraph" w:styleId="a9">
    <w:name w:val="List Paragraph"/>
    <w:basedOn w:val="a"/>
    <w:uiPriority w:val="34"/>
    <w:qFormat/>
    <w:rsid w:val="00FD7CF4"/>
    <w:pPr>
      <w:ind w:firstLineChars="200" w:firstLine="420"/>
    </w:pPr>
  </w:style>
  <w:style w:type="character" w:customStyle="1" w:styleId="1">
    <w:name w:val="未处理的提及1"/>
    <w:basedOn w:val="a0"/>
    <w:uiPriority w:val="99"/>
    <w:semiHidden/>
    <w:unhideWhenUsed/>
    <w:rsid w:val="005A733A"/>
    <w:rPr>
      <w:color w:val="605E5C"/>
      <w:shd w:val="clear" w:color="auto" w:fill="E1DFDD"/>
    </w:rPr>
  </w:style>
  <w:style w:type="character" w:styleId="aa">
    <w:name w:val="annotation reference"/>
    <w:basedOn w:val="a0"/>
    <w:uiPriority w:val="99"/>
    <w:rsid w:val="000F3DF7"/>
    <w:rPr>
      <w:sz w:val="16"/>
      <w:szCs w:val="16"/>
    </w:rPr>
  </w:style>
  <w:style w:type="paragraph" w:styleId="ab">
    <w:name w:val="annotation text"/>
    <w:basedOn w:val="a"/>
    <w:link w:val="ac"/>
    <w:uiPriority w:val="99"/>
    <w:semiHidden/>
    <w:unhideWhenUsed/>
    <w:pPr>
      <w:jc w:val="left"/>
    </w:pPr>
  </w:style>
  <w:style w:type="character" w:customStyle="1" w:styleId="ac">
    <w:name w:val="批注文字 字符"/>
    <w:basedOn w:val="a0"/>
    <w:link w:val="ab"/>
    <w:uiPriority w:val="99"/>
    <w:semiHidden/>
    <w:rPr>
      <w:szCs w:val="24"/>
    </w:rPr>
  </w:style>
  <w:style w:type="character" w:styleId="ad">
    <w:name w:val="line number"/>
    <w:basedOn w:val="a0"/>
    <w:uiPriority w:val="99"/>
    <w:semiHidden/>
    <w:unhideWhenUsed/>
    <w:rsid w:val="009E1E3A"/>
  </w:style>
  <w:style w:type="character" w:customStyle="1" w:styleId="20">
    <w:name w:val="标题 2 字符"/>
    <w:basedOn w:val="a0"/>
    <w:link w:val="2"/>
    <w:uiPriority w:val="9"/>
    <w:rsid w:val="005C5325"/>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xl145381@njmu.edu.cn" TargetMode="Externa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zy@njmu.edu.cn" TargetMode="Externa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1334</TotalTime>
  <Pages>12</Pages>
  <Words>1357</Words>
  <Characters>7737</Characters>
  <Application>Microsoft Office Word</Application>
  <DocSecurity>0</DocSecurity>
  <Lines>64</Lines>
  <Paragraphs>18</Paragraphs>
  <ScaleCrop>false</ScaleCrop>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MQH</cp:lastModifiedBy>
  <cp:revision>348</cp:revision>
  <cp:lastPrinted>2022-03-10T15:25:00Z</cp:lastPrinted>
  <dcterms:created xsi:type="dcterms:W3CDTF">2021-08-20T05:17:00Z</dcterms:created>
  <dcterms:modified xsi:type="dcterms:W3CDTF">2023-10-12T03:24:00Z</dcterms:modified>
</cp:coreProperties>
</file>