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E650A2" w14:textId="6B52AC3F" w:rsidR="002D2D37" w:rsidRDefault="006C2DD0" w:rsidP="002D2D37">
      <w:pPr>
        <w:keepNext/>
        <w:jc w:val="center"/>
      </w:pPr>
      <w:r>
        <w:rPr>
          <w:noProof/>
        </w:rPr>
        <w:drawing>
          <wp:inline distT="0" distB="0" distL="0" distR="0" wp14:anchorId="55A0A3EC" wp14:editId="50B56FB0">
            <wp:extent cx="4825898" cy="7397873"/>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4825898" cy="7397873"/>
                    </a:xfrm>
                    <a:prstGeom prst="rect">
                      <a:avLst/>
                    </a:prstGeom>
                    <a:noFill/>
                    <a:ln>
                      <a:noFill/>
                    </a:ln>
                  </pic:spPr>
                </pic:pic>
              </a:graphicData>
            </a:graphic>
          </wp:inline>
        </w:drawing>
      </w:r>
    </w:p>
    <w:p w14:paraId="5BCCD8C3" w14:textId="1307D442" w:rsidR="003C093A" w:rsidRDefault="002D2D37" w:rsidP="002D2D37">
      <w:pPr>
        <w:pStyle w:val="Caption"/>
      </w:pPr>
      <w:r>
        <w:t>Figure S</w:t>
      </w:r>
      <w:r w:rsidR="006245B1">
        <w:rPr>
          <w:noProof/>
        </w:rPr>
        <w:fldChar w:fldCharType="begin"/>
      </w:r>
      <w:r w:rsidR="006245B1">
        <w:rPr>
          <w:noProof/>
        </w:rPr>
        <w:instrText xml:space="preserve"> SEQ Figure \* ARABIC </w:instrText>
      </w:r>
      <w:r w:rsidR="006245B1">
        <w:rPr>
          <w:noProof/>
        </w:rPr>
        <w:fldChar w:fldCharType="separate"/>
      </w:r>
      <w:r w:rsidR="000B3E39">
        <w:rPr>
          <w:noProof/>
        </w:rPr>
        <w:t>1</w:t>
      </w:r>
      <w:r w:rsidR="006245B1">
        <w:rPr>
          <w:noProof/>
        </w:rPr>
        <w:fldChar w:fldCharType="end"/>
      </w:r>
      <w:r>
        <w:t xml:space="preserve">: </w:t>
      </w:r>
      <w:r w:rsidRPr="00D963CA">
        <w:rPr>
          <w:rFonts w:ascii="Calibri" w:eastAsia="Calibri" w:hAnsi="Calibri" w:cs="Calibri"/>
          <w:b/>
          <w:bCs/>
          <w:color w:val="44546A"/>
        </w:rPr>
        <w:t xml:space="preserve">Analysis of the bacterial recolonization dynamics based on 16S upon recolonization of </w:t>
      </w:r>
      <w:r>
        <w:rPr>
          <w:rFonts w:ascii="Calibri" w:eastAsia="Calibri" w:hAnsi="Calibri" w:cs="Calibri"/>
          <w:b/>
          <w:bCs/>
          <w:color w:val="44546A"/>
        </w:rPr>
        <w:t xml:space="preserve">silicone tubes </w:t>
      </w:r>
      <w:r w:rsidRPr="00D963CA">
        <w:rPr>
          <w:rFonts w:ascii="Calibri" w:eastAsia="Calibri" w:hAnsi="Calibri" w:cs="Calibri"/>
          <w:b/>
          <w:bCs/>
          <w:color w:val="44546A"/>
        </w:rPr>
        <w:t>over the course of one month.</w:t>
      </w:r>
      <w:r>
        <w:rPr>
          <w:rFonts w:ascii="Calibri" w:eastAsia="Calibri" w:hAnsi="Calibri" w:cs="Calibri"/>
          <w:color w:val="44546A"/>
        </w:rPr>
        <w:t xml:space="preserve"> UPGMA tree based on the Bray Curtis dissimilarity for recolonized silicone tubes color</w:t>
      </w:r>
      <w:r w:rsidR="00B850A0">
        <w:rPr>
          <w:rFonts w:ascii="Calibri" w:eastAsia="Calibri" w:hAnsi="Calibri" w:cs="Calibri"/>
          <w:color w:val="44546A"/>
        </w:rPr>
        <w:t>-</w:t>
      </w:r>
      <w:r>
        <w:rPr>
          <w:rFonts w:ascii="Calibri" w:eastAsia="Calibri" w:hAnsi="Calibri" w:cs="Calibri"/>
          <w:color w:val="44546A"/>
        </w:rPr>
        <w:t>coded according to (A) days post recolonization and (B) inoculum. Samples were taken from the inocula and 2, 7, 14, and 28 days post recolonization.</w:t>
      </w:r>
    </w:p>
    <w:p w14:paraId="040A0D6D" w14:textId="10B1CC28" w:rsidR="006C2DD0" w:rsidRDefault="006C2DD0" w:rsidP="003C093A"/>
    <w:p w14:paraId="099FE58A" w14:textId="77777777" w:rsidR="006C2DD0" w:rsidRDefault="006C2DD0">
      <w:pPr>
        <w:spacing w:after="160" w:line="259" w:lineRule="auto"/>
        <w:jc w:val="left"/>
      </w:pPr>
      <w:r>
        <w:br w:type="page"/>
      </w:r>
    </w:p>
    <w:p w14:paraId="3577F722" w14:textId="77777777" w:rsidR="002D2D37" w:rsidRDefault="006C2DD0" w:rsidP="002D2D37">
      <w:pPr>
        <w:keepNext/>
        <w:jc w:val="center"/>
      </w:pPr>
      <w:r>
        <w:rPr>
          <w:noProof/>
        </w:rPr>
        <w:lastRenderedPageBreak/>
        <w:drawing>
          <wp:inline distT="0" distB="0" distL="0" distR="0" wp14:anchorId="67FD9C35" wp14:editId="6C338C61">
            <wp:extent cx="5322115" cy="7400198"/>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322115" cy="7400198"/>
                    </a:xfrm>
                    <a:prstGeom prst="rect">
                      <a:avLst/>
                    </a:prstGeom>
                    <a:noFill/>
                    <a:ln>
                      <a:noFill/>
                    </a:ln>
                  </pic:spPr>
                </pic:pic>
              </a:graphicData>
            </a:graphic>
          </wp:inline>
        </w:drawing>
      </w:r>
    </w:p>
    <w:p w14:paraId="1CAC6CC1" w14:textId="62DC2281" w:rsidR="006C2DD0" w:rsidRDefault="002D2D37" w:rsidP="002D2D37">
      <w:pPr>
        <w:pStyle w:val="Caption"/>
      </w:pPr>
      <w:r>
        <w:t>Figure S</w:t>
      </w:r>
      <w:r w:rsidR="006245B1">
        <w:rPr>
          <w:noProof/>
        </w:rPr>
        <w:fldChar w:fldCharType="begin"/>
      </w:r>
      <w:r w:rsidR="006245B1">
        <w:rPr>
          <w:noProof/>
        </w:rPr>
        <w:instrText xml:space="preserve"> SEQ Figure \* ARABIC </w:instrText>
      </w:r>
      <w:r w:rsidR="006245B1">
        <w:rPr>
          <w:noProof/>
        </w:rPr>
        <w:fldChar w:fldCharType="separate"/>
      </w:r>
      <w:r w:rsidR="000B3E39">
        <w:rPr>
          <w:noProof/>
        </w:rPr>
        <w:t>2</w:t>
      </w:r>
      <w:r w:rsidR="006245B1">
        <w:rPr>
          <w:noProof/>
        </w:rPr>
        <w:fldChar w:fldCharType="end"/>
      </w:r>
      <w:r>
        <w:t xml:space="preserve">: </w:t>
      </w:r>
      <w:r w:rsidRPr="00D963CA">
        <w:rPr>
          <w:rFonts w:ascii="Calibri" w:eastAsia="Calibri" w:hAnsi="Calibri" w:cs="Calibri"/>
          <w:b/>
          <w:bCs/>
          <w:color w:val="44546A"/>
        </w:rPr>
        <w:t xml:space="preserve">Analysis of the bacterial recolonization dynamics based on 16S upon recolonization of </w:t>
      </w:r>
      <w:r w:rsidR="000F13DC">
        <w:rPr>
          <w:rFonts w:ascii="Calibri" w:eastAsia="Calibri" w:hAnsi="Calibri" w:cs="Calibri"/>
          <w:b/>
          <w:bCs/>
          <w:color w:val="44546A"/>
        </w:rPr>
        <w:t>adult polyps</w:t>
      </w:r>
      <w:r>
        <w:rPr>
          <w:rFonts w:ascii="Calibri" w:eastAsia="Calibri" w:hAnsi="Calibri" w:cs="Calibri"/>
          <w:b/>
          <w:bCs/>
          <w:color w:val="44546A"/>
        </w:rPr>
        <w:t xml:space="preserve"> </w:t>
      </w:r>
      <w:r w:rsidRPr="00D963CA">
        <w:rPr>
          <w:rFonts w:ascii="Calibri" w:eastAsia="Calibri" w:hAnsi="Calibri" w:cs="Calibri"/>
          <w:b/>
          <w:bCs/>
          <w:color w:val="44546A"/>
        </w:rPr>
        <w:t>over the course of one month.</w:t>
      </w:r>
      <w:r>
        <w:rPr>
          <w:rFonts w:ascii="Calibri" w:eastAsia="Calibri" w:hAnsi="Calibri" w:cs="Calibri"/>
          <w:color w:val="44546A"/>
        </w:rPr>
        <w:t xml:space="preserve"> UPGMA tree based on the Bray Curtis dissimilarity for recolonized silicone tubes color</w:t>
      </w:r>
      <w:r w:rsidR="00B850A0">
        <w:rPr>
          <w:rFonts w:ascii="Calibri" w:eastAsia="Calibri" w:hAnsi="Calibri" w:cs="Calibri"/>
          <w:color w:val="44546A"/>
        </w:rPr>
        <w:t>-</w:t>
      </w:r>
      <w:r>
        <w:rPr>
          <w:rFonts w:ascii="Calibri" w:eastAsia="Calibri" w:hAnsi="Calibri" w:cs="Calibri"/>
          <w:color w:val="44546A"/>
        </w:rPr>
        <w:t>coded according to (A) days post recolonization and (B) inoculum. Samples were taken from the inocula and 2, 7, 14, and 28 days post recolonization.</w:t>
      </w:r>
    </w:p>
    <w:p w14:paraId="621AC743" w14:textId="385B4189" w:rsidR="006C2DD0" w:rsidRDefault="006C2DD0" w:rsidP="003C093A"/>
    <w:p w14:paraId="5FC3D92D" w14:textId="77777777" w:rsidR="006C2DD0" w:rsidRDefault="006C2DD0" w:rsidP="003C093A"/>
    <w:p w14:paraId="46EACB28" w14:textId="77777777" w:rsidR="00C52940" w:rsidRDefault="00C52940" w:rsidP="00C52940">
      <w:pPr>
        <w:keepNext/>
        <w:spacing w:after="160" w:line="259" w:lineRule="auto"/>
        <w:jc w:val="left"/>
      </w:pPr>
      <w:r>
        <w:rPr>
          <w:noProof/>
        </w:rPr>
        <w:lastRenderedPageBreak/>
        <w:drawing>
          <wp:inline distT="0" distB="0" distL="0" distR="0" wp14:anchorId="754753EE" wp14:editId="4C6BCB4B">
            <wp:extent cx="5570220" cy="36204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9" r="102"/>
                    <a:stretch/>
                  </pic:blipFill>
                  <pic:spPr bwMode="auto">
                    <a:xfrm>
                      <a:off x="0" y="0"/>
                      <a:ext cx="5656149" cy="3676291"/>
                    </a:xfrm>
                    <a:prstGeom prst="rect">
                      <a:avLst/>
                    </a:prstGeom>
                    <a:noFill/>
                    <a:ln>
                      <a:noFill/>
                    </a:ln>
                    <a:extLst>
                      <a:ext uri="{53640926-AAD7-44D8-BBD7-CCE9431645EC}">
                        <a14:shadowObscured xmlns:a14="http://schemas.microsoft.com/office/drawing/2010/main"/>
                      </a:ext>
                    </a:extLst>
                  </pic:spPr>
                </pic:pic>
              </a:graphicData>
            </a:graphic>
          </wp:inline>
        </w:drawing>
      </w:r>
    </w:p>
    <w:p w14:paraId="3880986C" w14:textId="42F1128C" w:rsidR="00C52940" w:rsidRDefault="00C52940" w:rsidP="00C52940">
      <w:pPr>
        <w:pStyle w:val="Caption"/>
        <w:jc w:val="left"/>
      </w:pPr>
      <w:bookmarkStart w:id="0" w:name="_Hlk146634755"/>
      <w:r>
        <w:t>Figure S</w:t>
      </w:r>
      <w:r>
        <w:fldChar w:fldCharType="begin"/>
      </w:r>
      <w:r>
        <w:instrText xml:space="preserve"> SEQ Figure \* ARABIC </w:instrText>
      </w:r>
      <w:r>
        <w:fldChar w:fldCharType="separate"/>
      </w:r>
      <w:r w:rsidR="000B3E39">
        <w:rPr>
          <w:noProof/>
        </w:rPr>
        <w:t>3</w:t>
      </w:r>
      <w:r>
        <w:fldChar w:fldCharType="end"/>
      </w:r>
      <w:r w:rsidRPr="00375B74">
        <w:rPr>
          <w:b/>
        </w:rPr>
        <w:t>: Bray Curtis Distance of the recolonization of polyps and tubes together.</w:t>
      </w:r>
      <w:r>
        <w:t xml:space="preserve"> </w:t>
      </w:r>
      <w:bookmarkEnd w:id="0"/>
      <w:r>
        <w:t xml:space="preserve">Statistics on the </w:t>
      </w:r>
      <w:r w:rsidRPr="009C2CB8">
        <w:t xml:space="preserve">Bray-Curtis distances dependent on the substrate Adonis R^2 0.14603, p-value 0.001; </w:t>
      </w:r>
      <w:proofErr w:type="spellStart"/>
      <w:r w:rsidRPr="009C2CB8">
        <w:t>Anosim</w:t>
      </w:r>
      <w:proofErr w:type="spellEnd"/>
      <w:r w:rsidRPr="009C2CB8">
        <w:t xml:space="preserve"> R 0.4661, p-value 0.001</w:t>
      </w:r>
      <w:r>
        <w:t>.</w:t>
      </w:r>
    </w:p>
    <w:p w14:paraId="5512A257" w14:textId="0870E3AF" w:rsidR="00C52940" w:rsidRDefault="00C52940" w:rsidP="00375B74">
      <w:pPr>
        <w:spacing w:after="160" w:line="259" w:lineRule="auto"/>
        <w:jc w:val="left"/>
      </w:pPr>
      <w:r>
        <w:t xml:space="preserve"> </w:t>
      </w:r>
    </w:p>
    <w:p w14:paraId="337C246E" w14:textId="59F63315" w:rsidR="00C52940" w:rsidRDefault="00C52940" w:rsidP="00C52940">
      <w:pPr>
        <w:keepNext/>
        <w:spacing w:after="160" w:line="259" w:lineRule="auto"/>
        <w:jc w:val="left"/>
      </w:pPr>
      <w:r>
        <w:rPr>
          <w:noProof/>
        </w:rPr>
        <w:drawing>
          <wp:inline distT="0" distB="0" distL="0" distR="0" wp14:anchorId="261637C1" wp14:editId="3D65AAB3">
            <wp:extent cx="5760720" cy="2524760"/>
            <wp:effectExtent l="0" t="0" r="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2524760"/>
                    </a:xfrm>
                    <a:prstGeom prst="rect">
                      <a:avLst/>
                    </a:prstGeom>
                    <a:noFill/>
                    <a:ln>
                      <a:noFill/>
                    </a:ln>
                  </pic:spPr>
                </pic:pic>
              </a:graphicData>
            </a:graphic>
          </wp:inline>
        </w:drawing>
      </w:r>
    </w:p>
    <w:p w14:paraId="3C8E5B90" w14:textId="7DE637A3" w:rsidR="00C52940" w:rsidRDefault="00C52940" w:rsidP="00C52940">
      <w:pPr>
        <w:pStyle w:val="Caption"/>
        <w:jc w:val="left"/>
      </w:pPr>
      <w:bookmarkStart w:id="1" w:name="_Hlk146634876"/>
      <w:r>
        <w:t>Figure S</w:t>
      </w:r>
      <w:r>
        <w:fldChar w:fldCharType="begin"/>
      </w:r>
      <w:r>
        <w:instrText xml:space="preserve"> SEQ Figure \* ARABIC </w:instrText>
      </w:r>
      <w:r>
        <w:fldChar w:fldCharType="separate"/>
      </w:r>
      <w:r w:rsidR="000B3E39">
        <w:rPr>
          <w:noProof/>
        </w:rPr>
        <w:t>4</w:t>
      </w:r>
      <w:r>
        <w:fldChar w:fldCharType="end"/>
      </w:r>
      <w:r>
        <w:t xml:space="preserve">: </w:t>
      </w:r>
      <w:r w:rsidRPr="00FE3689">
        <w:rPr>
          <w:b/>
        </w:rPr>
        <w:t>Recolonization dynamics of germfree polyps.</w:t>
      </w:r>
      <w:bookmarkEnd w:id="1"/>
      <w:r>
        <w:t xml:space="preserve"> (A) The </w:t>
      </w:r>
      <w:proofErr w:type="spellStart"/>
      <w:r>
        <w:t>PCoA</w:t>
      </w:r>
      <w:proofErr w:type="spellEnd"/>
      <w:r>
        <w:t xml:space="preserve"> is based on the </w:t>
      </w:r>
      <w:r>
        <w:rPr>
          <w:lang w:val="en-GB"/>
        </w:rPr>
        <w:t xml:space="preserve">(A) </w:t>
      </w:r>
      <w:r>
        <w:t xml:space="preserve">unweighted and (B) weighted </w:t>
      </w:r>
      <w:proofErr w:type="spellStart"/>
      <w:r>
        <w:t>UniFrac</w:t>
      </w:r>
      <w:proofErr w:type="spellEnd"/>
      <w:r>
        <w:t xml:space="preserve"> distance metric.</w:t>
      </w:r>
    </w:p>
    <w:p w14:paraId="1E72609B" w14:textId="77777777" w:rsidR="00C52940" w:rsidRDefault="00C52940" w:rsidP="00C52940"/>
    <w:p w14:paraId="24F0EE15" w14:textId="77777777" w:rsidR="00C52940" w:rsidRDefault="00C52940" w:rsidP="00C52940">
      <w:pPr>
        <w:keepNext/>
      </w:pPr>
      <w:r>
        <w:rPr>
          <w:noProof/>
        </w:rPr>
        <w:lastRenderedPageBreak/>
        <w:drawing>
          <wp:inline distT="0" distB="0" distL="0" distR="0" wp14:anchorId="005268BA" wp14:editId="748856EC">
            <wp:extent cx="5760720" cy="248221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2482215"/>
                    </a:xfrm>
                    <a:prstGeom prst="rect">
                      <a:avLst/>
                    </a:prstGeom>
                    <a:noFill/>
                    <a:ln>
                      <a:noFill/>
                    </a:ln>
                  </pic:spPr>
                </pic:pic>
              </a:graphicData>
            </a:graphic>
          </wp:inline>
        </w:drawing>
      </w:r>
    </w:p>
    <w:p w14:paraId="49EA51F4" w14:textId="6A1CB2C2" w:rsidR="00C52940" w:rsidRDefault="00C52940" w:rsidP="00C52940">
      <w:pPr>
        <w:pStyle w:val="Caption"/>
      </w:pPr>
      <w:bookmarkStart w:id="2" w:name="_Hlk146634929"/>
      <w:r>
        <w:t>Figure S</w:t>
      </w:r>
      <w:r>
        <w:fldChar w:fldCharType="begin"/>
      </w:r>
      <w:r>
        <w:instrText xml:space="preserve"> SEQ Figure \* ARABIC </w:instrText>
      </w:r>
      <w:r>
        <w:fldChar w:fldCharType="separate"/>
      </w:r>
      <w:r w:rsidR="000B3E39">
        <w:rPr>
          <w:noProof/>
        </w:rPr>
        <w:t>5</w:t>
      </w:r>
      <w:r>
        <w:fldChar w:fldCharType="end"/>
      </w:r>
      <w:r>
        <w:t xml:space="preserve">: </w:t>
      </w:r>
      <w:r w:rsidRPr="00375B74">
        <w:rPr>
          <w:b/>
        </w:rPr>
        <w:t>Recolonization dynamics of silicone tubes</w:t>
      </w:r>
      <w:r>
        <w:t xml:space="preserve">. </w:t>
      </w:r>
      <w:bookmarkEnd w:id="2"/>
      <w:r>
        <w:t xml:space="preserve">((A) The </w:t>
      </w:r>
      <w:proofErr w:type="spellStart"/>
      <w:r>
        <w:t>PCoA</w:t>
      </w:r>
      <w:proofErr w:type="spellEnd"/>
      <w:r>
        <w:t xml:space="preserve"> is based on the </w:t>
      </w:r>
      <w:r>
        <w:rPr>
          <w:lang w:val="en-GB"/>
        </w:rPr>
        <w:t xml:space="preserve">(A) </w:t>
      </w:r>
      <w:r>
        <w:t xml:space="preserve">unweighted and (B) weighted </w:t>
      </w:r>
      <w:proofErr w:type="spellStart"/>
      <w:r>
        <w:t>UniFrac</w:t>
      </w:r>
      <w:proofErr w:type="spellEnd"/>
      <w:r>
        <w:t xml:space="preserve"> distance metric.</w:t>
      </w:r>
    </w:p>
    <w:p w14:paraId="595881E5" w14:textId="143B3CAA" w:rsidR="00C52940" w:rsidRDefault="00C52940" w:rsidP="00375B74">
      <w:pPr>
        <w:spacing w:after="160" w:line="259" w:lineRule="auto"/>
        <w:jc w:val="left"/>
      </w:pPr>
    </w:p>
    <w:p w14:paraId="4398B2C1" w14:textId="34BD32F4" w:rsidR="002D2D37" w:rsidRDefault="008C1B1E" w:rsidP="002D2D37">
      <w:pPr>
        <w:keepNext/>
      </w:pPr>
      <w:r>
        <w:rPr>
          <w:noProof/>
        </w:rPr>
        <w:drawing>
          <wp:inline distT="0" distB="0" distL="0" distR="0" wp14:anchorId="46E5541D" wp14:editId="62133FF4">
            <wp:extent cx="5760720" cy="22917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2291715"/>
                    </a:xfrm>
                    <a:prstGeom prst="rect">
                      <a:avLst/>
                    </a:prstGeom>
                    <a:noFill/>
                    <a:ln>
                      <a:noFill/>
                    </a:ln>
                  </pic:spPr>
                </pic:pic>
              </a:graphicData>
            </a:graphic>
          </wp:inline>
        </w:drawing>
      </w:r>
    </w:p>
    <w:p w14:paraId="40FFE4DE" w14:textId="5C4AF677" w:rsidR="002D2D37" w:rsidRPr="002D2D37" w:rsidRDefault="002D2D37" w:rsidP="002D2D37">
      <w:pPr>
        <w:pStyle w:val="Caption"/>
      </w:pPr>
      <w:r>
        <w:t>Figure S</w:t>
      </w:r>
      <w:r w:rsidR="006245B1">
        <w:rPr>
          <w:noProof/>
        </w:rPr>
        <w:fldChar w:fldCharType="begin"/>
      </w:r>
      <w:r w:rsidR="006245B1">
        <w:rPr>
          <w:noProof/>
        </w:rPr>
        <w:instrText xml:space="preserve"> SEQ Figure \* ARABIC </w:instrText>
      </w:r>
      <w:r w:rsidR="006245B1">
        <w:rPr>
          <w:noProof/>
        </w:rPr>
        <w:fldChar w:fldCharType="separate"/>
      </w:r>
      <w:r w:rsidR="000B3E39">
        <w:rPr>
          <w:noProof/>
        </w:rPr>
        <w:t>6</w:t>
      </w:r>
      <w:r w:rsidR="006245B1">
        <w:rPr>
          <w:noProof/>
        </w:rPr>
        <w:fldChar w:fldCharType="end"/>
      </w:r>
      <w:r>
        <w:t>:</w:t>
      </w:r>
      <w:r w:rsidRPr="002D2D37">
        <w:t xml:space="preserve"> </w:t>
      </w:r>
      <w:bookmarkStart w:id="3" w:name="_Hlk121211369"/>
      <w:r w:rsidRPr="002D2D37">
        <w:rPr>
          <w:b/>
        </w:rPr>
        <w:t>Bray-Curtis Dissimilarity Ranks of the bacterial community depending on the time and on the inocula.</w:t>
      </w:r>
      <w:r w:rsidRPr="002D2D37">
        <w:t xml:space="preserve"> The ratio of the dissimilarities between and within groups are compared. The compositional dissimilarities between groups are higher than the dissimilarities within the groups, which indicates that the groups are different in their species composition. The higher the R-value, the more dissimilar are the groups. (A) Dissimilarity Ranks according to days post recolonization. </w:t>
      </w:r>
      <w:proofErr w:type="spellStart"/>
      <w:r w:rsidRPr="002D2D37">
        <w:t>Anosim</w:t>
      </w:r>
      <w:proofErr w:type="spellEnd"/>
      <w:r w:rsidRPr="002D2D37">
        <w:t xml:space="preserve"> R=0.5804, p</w:t>
      </w:r>
      <w:r w:rsidR="00AD266F">
        <w:t>&lt;</w:t>
      </w:r>
      <w:r w:rsidRPr="002D2D37">
        <w:t xml:space="preserve">0.001. (B) Dissimilarity Ranks according to inocula. </w:t>
      </w:r>
      <w:proofErr w:type="spellStart"/>
      <w:r w:rsidRPr="002D2D37">
        <w:t>Anosim</w:t>
      </w:r>
      <w:proofErr w:type="spellEnd"/>
      <w:r w:rsidRPr="002D2D37">
        <w:t xml:space="preserve"> R=0.2364, p</w:t>
      </w:r>
      <w:r w:rsidR="00920442">
        <w:t>&lt;</w:t>
      </w:r>
      <w:r w:rsidRPr="002D2D37">
        <w:t>0.001.</w:t>
      </w:r>
    </w:p>
    <w:bookmarkEnd w:id="3"/>
    <w:p w14:paraId="5CA497F1" w14:textId="12F9E656" w:rsidR="003C093A" w:rsidRDefault="003C093A" w:rsidP="002D2D37">
      <w:pPr>
        <w:pStyle w:val="Caption"/>
      </w:pPr>
    </w:p>
    <w:p w14:paraId="29E91C24" w14:textId="77777777" w:rsidR="003C093A" w:rsidRDefault="003C093A" w:rsidP="003C093A"/>
    <w:p w14:paraId="34A29314" w14:textId="77777777" w:rsidR="002D2D37" w:rsidRDefault="003C093A" w:rsidP="002D2D37">
      <w:pPr>
        <w:keepNext/>
        <w:spacing w:line="240" w:lineRule="auto"/>
      </w:pPr>
      <w:r>
        <w:rPr>
          <w:noProof/>
        </w:rPr>
        <w:lastRenderedPageBreak/>
        <w:drawing>
          <wp:inline distT="0" distB="0" distL="0" distR="0" wp14:anchorId="662C80B2" wp14:editId="54521065">
            <wp:extent cx="5730240" cy="1998980"/>
            <wp:effectExtent l="0" t="0" r="0" b="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t="23280" r="3781" b="29260"/>
                    <a:stretch>
                      <a:fillRect/>
                    </a:stretch>
                  </pic:blipFill>
                  <pic:spPr>
                    <a:xfrm>
                      <a:off x="0" y="0"/>
                      <a:ext cx="5730240" cy="1998980"/>
                    </a:xfrm>
                    <a:prstGeom prst="rect">
                      <a:avLst/>
                    </a:prstGeom>
                    <a:ln/>
                  </pic:spPr>
                </pic:pic>
              </a:graphicData>
            </a:graphic>
          </wp:inline>
        </w:drawing>
      </w:r>
    </w:p>
    <w:p w14:paraId="6EE954E3" w14:textId="733537EB" w:rsidR="003C093A" w:rsidRDefault="002D2D37" w:rsidP="002D2D37">
      <w:pPr>
        <w:pStyle w:val="Caption"/>
        <w:rPr>
          <w:rFonts w:ascii="Calibri" w:eastAsia="Calibri" w:hAnsi="Calibri" w:cs="Calibri"/>
          <w:color w:val="44546A"/>
        </w:rPr>
      </w:pPr>
      <w:r>
        <w:t>Figure S</w:t>
      </w:r>
      <w:r w:rsidR="006245B1">
        <w:rPr>
          <w:noProof/>
        </w:rPr>
        <w:fldChar w:fldCharType="begin"/>
      </w:r>
      <w:r w:rsidR="006245B1">
        <w:rPr>
          <w:noProof/>
        </w:rPr>
        <w:instrText xml:space="preserve"> SEQ Figure \* ARABIC </w:instrText>
      </w:r>
      <w:r w:rsidR="006245B1">
        <w:rPr>
          <w:noProof/>
        </w:rPr>
        <w:fldChar w:fldCharType="separate"/>
      </w:r>
      <w:r w:rsidR="000B3E39">
        <w:rPr>
          <w:noProof/>
        </w:rPr>
        <w:t>7</w:t>
      </w:r>
      <w:r w:rsidR="006245B1">
        <w:rPr>
          <w:noProof/>
        </w:rPr>
        <w:fldChar w:fldCharType="end"/>
      </w:r>
      <w:r>
        <w:t xml:space="preserve">: </w:t>
      </w:r>
      <w:bookmarkStart w:id="4" w:name="_Hlk121211431"/>
      <w:r w:rsidRPr="00621077">
        <w:rPr>
          <w:rFonts w:ascii="Calibri" w:eastAsia="Calibri" w:hAnsi="Calibri" w:cs="Calibri"/>
          <w:b/>
          <w:color w:val="44546A"/>
        </w:rPr>
        <w:t>Bray Curtis distance of the bacterial communities on recolonized animals over time in comparison to the inocula.</w:t>
      </w:r>
      <w:r>
        <w:rPr>
          <w:rFonts w:ascii="Calibri" w:eastAsia="Calibri" w:hAnsi="Calibri" w:cs="Calibri"/>
          <w:color w:val="44546A"/>
        </w:rPr>
        <w:t xml:space="preserve"> Distances are calculated to the three different inocula, respectively. (A) Distance to </w:t>
      </w:r>
      <w:proofErr w:type="spellStart"/>
      <w:r>
        <w:rPr>
          <w:rFonts w:ascii="Calibri" w:eastAsia="Calibri" w:hAnsi="Calibri" w:cs="Calibri"/>
          <w:color w:val="44546A"/>
        </w:rPr>
        <w:t>bL.</w:t>
      </w:r>
      <w:proofErr w:type="spellEnd"/>
      <w:r>
        <w:rPr>
          <w:rFonts w:ascii="Calibri" w:eastAsia="Calibri" w:hAnsi="Calibri" w:cs="Calibri"/>
          <w:color w:val="44546A"/>
        </w:rPr>
        <w:t xml:space="preserve"> The lowest distance of all three treatments to the larval inoculum is reached 7 days post recolonization (dpr). (B) Distance to </w:t>
      </w:r>
      <w:proofErr w:type="spellStart"/>
      <w:r>
        <w:rPr>
          <w:rFonts w:ascii="Calibri" w:eastAsia="Calibri" w:hAnsi="Calibri" w:cs="Calibri"/>
          <w:color w:val="44546A"/>
        </w:rPr>
        <w:t>bJ</w:t>
      </w:r>
      <w:proofErr w:type="spellEnd"/>
      <w:r>
        <w:rPr>
          <w:rFonts w:ascii="Calibri" w:eastAsia="Calibri" w:hAnsi="Calibri" w:cs="Calibri"/>
          <w:color w:val="44546A"/>
        </w:rPr>
        <w:t>. The lowest distance of all three treatments to the juvenile inoculum is reached 14 dpr.</w:t>
      </w:r>
      <w:r w:rsidR="00E47F8C">
        <w:rPr>
          <w:rFonts w:ascii="Calibri" w:eastAsia="Calibri" w:hAnsi="Calibri" w:cs="Calibri"/>
          <w:color w:val="44546A"/>
        </w:rPr>
        <w:t xml:space="preserve"> </w:t>
      </w:r>
      <w:r>
        <w:rPr>
          <w:rFonts w:ascii="Calibri" w:eastAsia="Calibri" w:hAnsi="Calibri" w:cs="Calibri"/>
          <w:color w:val="44546A"/>
        </w:rPr>
        <w:t xml:space="preserve">The strongest decline of distance occurred in the polyps recolonized with juvenile bacteria. (C) Distance to </w:t>
      </w:r>
      <w:proofErr w:type="spellStart"/>
      <w:r>
        <w:rPr>
          <w:rFonts w:ascii="Calibri" w:eastAsia="Calibri" w:hAnsi="Calibri" w:cs="Calibri"/>
          <w:color w:val="44546A"/>
        </w:rPr>
        <w:t>bA</w:t>
      </w:r>
      <w:proofErr w:type="spellEnd"/>
      <w:r>
        <w:rPr>
          <w:rFonts w:ascii="Calibri" w:eastAsia="Calibri" w:hAnsi="Calibri" w:cs="Calibri"/>
          <w:color w:val="44546A"/>
        </w:rPr>
        <w:t>. There is no decline of distance towards the adult inoc</w:t>
      </w:r>
      <w:r>
        <w:rPr>
          <w:rFonts w:ascii="Calibri" w:eastAsia="Calibri" w:hAnsi="Calibri" w:cs="Calibri"/>
          <w:i w:val="0"/>
          <w:color w:val="44546A"/>
        </w:rPr>
        <w:t>u</w:t>
      </w:r>
      <w:r>
        <w:rPr>
          <w:rFonts w:ascii="Calibri" w:eastAsia="Calibri" w:hAnsi="Calibri" w:cs="Calibri"/>
          <w:color w:val="44546A"/>
        </w:rPr>
        <w:t>lum over the course of this experiment. Solely the polyps recolonized with juvenile bacteria showed a dip in distance 7-14dpr.</w:t>
      </w:r>
      <w:bookmarkEnd w:id="4"/>
    </w:p>
    <w:p w14:paraId="6F22D89E" w14:textId="4CFB1F98" w:rsidR="002D2D37" w:rsidRDefault="002D2D37" w:rsidP="002D2D37"/>
    <w:p w14:paraId="14D25608" w14:textId="77777777" w:rsidR="000B3E39" w:rsidRDefault="000B3E39" w:rsidP="000B3E39">
      <w:pPr>
        <w:keepNext/>
      </w:pPr>
      <w:r>
        <w:rPr>
          <w:noProof/>
        </w:rPr>
        <w:drawing>
          <wp:inline distT="0" distB="0" distL="0" distR="0" wp14:anchorId="04BB5A17" wp14:editId="1FAC923E">
            <wp:extent cx="5760720" cy="2044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2044700"/>
                    </a:xfrm>
                    <a:prstGeom prst="rect">
                      <a:avLst/>
                    </a:prstGeom>
                    <a:noFill/>
                    <a:ln>
                      <a:noFill/>
                    </a:ln>
                  </pic:spPr>
                </pic:pic>
              </a:graphicData>
            </a:graphic>
          </wp:inline>
        </w:drawing>
      </w:r>
    </w:p>
    <w:p w14:paraId="6CCF9999" w14:textId="607852DA" w:rsidR="000B3E39" w:rsidRDefault="000B3E39" w:rsidP="000B3E39">
      <w:pPr>
        <w:pStyle w:val="Caption"/>
      </w:pPr>
      <w:bookmarkStart w:id="5" w:name="_Hlk146634959"/>
      <w:r>
        <w:t>Figure S</w:t>
      </w:r>
      <w:r>
        <w:fldChar w:fldCharType="begin"/>
      </w:r>
      <w:r>
        <w:instrText xml:space="preserve"> SEQ Figure \* ARABIC </w:instrText>
      </w:r>
      <w:r>
        <w:fldChar w:fldCharType="separate"/>
      </w:r>
      <w:r>
        <w:rPr>
          <w:noProof/>
        </w:rPr>
        <w:t>8</w:t>
      </w:r>
      <w:r>
        <w:fldChar w:fldCharType="end"/>
      </w:r>
      <w:r>
        <w:t xml:space="preserve">: </w:t>
      </w:r>
      <w:r w:rsidRPr="00621077">
        <w:rPr>
          <w:rFonts w:ascii="Calibri" w:eastAsia="Calibri" w:hAnsi="Calibri" w:cs="Calibri"/>
          <w:b/>
          <w:color w:val="44546A"/>
        </w:rPr>
        <w:t>Bray Curtis distance of the bacterial communities on recolonized</w:t>
      </w:r>
      <w:r>
        <w:rPr>
          <w:rFonts w:ascii="Calibri" w:eastAsia="Calibri" w:hAnsi="Calibri" w:cs="Calibri"/>
          <w:b/>
          <w:color w:val="44546A"/>
        </w:rPr>
        <w:t xml:space="preserve"> tubes</w:t>
      </w:r>
      <w:r w:rsidRPr="00621077">
        <w:rPr>
          <w:rFonts w:ascii="Calibri" w:eastAsia="Calibri" w:hAnsi="Calibri" w:cs="Calibri"/>
          <w:b/>
          <w:color w:val="44546A"/>
        </w:rPr>
        <w:t xml:space="preserve"> over time in comparison to the inocula.</w:t>
      </w:r>
      <w:bookmarkEnd w:id="5"/>
      <w:r>
        <w:rPr>
          <w:rFonts w:ascii="Calibri" w:eastAsia="Calibri" w:hAnsi="Calibri" w:cs="Calibri"/>
          <w:color w:val="44546A"/>
        </w:rPr>
        <w:t xml:space="preserve"> Distances are calculated to the three different inocula, respectively. (A) Distance to </w:t>
      </w:r>
      <w:proofErr w:type="spellStart"/>
      <w:r>
        <w:rPr>
          <w:rFonts w:ascii="Calibri" w:eastAsia="Calibri" w:hAnsi="Calibri" w:cs="Calibri"/>
          <w:color w:val="44546A"/>
        </w:rPr>
        <w:t>bL.</w:t>
      </w:r>
      <w:proofErr w:type="spellEnd"/>
      <w:r>
        <w:rPr>
          <w:rFonts w:ascii="Calibri" w:eastAsia="Calibri" w:hAnsi="Calibri" w:cs="Calibri"/>
          <w:color w:val="44546A"/>
        </w:rPr>
        <w:t xml:space="preserve"> (B) Distance to </w:t>
      </w:r>
      <w:proofErr w:type="spellStart"/>
      <w:r>
        <w:rPr>
          <w:rFonts w:ascii="Calibri" w:eastAsia="Calibri" w:hAnsi="Calibri" w:cs="Calibri"/>
          <w:color w:val="44546A"/>
        </w:rPr>
        <w:t>bJ</w:t>
      </w:r>
      <w:proofErr w:type="spellEnd"/>
      <w:r>
        <w:rPr>
          <w:rFonts w:ascii="Calibri" w:eastAsia="Calibri" w:hAnsi="Calibri" w:cs="Calibri"/>
          <w:color w:val="44546A"/>
        </w:rPr>
        <w:t xml:space="preserve">. (C) Distance to </w:t>
      </w:r>
      <w:proofErr w:type="spellStart"/>
      <w:r>
        <w:rPr>
          <w:rFonts w:ascii="Calibri" w:eastAsia="Calibri" w:hAnsi="Calibri" w:cs="Calibri"/>
          <w:color w:val="44546A"/>
        </w:rPr>
        <w:t>bA</w:t>
      </w:r>
      <w:proofErr w:type="spellEnd"/>
      <w:r>
        <w:rPr>
          <w:rFonts w:ascii="Calibri" w:eastAsia="Calibri" w:hAnsi="Calibri" w:cs="Calibri"/>
          <w:color w:val="44546A"/>
        </w:rPr>
        <w:t>.</w:t>
      </w:r>
    </w:p>
    <w:p w14:paraId="2D3BB0A5" w14:textId="77777777" w:rsidR="000B3E39" w:rsidRPr="002D2D37" w:rsidRDefault="000B3E39" w:rsidP="002D2D37"/>
    <w:p w14:paraId="6A8F9983" w14:textId="77777777" w:rsidR="00621077" w:rsidRDefault="009F241D" w:rsidP="00621077">
      <w:pPr>
        <w:keepNext/>
      </w:pPr>
      <w:r>
        <w:rPr>
          <w:noProof/>
        </w:rPr>
        <w:lastRenderedPageBreak/>
        <w:drawing>
          <wp:inline distT="0" distB="0" distL="0" distR="0" wp14:anchorId="1FF4AA9B" wp14:editId="1DCAF71C">
            <wp:extent cx="5189220" cy="43146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90357" cy="4315571"/>
                    </a:xfrm>
                    <a:prstGeom prst="rect">
                      <a:avLst/>
                    </a:prstGeom>
                    <a:noFill/>
                    <a:ln>
                      <a:noFill/>
                    </a:ln>
                  </pic:spPr>
                </pic:pic>
              </a:graphicData>
            </a:graphic>
          </wp:inline>
        </w:drawing>
      </w:r>
    </w:p>
    <w:p w14:paraId="6BFB173E" w14:textId="5B531E04" w:rsidR="00CA64E6" w:rsidRDefault="00621077" w:rsidP="00621077">
      <w:pPr>
        <w:pStyle w:val="Caption"/>
      </w:pPr>
      <w:r>
        <w:t>Figure S</w:t>
      </w:r>
      <w:r w:rsidR="006245B1">
        <w:rPr>
          <w:noProof/>
        </w:rPr>
        <w:fldChar w:fldCharType="begin"/>
      </w:r>
      <w:r w:rsidR="006245B1">
        <w:rPr>
          <w:noProof/>
        </w:rPr>
        <w:instrText xml:space="preserve"> SEQ Figure \* ARABIC </w:instrText>
      </w:r>
      <w:r w:rsidR="006245B1">
        <w:rPr>
          <w:noProof/>
        </w:rPr>
        <w:fldChar w:fldCharType="separate"/>
      </w:r>
      <w:r w:rsidR="000B3E39">
        <w:rPr>
          <w:noProof/>
        </w:rPr>
        <w:t>9</w:t>
      </w:r>
      <w:r w:rsidR="006245B1">
        <w:rPr>
          <w:noProof/>
        </w:rPr>
        <w:fldChar w:fldCharType="end"/>
      </w:r>
      <w:r>
        <w:t xml:space="preserve">: </w:t>
      </w:r>
      <w:bookmarkStart w:id="6" w:name="_Hlk121211466"/>
      <w:r w:rsidRPr="00621077">
        <w:rPr>
          <w:rFonts w:ascii="Calibri" w:eastAsia="Calibri" w:hAnsi="Calibri" w:cs="Calibri"/>
          <w:b/>
          <w:color w:val="44546A"/>
        </w:rPr>
        <w:t>Recolonization dynamics of g</w:t>
      </w:r>
      <w:r w:rsidR="00375B74">
        <w:rPr>
          <w:rFonts w:ascii="Calibri" w:eastAsia="Calibri" w:hAnsi="Calibri" w:cs="Calibri"/>
          <w:b/>
          <w:color w:val="44546A"/>
        </w:rPr>
        <w:t>ermfree</w:t>
      </w:r>
      <w:r w:rsidRPr="00621077">
        <w:rPr>
          <w:rFonts w:ascii="Calibri" w:eastAsia="Calibri" w:hAnsi="Calibri" w:cs="Calibri"/>
          <w:b/>
          <w:color w:val="44546A"/>
        </w:rPr>
        <w:t xml:space="preserve"> polyps over the course of one month</w:t>
      </w:r>
      <w:r>
        <w:rPr>
          <w:rFonts w:ascii="Calibri" w:eastAsia="Calibri" w:hAnsi="Calibri" w:cs="Calibri"/>
          <w:color w:val="44546A"/>
        </w:rPr>
        <w:t>. In comparison to Figure 1, wildtype samples (</w:t>
      </w:r>
      <w:proofErr w:type="spellStart"/>
      <w:r>
        <w:rPr>
          <w:rFonts w:ascii="Calibri" w:eastAsia="Calibri" w:hAnsi="Calibri" w:cs="Calibri"/>
          <w:color w:val="44546A"/>
        </w:rPr>
        <w:t>wt_ctl</w:t>
      </w:r>
      <w:proofErr w:type="spellEnd"/>
      <w:r>
        <w:rPr>
          <w:rFonts w:ascii="Calibri" w:eastAsia="Calibri" w:hAnsi="Calibri" w:cs="Calibri"/>
          <w:color w:val="44546A"/>
        </w:rPr>
        <w:t xml:space="preserve">) were included in the </w:t>
      </w:r>
      <w:proofErr w:type="spellStart"/>
      <w:r>
        <w:rPr>
          <w:rFonts w:ascii="Calibri" w:eastAsia="Calibri" w:hAnsi="Calibri" w:cs="Calibri"/>
          <w:color w:val="44546A"/>
        </w:rPr>
        <w:t>PCoA</w:t>
      </w:r>
      <w:proofErr w:type="spellEnd"/>
      <w:r>
        <w:rPr>
          <w:rFonts w:ascii="Calibri" w:eastAsia="Calibri" w:hAnsi="Calibri" w:cs="Calibri"/>
          <w:color w:val="44546A"/>
        </w:rPr>
        <w:t xml:space="preserve"> plot but dissimilarities are still calculated according to Bray Curtis. Samples of the wildtype control polyps show the effect of time on the microbiome. They move in </w:t>
      </w:r>
      <w:sdt>
        <w:sdtPr>
          <w:tag w:val="goog_rdk_12"/>
          <w:id w:val="-1662232716"/>
        </w:sdtPr>
        <w:sdtEndPr/>
        <w:sdtContent/>
      </w:sdt>
      <w:sdt>
        <w:sdtPr>
          <w:tag w:val="goog_rdk_13"/>
          <w:id w:val="1452664240"/>
        </w:sdtPr>
        <w:sdtEndPr/>
        <w:sdtContent/>
      </w:sdt>
      <w:r>
        <w:rPr>
          <w:rFonts w:ascii="Calibri" w:eastAsia="Calibri" w:hAnsi="Calibri" w:cs="Calibri"/>
          <w:color w:val="44546A"/>
        </w:rPr>
        <w:t xml:space="preserve">a circle around the adult inoculum but move towards the juvenile inoculum with time. This effect might pose </w:t>
      </w:r>
      <w:r w:rsidR="002115A7">
        <w:rPr>
          <w:rFonts w:ascii="Calibri" w:eastAsia="Calibri" w:hAnsi="Calibri" w:cs="Calibri"/>
          <w:color w:val="44546A"/>
        </w:rPr>
        <w:t>an effect due to the lack of food</w:t>
      </w:r>
      <w:r>
        <w:rPr>
          <w:rFonts w:ascii="Calibri" w:eastAsia="Calibri" w:hAnsi="Calibri" w:cs="Calibri"/>
          <w:color w:val="44546A"/>
        </w:rPr>
        <w:t>.</w:t>
      </w:r>
      <w:bookmarkEnd w:id="6"/>
    </w:p>
    <w:p w14:paraId="5831078A" w14:textId="77777777" w:rsidR="00CA64E6" w:rsidRDefault="00CA64E6" w:rsidP="003C093A">
      <w:pPr>
        <w:pBdr>
          <w:top w:val="nil"/>
          <w:left w:val="nil"/>
          <w:bottom w:val="nil"/>
          <w:right w:val="nil"/>
          <w:between w:val="nil"/>
        </w:pBdr>
        <w:spacing w:after="200" w:line="240" w:lineRule="auto"/>
        <w:rPr>
          <w:rFonts w:ascii="Calibri" w:eastAsia="Calibri" w:hAnsi="Calibri" w:cs="Calibri"/>
          <w:i/>
          <w:color w:val="44546A"/>
          <w:sz w:val="18"/>
          <w:szCs w:val="18"/>
        </w:rPr>
      </w:pPr>
    </w:p>
    <w:p w14:paraId="718E03EB" w14:textId="77777777" w:rsidR="00621077" w:rsidRDefault="008C1B1E" w:rsidP="00621077">
      <w:pPr>
        <w:keepNext/>
      </w:pPr>
      <w:r>
        <w:rPr>
          <w:noProof/>
        </w:rPr>
        <w:drawing>
          <wp:inline distT="0" distB="0" distL="0" distR="0" wp14:anchorId="3740A123" wp14:editId="2541361F">
            <wp:extent cx="5760720" cy="21316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2131695"/>
                    </a:xfrm>
                    <a:prstGeom prst="rect">
                      <a:avLst/>
                    </a:prstGeom>
                    <a:noFill/>
                    <a:ln>
                      <a:noFill/>
                    </a:ln>
                  </pic:spPr>
                </pic:pic>
              </a:graphicData>
            </a:graphic>
          </wp:inline>
        </w:drawing>
      </w:r>
    </w:p>
    <w:p w14:paraId="56035963" w14:textId="06486728" w:rsidR="00621077" w:rsidRDefault="00621077" w:rsidP="00621077">
      <w:pPr>
        <w:pStyle w:val="Caption"/>
        <w:rPr>
          <w:color w:val="44546A"/>
        </w:rPr>
      </w:pPr>
      <w:r>
        <w:t>Figure S</w:t>
      </w:r>
      <w:r w:rsidR="006245B1">
        <w:rPr>
          <w:noProof/>
        </w:rPr>
        <w:fldChar w:fldCharType="begin"/>
      </w:r>
      <w:r w:rsidR="006245B1">
        <w:rPr>
          <w:noProof/>
        </w:rPr>
        <w:instrText xml:space="preserve"> SEQ Figure \* ARABIC </w:instrText>
      </w:r>
      <w:r w:rsidR="006245B1">
        <w:rPr>
          <w:noProof/>
        </w:rPr>
        <w:fldChar w:fldCharType="separate"/>
      </w:r>
      <w:r w:rsidR="000B3E39">
        <w:rPr>
          <w:noProof/>
        </w:rPr>
        <w:t>10</w:t>
      </w:r>
      <w:r w:rsidR="006245B1">
        <w:rPr>
          <w:noProof/>
        </w:rPr>
        <w:fldChar w:fldCharType="end"/>
      </w:r>
      <w:r>
        <w:t xml:space="preserve">: </w:t>
      </w:r>
      <w:bookmarkStart w:id="7" w:name="_Hlk121211521"/>
      <w:r w:rsidRPr="00621077">
        <w:rPr>
          <w:b/>
        </w:rPr>
        <w:t>Absolute bacterial load of the polyps (A) and silicone tubes (B) over the course of the recolonization process</w:t>
      </w:r>
      <w:r>
        <w:t>.</w:t>
      </w:r>
      <w:r w:rsidRPr="00621077">
        <w:t xml:space="preserve"> (</w:t>
      </w:r>
      <w:r>
        <w:t>A</w:t>
      </w:r>
      <w:r w:rsidRPr="00621077">
        <w:t xml:space="preserve">) Bacterial load measured via </w:t>
      </w:r>
      <w:proofErr w:type="spellStart"/>
      <w:r w:rsidRPr="00621077">
        <w:t>qRT</w:t>
      </w:r>
      <w:proofErr w:type="spellEnd"/>
      <w:r w:rsidRPr="00621077">
        <w:t>-PCR</w:t>
      </w:r>
      <w:r>
        <w:t xml:space="preserve"> on recolonized polyps</w:t>
      </w:r>
      <w:r w:rsidRPr="00621077">
        <w:t xml:space="preserve">. The expression of 16S rRNA was normalized to host tissue. Primers for the 16S rRNA gene were specific for the V1-V2 region, Primers for host tissue were specific for the housekeeping gene elongation factor 1alpha. The </w:t>
      </w:r>
      <w:proofErr w:type="spellStart"/>
      <w:r w:rsidRPr="00621077">
        <w:t>deltaCT</w:t>
      </w:r>
      <w:proofErr w:type="spellEnd"/>
      <w:r w:rsidRPr="00621077">
        <w:t xml:space="preserve"> values of all samples were normalized to the values of the wildtype 28dpr. With time, the absolute bacterial load lowers towards the value of the wildtype control animals.</w:t>
      </w:r>
      <w:r>
        <w:t xml:space="preserve"> (B) </w:t>
      </w:r>
      <w:r>
        <w:rPr>
          <w:color w:val="44546A"/>
        </w:rPr>
        <w:t xml:space="preserve">Amount of biofilm on silicone tubes quantified by the intensity of crystal violet staining. The intensity was quantified by rising the Crystal Violet off of the silicone tubes and measuring the absorbance at 550 nm. Rise in biofilm formation between 2dpr and 28 dpr was significant in all three treatment groups (p&lt;0.0001). Biofilm formation was just significantly different if </w:t>
      </w:r>
      <w:proofErr w:type="spellStart"/>
      <w:r>
        <w:rPr>
          <w:color w:val="44546A"/>
        </w:rPr>
        <w:t>bL</w:t>
      </w:r>
      <w:proofErr w:type="spellEnd"/>
      <w:r>
        <w:rPr>
          <w:color w:val="44546A"/>
        </w:rPr>
        <w:t xml:space="preserve"> is compared to </w:t>
      </w:r>
      <w:proofErr w:type="spellStart"/>
      <w:r>
        <w:rPr>
          <w:color w:val="44546A"/>
        </w:rPr>
        <w:t>bA</w:t>
      </w:r>
      <w:proofErr w:type="spellEnd"/>
      <w:r>
        <w:rPr>
          <w:color w:val="44546A"/>
        </w:rPr>
        <w:t xml:space="preserve"> (p&lt;0.05)</w:t>
      </w:r>
      <w:bookmarkEnd w:id="7"/>
    </w:p>
    <w:p w14:paraId="44BAC366" w14:textId="77777777" w:rsidR="00621077" w:rsidRPr="00621077" w:rsidRDefault="00621077" w:rsidP="00621077"/>
    <w:p w14:paraId="6F654C72" w14:textId="77777777" w:rsidR="00621077" w:rsidRDefault="00442B6D" w:rsidP="00621077">
      <w:pPr>
        <w:keepNext/>
        <w:spacing w:line="240" w:lineRule="auto"/>
      </w:pPr>
      <w:r>
        <w:rPr>
          <w:noProof/>
        </w:rPr>
        <w:lastRenderedPageBreak/>
        <w:drawing>
          <wp:inline distT="0" distB="0" distL="0" distR="0" wp14:anchorId="2850147C" wp14:editId="232EA6E6">
            <wp:extent cx="3980180" cy="5012055"/>
            <wp:effectExtent l="0" t="0" r="0" b="0"/>
            <wp:docPr id="2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4"/>
                    <a:srcRect/>
                    <a:stretch>
                      <a:fillRect/>
                    </a:stretch>
                  </pic:blipFill>
                  <pic:spPr>
                    <a:xfrm>
                      <a:off x="0" y="0"/>
                      <a:ext cx="3980180" cy="5012055"/>
                    </a:xfrm>
                    <a:prstGeom prst="rect">
                      <a:avLst/>
                    </a:prstGeom>
                    <a:ln/>
                  </pic:spPr>
                </pic:pic>
              </a:graphicData>
            </a:graphic>
          </wp:inline>
        </w:drawing>
      </w:r>
    </w:p>
    <w:p w14:paraId="3C860A80" w14:textId="1C480FAF" w:rsidR="00442B6D" w:rsidRDefault="00621077" w:rsidP="00621077">
      <w:pPr>
        <w:pStyle w:val="Caption"/>
      </w:pPr>
      <w:bookmarkStart w:id="8" w:name="_Hlk146635025"/>
      <w:bookmarkStart w:id="9" w:name="_GoBack"/>
      <w:r>
        <w:t>Figure S</w:t>
      </w:r>
      <w:r w:rsidR="006245B1">
        <w:rPr>
          <w:noProof/>
        </w:rPr>
        <w:fldChar w:fldCharType="begin"/>
      </w:r>
      <w:r w:rsidR="006245B1">
        <w:rPr>
          <w:noProof/>
        </w:rPr>
        <w:instrText xml:space="preserve"> SEQ Figure \* ARABIC </w:instrText>
      </w:r>
      <w:r w:rsidR="006245B1">
        <w:rPr>
          <w:noProof/>
        </w:rPr>
        <w:fldChar w:fldCharType="separate"/>
      </w:r>
      <w:r w:rsidR="000B3E39">
        <w:rPr>
          <w:noProof/>
        </w:rPr>
        <w:t>11</w:t>
      </w:r>
      <w:r w:rsidR="006245B1">
        <w:rPr>
          <w:noProof/>
        </w:rPr>
        <w:fldChar w:fldCharType="end"/>
      </w:r>
      <w:r w:rsidRPr="00375B74">
        <w:rPr>
          <w:b/>
        </w:rPr>
        <w:t>: Predicted metabolic and virulence pathway abundances associated stably with early (2d,7d) and late (14d, 28d) colonizer by random forest feature extraction (Boruta)</w:t>
      </w:r>
      <w:r w:rsidRPr="00621077">
        <w:t xml:space="preserve">. </w:t>
      </w:r>
      <w:bookmarkEnd w:id="8"/>
      <w:bookmarkEnd w:id="9"/>
      <w:r w:rsidRPr="00621077">
        <w:t>Feature extraction was repeated 100 times and features occurring repeatedly in at least 95% of the cases were considered to be stable. Log2 fold change was calculated from the mean pathway abundances at early time points vs. the mean pathway abundances of later time points.</w:t>
      </w:r>
    </w:p>
    <w:sectPr w:rsidR="00442B6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93A"/>
    <w:rsid w:val="0009263F"/>
    <w:rsid w:val="000B3E39"/>
    <w:rsid w:val="000C3BB0"/>
    <w:rsid w:val="000F02FA"/>
    <w:rsid w:val="000F13DC"/>
    <w:rsid w:val="00157778"/>
    <w:rsid w:val="00184CE7"/>
    <w:rsid w:val="00193D9D"/>
    <w:rsid w:val="001F13DF"/>
    <w:rsid w:val="002115A7"/>
    <w:rsid w:val="002C1300"/>
    <w:rsid w:val="002D2D37"/>
    <w:rsid w:val="002E001C"/>
    <w:rsid w:val="002F29D7"/>
    <w:rsid w:val="003141A3"/>
    <w:rsid w:val="003421A9"/>
    <w:rsid w:val="00375B74"/>
    <w:rsid w:val="00393B73"/>
    <w:rsid w:val="003C093A"/>
    <w:rsid w:val="003C2A87"/>
    <w:rsid w:val="003F5C9F"/>
    <w:rsid w:val="00425B80"/>
    <w:rsid w:val="00442B6D"/>
    <w:rsid w:val="004B7C11"/>
    <w:rsid w:val="004C65D7"/>
    <w:rsid w:val="004F0E72"/>
    <w:rsid w:val="005B68C4"/>
    <w:rsid w:val="005C390E"/>
    <w:rsid w:val="005C71F7"/>
    <w:rsid w:val="005E34B1"/>
    <w:rsid w:val="00621077"/>
    <w:rsid w:val="006245B1"/>
    <w:rsid w:val="006A393D"/>
    <w:rsid w:val="006B2816"/>
    <w:rsid w:val="006C2DD0"/>
    <w:rsid w:val="006C7E47"/>
    <w:rsid w:val="00765A35"/>
    <w:rsid w:val="00772FC0"/>
    <w:rsid w:val="007D72B4"/>
    <w:rsid w:val="0084780E"/>
    <w:rsid w:val="008C1B1E"/>
    <w:rsid w:val="00920442"/>
    <w:rsid w:val="009C2CB8"/>
    <w:rsid w:val="009D0FC7"/>
    <w:rsid w:val="009F241D"/>
    <w:rsid w:val="00AD266F"/>
    <w:rsid w:val="00B850A0"/>
    <w:rsid w:val="00C209C2"/>
    <w:rsid w:val="00C4791A"/>
    <w:rsid w:val="00C52940"/>
    <w:rsid w:val="00C560AF"/>
    <w:rsid w:val="00CA64E6"/>
    <w:rsid w:val="00D02A7F"/>
    <w:rsid w:val="00D04ED2"/>
    <w:rsid w:val="00DB5E50"/>
    <w:rsid w:val="00DE5F38"/>
    <w:rsid w:val="00E47F8C"/>
    <w:rsid w:val="00F22FFC"/>
    <w:rsid w:val="00FE36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7972A"/>
  <w15:chartTrackingRefBased/>
  <w15:docId w15:val="{65C15DEF-1556-4454-8908-3CF75A67C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093A"/>
    <w:pPr>
      <w:spacing w:after="0" w:line="360" w:lineRule="auto"/>
      <w:jc w:val="both"/>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3C093A"/>
    <w:rPr>
      <w:sz w:val="16"/>
      <w:szCs w:val="16"/>
    </w:rPr>
  </w:style>
  <w:style w:type="character" w:customStyle="1" w:styleId="CommentTextChar">
    <w:name w:val="Comment Text Char"/>
    <w:basedOn w:val="DefaultParagraphFont"/>
    <w:link w:val="CommentText"/>
    <w:uiPriority w:val="99"/>
    <w:semiHidden/>
    <w:qFormat/>
    <w:rsid w:val="003C093A"/>
    <w:rPr>
      <w:sz w:val="20"/>
      <w:szCs w:val="20"/>
    </w:rPr>
  </w:style>
  <w:style w:type="paragraph" w:styleId="CommentText">
    <w:name w:val="annotation text"/>
    <w:basedOn w:val="Normal"/>
    <w:link w:val="CommentTextChar"/>
    <w:uiPriority w:val="99"/>
    <w:semiHidden/>
    <w:unhideWhenUsed/>
    <w:qFormat/>
    <w:rsid w:val="003C093A"/>
    <w:pPr>
      <w:spacing w:line="240" w:lineRule="auto"/>
    </w:pPr>
    <w:rPr>
      <w:sz w:val="20"/>
      <w:szCs w:val="20"/>
      <w:lang w:val="de-DE"/>
    </w:rPr>
  </w:style>
  <w:style w:type="character" w:customStyle="1" w:styleId="KommentartextZchn1">
    <w:name w:val="Kommentartext Zchn1"/>
    <w:basedOn w:val="DefaultParagraphFont"/>
    <w:uiPriority w:val="99"/>
    <w:semiHidden/>
    <w:rsid w:val="003C093A"/>
    <w:rPr>
      <w:sz w:val="20"/>
      <w:szCs w:val="20"/>
      <w:lang w:val="en-US"/>
    </w:rPr>
  </w:style>
  <w:style w:type="paragraph" w:styleId="CommentSubject">
    <w:name w:val="annotation subject"/>
    <w:basedOn w:val="CommentText"/>
    <w:next w:val="CommentText"/>
    <w:link w:val="CommentSubjectChar"/>
    <w:uiPriority w:val="99"/>
    <w:semiHidden/>
    <w:unhideWhenUsed/>
    <w:rsid w:val="00C209C2"/>
    <w:rPr>
      <w:b/>
      <w:bCs/>
      <w:lang w:val="en-US"/>
    </w:rPr>
  </w:style>
  <w:style w:type="character" w:customStyle="1" w:styleId="CommentSubjectChar">
    <w:name w:val="Comment Subject Char"/>
    <w:basedOn w:val="CommentTextChar"/>
    <w:link w:val="CommentSubject"/>
    <w:uiPriority w:val="99"/>
    <w:semiHidden/>
    <w:rsid w:val="00C209C2"/>
    <w:rPr>
      <w:b/>
      <w:bCs/>
      <w:sz w:val="20"/>
      <w:szCs w:val="20"/>
      <w:lang w:val="en-US"/>
    </w:rPr>
  </w:style>
  <w:style w:type="paragraph" w:styleId="BalloonText">
    <w:name w:val="Balloon Text"/>
    <w:basedOn w:val="Normal"/>
    <w:link w:val="BalloonTextChar"/>
    <w:uiPriority w:val="99"/>
    <w:semiHidden/>
    <w:unhideWhenUsed/>
    <w:rsid w:val="009F241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241D"/>
    <w:rPr>
      <w:rFonts w:ascii="Segoe UI" w:hAnsi="Segoe UI" w:cs="Segoe UI"/>
      <w:sz w:val="18"/>
      <w:szCs w:val="18"/>
      <w:lang w:val="en-US"/>
    </w:rPr>
  </w:style>
  <w:style w:type="paragraph" w:styleId="Caption">
    <w:name w:val="caption"/>
    <w:basedOn w:val="Normal"/>
    <w:next w:val="Normal"/>
    <w:uiPriority w:val="35"/>
    <w:unhideWhenUsed/>
    <w:qFormat/>
    <w:rsid w:val="002D2D37"/>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755</Words>
  <Characters>4307</Characters>
  <Application>Microsoft Office Word</Application>
  <DocSecurity>0</DocSecurity>
  <Lines>35</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Fraune</dc:creator>
  <cp:keywords/>
  <dc:description/>
  <cp:lastModifiedBy>Hanna</cp:lastModifiedBy>
  <cp:revision>11</cp:revision>
  <dcterms:created xsi:type="dcterms:W3CDTF">2023-08-08T10:31:00Z</dcterms:created>
  <dcterms:modified xsi:type="dcterms:W3CDTF">2023-09-26T14:45:00Z</dcterms:modified>
</cp:coreProperties>
</file>