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A1EA4" w14:textId="77777777" w:rsidR="00601508" w:rsidRPr="00BB5ED8" w:rsidRDefault="00601508" w:rsidP="00601508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bookmarkStart w:id="0" w:name="_Hlk147946519"/>
      <w:r w:rsidRPr="00BB5ED8">
        <w:rPr>
          <w:rFonts w:ascii="Times New Roman" w:hAnsi="Times New Roman" w:cs="Times New Roman"/>
          <w:b/>
          <w:bCs/>
          <w:sz w:val="32"/>
          <w:szCs w:val="36"/>
        </w:rPr>
        <w:t>Gut virome-wide association analysis identifies cross-population viral signatures for inflammatory bowel disease</w:t>
      </w:r>
      <w:bookmarkEnd w:id="0"/>
    </w:p>
    <w:p w14:paraId="4ED654C4" w14:textId="77777777" w:rsidR="00601508" w:rsidRDefault="00601508" w:rsidP="00601508">
      <w:pPr>
        <w:adjustRightInd w:val="0"/>
        <w:snapToGrid w:val="0"/>
        <w:spacing w:beforeLines="50" w:before="156" w:line="480" w:lineRule="auto"/>
        <w:rPr>
          <w:rFonts w:ascii="Times New Roman" w:hAnsi="Times New Roman" w:cs="Times New Roman"/>
          <w:vertAlign w:val="superscript"/>
        </w:rPr>
      </w:pPr>
      <w:bookmarkStart w:id="1" w:name="_Hlk148048123"/>
      <w:r w:rsidRPr="00BB5ED8">
        <w:rPr>
          <w:rFonts w:ascii="Times New Roman" w:hAnsi="Times New Roman" w:cs="Times New Roman"/>
        </w:rPr>
        <w:t>Xiangge Tian</w:t>
      </w:r>
      <w:r w:rsidRPr="00BB5ED8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 w:hint="eastAsia"/>
          <w:vertAlign w:val="superscript"/>
        </w:rPr>
        <w:t>1</w:t>
      </w:r>
      <w:r w:rsidRPr="00BB5ED8"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 w:hint="eastAsia"/>
          <w:vertAlign w:val="superscript"/>
        </w:rPr>
        <w:t>2</w:t>
      </w:r>
      <w:r w:rsidRPr="00BB5ED8">
        <w:rPr>
          <w:rFonts w:ascii="Times New Roman" w:hAnsi="Times New Roman" w:cs="Times New Roman"/>
          <w:vertAlign w:val="superscript"/>
        </w:rPr>
        <w:t>,+</w:t>
      </w:r>
      <w:r w:rsidRPr="00BB5ED8">
        <w:rPr>
          <w:rFonts w:ascii="Times New Roman" w:hAnsi="Times New Roman" w:cs="Times New Roman"/>
        </w:rPr>
        <w:t>, Shenghui Li</w:t>
      </w:r>
      <w:r w:rsidRPr="00BB5ED8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 w:hint="eastAsia"/>
          <w:vertAlign w:val="superscript"/>
        </w:rPr>
        <w:t>3</w:t>
      </w:r>
      <w:r w:rsidRPr="00BB5ED8">
        <w:rPr>
          <w:rFonts w:ascii="Times New Roman" w:hAnsi="Times New Roman" w:cs="Times New Roman"/>
          <w:vertAlign w:val="superscript"/>
        </w:rPr>
        <w:t>,+</w:t>
      </w:r>
      <w:r w:rsidRPr="00BB5ED8">
        <w:rPr>
          <w:rFonts w:ascii="Times New Roman" w:hAnsi="Times New Roman" w:cs="Times New Roman"/>
        </w:rPr>
        <w:t>, Chao Wang</w:t>
      </w:r>
      <w:r w:rsidRPr="00BB5ED8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 w:hint="eastAsia"/>
          <w:vertAlign w:val="superscript"/>
        </w:rPr>
        <w:t>2</w:t>
      </w:r>
      <w:r w:rsidRPr="00BB5ED8">
        <w:rPr>
          <w:rFonts w:ascii="Times New Roman" w:hAnsi="Times New Roman" w:cs="Times New Roman"/>
          <w:vertAlign w:val="superscript"/>
        </w:rPr>
        <w:t>,+</w:t>
      </w:r>
      <w:r w:rsidRPr="00BB5ED8">
        <w:rPr>
          <w:rFonts w:ascii="Times New Roman" w:hAnsi="Times New Roman" w:cs="Times New Roman"/>
        </w:rPr>
        <w:t>, Yanyan Zhang</w:t>
      </w:r>
      <w:r w:rsidRPr="00BB5ED8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 w:hint="eastAsia"/>
          <w:vertAlign w:val="superscript"/>
        </w:rPr>
        <w:t>1</w:t>
      </w:r>
      <w:r w:rsidRPr="00BB5ED8"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 w:hint="eastAsia"/>
          <w:vertAlign w:val="superscript"/>
        </w:rPr>
        <w:t>2</w:t>
      </w:r>
      <w:r w:rsidRPr="00BB5ED8">
        <w:rPr>
          <w:rFonts w:ascii="Times New Roman" w:hAnsi="Times New Roman" w:cs="Times New Roman"/>
          <w:vertAlign w:val="superscript"/>
        </w:rPr>
        <w:t>,+</w:t>
      </w:r>
      <w:r w:rsidRPr="00BB5ED8">
        <w:rPr>
          <w:rFonts w:ascii="Times New Roman" w:hAnsi="Times New Roman" w:cs="Times New Roman"/>
        </w:rPr>
        <w:t>, Xiaoying Feng</w:t>
      </w:r>
      <w:r w:rsidRPr="00BB5ED8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 w:hint="eastAsia"/>
          <w:vertAlign w:val="superscript"/>
        </w:rPr>
        <w:t>1</w:t>
      </w:r>
      <w:r w:rsidRPr="00BB5ED8">
        <w:rPr>
          <w:rFonts w:ascii="Times New Roman" w:hAnsi="Times New Roman" w:cs="Times New Roman"/>
        </w:rPr>
        <w:t>, Qiulong Yan</w:t>
      </w:r>
      <w:r w:rsidRPr="00BB5ED8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 w:hint="eastAsia"/>
          <w:vertAlign w:val="superscript"/>
        </w:rPr>
        <w:t>1</w:t>
      </w:r>
      <w:r w:rsidRPr="00BB5ED8"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 w:hint="eastAsia"/>
          <w:vertAlign w:val="superscript"/>
        </w:rPr>
        <w:t>2</w:t>
      </w:r>
      <w:r w:rsidRPr="00BB5ED8">
        <w:rPr>
          <w:rFonts w:ascii="Times New Roman" w:hAnsi="Times New Roman" w:cs="Times New Roman"/>
          <w:vertAlign w:val="superscript"/>
        </w:rPr>
        <w:t>,*</w:t>
      </w:r>
      <w:r w:rsidRPr="00BB5ED8">
        <w:rPr>
          <w:rFonts w:ascii="Times New Roman" w:hAnsi="Times New Roman" w:cs="Times New Roman"/>
        </w:rPr>
        <w:t>, Ruochun Guo</w:t>
      </w:r>
      <w:r w:rsidRPr="00BB5ED8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 w:hint="eastAsia"/>
          <w:vertAlign w:val="superscript"/>
        </w:rPr>
        <w:t>3</w:t>
      </w:r>
      <w:r w:rsidRPr="00BB5ED8">
        <w:rPr>
          <w:rFonts w:ascii="Times New Roman" w:hAnsi="Times New Roman" w:cs="Times New Roman"/>
        </w:rPr>
        <w:t>, Fan Wu</w:t>
      </w:r>
      <w:r w:rsidRPr="00BB5ED8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 w:hint="eastAsia"/>
          <w:vertAlign w:val="superscript"/>
        </w:rPr>
        <w:t>1</w:t>
      </w:r>
      <w:r w:rsidRPr="00BB5ED8">
        <w:rPr>
          <w:rFonts w:ascii="Times New Roman" w:hAnsi="Times New Roman" w:cs="Times New Roman"/>
        </w:rPr>
        <w:t>, Chunxue Wu</w:t>
      </w:r>
      <w:r w:rsidRPr="00BB5ED8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 w:hint="eastAsia"/>
          <w:vertAlign w:val="superscript"/>
        </w:rPr>
        <w:t>1</w:t>
      </w:r>
      <w:r w:rsidRPr="00BB5ED8">
        <w:rPr>
          <w:rFonts w:ascii="Times New Roman" w:hAnsi="Times New Roman" w:cs="Times New Roman"/>
        </w:rPr>
        <w:t xml:space="preserve">, </w:t>
      </w:r>
      <w:bookmarkStart w:id="2" w:name="_Hlk148048338"/>
      <w:r w:rsidRPr="00BB5ED8">
        <w:rPr>
          <w:rFonts w:ascii="Times New Roman" w:hAnsi="Times New Roman" w:cs="Times New Roman"/>
        </w:rPr>
        <w:t>Yan Wang</w:t>
      </w:r>
      <w:bookmarkEnd w:id="2"/>
      <w:r w:rsidRPr="00BB5ED8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 w:hint="eastAsia"/>
          <w:vertAlign w:val="superscript"/>
        </w:rPr>
        <w:t>1</w:t>
      </w:r>
      <w:r w:rsidRPr="00BB5ED8">
        <w:rPr>
          <w:rFonts w:ascii="Times New Roman" w:hAnsi="Times New Roman" w:cs="Times New Roman"/>
        </w:rPr>
        <w:t>, Xiaokui Huo</w:t>
      </w:r>
      <w:r w:rsidRPr="00BB5ED8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 w:hint="eastAsia"/>
          <w:vertAlign w:val="superscript"/>
        </w:rPr>
        <w:t>1</w:t>
      </w:r>
      <w:r w:rsidRPr="00BB5ED8"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 w:hint="eastAsia"/>
          <w:vertAlign w:val="superscript"/>
        </w:rPr>
        <w:t>2</w:t>
      </w:r>
      <w:r w:rsidRPr="00BB5ED8">
        <w:rPr>
          <w:rFonts w:ascii="Times New Roman" w:hAnsi="Times New Roman" w:cs="Times New Roman"/>
          <w:vertAlign w:val="superscript"/>
        </w:rPr>
        <w:t>,*</w:t>
      </w:r>
      <w:r w:rsidRPr="00BB5ED8">
        <w:rPr>
          <w:rFonts w:ascii="Times New Roman" w:hAnsi="Times New Roman" w:cs="Times New Roman"/>
        </w:rPr>
        <w:t>, Xiaochi Ma</w:t>
      </w:r>
      <w:r w:rsidRPr="00BB5ED8">
        <w:rPr>
          <w:rFonts w:ascii="Times New Roman" w:hAnsi="Times New Roman" w:cs="Times New Roman"/>
          <w:vertAlign w:val="superscript"/>
        </w:rPr>
        <w:t xml:space="preserve"> </w:t>
      </w:r>
      <w:bookmarkEnd w:id="1"/>
      <w:r>
        <w:rPr>
          <w:rFonts w:ascii="Times New Roman" w:hAnsi="Times New Roman" w:cs="Times New Roman" w:hint="eastAsia"/>
          <w:vertAlign w:val="superscript"/>
        </w:rPr>
        <w:t>1</w:t>
      </w:r>
      <w:r w:rsidRPr="00BB5ED8"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 w:hint="eastAsia"/>
          <w:vertAlign w:val="superscript"/>
        </w:rPr>
        <w:t>2</w:t>
      </w:r>
      <w:r w:rsidRPr="00BB5ED8">
        <w:rPr>
          <w:rFonts w:ascii="Times New Roman" w:hAnsi="Times New Roman" w:cs="Times New Roman"/>
          <w:vertAlign w:val="superscript"/>
        </w:rPr>
        <w:t>,*</w:t>
      </w:r>
    </w:p>
    <w:p w14:paraId="7ED35995" w14:textId="77777777" w:rsidR="00601508" w:rsidRPr="00BB5ED8" w:rsidRDefault="00601508" w:rsidP="00601508">
      <w:pPr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 w:rsidRPr="00BB5ED8">
        <w:rPr>
          <w:rFonts w:ascii="Times New Roman" w:hAnsi="Times New Roman" w:cs="Times New Roman"/>
        </w:rPr>
        <w:t>, Second Affiliated Hospital, Dalian Medical University, Dalian 116023, China.</w:t>
      </w:r>
    </w:p>
    <w:p w14:paraId="0D20922F" w14:textId="77777777" w:rsidR="00601508" w:rsidRPr="00BB5ED8" w:rsidRDefault="00601508" w:rsidP="00601508">
      <w:pPr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 w:rsidRPr="00BB5ED8">
        <w:rPr>
          <w:rFonts w:ascii="Times New Roman" w:hAnsi="Times New Roman" w:cs="Times New Roman"/>
        </w:rPr>
        <w:t>, Dalian Key Laboratory of Metabolic Target Characterization and Traditional Chinese Medicine Intervention, College of Basic Medical Sciences, Dalian Medical University, Dalian 116044, China.</w:t>
      </w:r>
    </w:p>
    <w:p w14:paraId="3594BBAA" w14:textId="77777777" w:rsidR="00601508" w:rsidRPr="00BB5ED8" w:rsidRDefault="00601508" w:rsidP="00601508">
      <w:pPr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 w:rsidRPr="00BB5ED8">
        <w:rPr>
          <w:rFonts w:ascii="Times New Roman" w:hAnsi="Times New Roman" w:cs="Times New Roman"/>
        </w:rPr>
        <w:t>, Puensum Genetech Institute, Wuhan 430076, China.</w:t>
      </w:r>
    </w:p>
    <w:p w14:paraId="0F7EBF38" w14:textId="77777777" w:rsidR="00601508" w:rsidRPr="00BB5ED8" w:rsidRDefault="00601508" w:rsidP="00601508">
      <w:pPr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 w:rsidRPr="00BB5ED8">
        <w:rPr>
          <w:rFonts w:ascii="Times New Roman" w:hAnsi="Times New Roman" w:cs="Times New Roman"/>
        </w:rPr>
        <w:t>+ These authors contributed equally to this work.</w:t>
      </w:r>
    </w:p>
    <w:p w14:paraId="0C7A7CEC" w14:textId="77777777" w:rsidR="00601508" w:rsidRPr="00BB5ED8" w:rsidRDefault="00601508" w:rsidP="00601508">
      <w:pPr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 w:rsidRPr="00BB5ED8">
        <w:rPr>
          <w:rFonts w:ascii="Times New Roman" w:hAnsi="Times New Roman" w:cs="Times New Roman"/>
        </w:rPr>
        <w:t xml:space="preserve">* </w:t>
      </w:r>
      <w:r w:rsidRPr="00C540BD">
        <w:rPr>
          <w:rFonts w:ascii="Times New Roman" w:hAnsi="Times New Roman" w:cs="Times New Roman"/>
        </w:rPr>
        <w:t>Correspondence:</w:t>
      </w:r>
      <w:r w:rsidRPr="00BB5ED8">
        <w:rPr>
          <w:rFonts w:ascii="Times New Roman" w:hAnsi="Times New Roman" w:cs="Times New Roman"/>
        </w:rPr>
        <w:t xml:space="preserve"> qiulongy1988@163.com (Q.Y.),</w:t>
      </w:r>
      <w:r w:rsidRPr="00BB5ED8">
        <w:rPr>
          <w:rFonts w:ascii="Times New Roman" w:hAnsi="Times New Roman" w:cs="Times New Roman"/>
          <w:color w:val="FF0000"/>
        </w:rPr>
        <w:t xml:space="preserve"> </w:t>
      </w:r>
      <w:r w:rsidRPr="00BB5ED8">
        <w:rPr>
          <w:rFonts w:ascii="Times New Roman" w:hAnsi="Times New Roman" w:cs="Times New Roman"/>
        </w:rPr>
        <w:t>huoxiaokui@163.com (X.H.), and maxc1978@163.com (X.M.)</w:t>
      </w:r>
    </w:p>
    <w:p w14:paraId="71D3881A" w14:textId="77777777" w:rsidR="0094612D" w:rsidRPr="00601508" w:rsidRDefault="0094612D" w:rsidP="00DD2F43">
      <w:pPr>
        <w:spacing w:line="360" w:lineRule="auto"/>
        <w:jc w:val="left"/>
      </w:pPr>
    </w:p>
    <w:p w14:paraId="75C19FAB" w14:textId="5D96AEFF" w:rsidR="0094612D" w:rsidRDefault="0094612D" w:rsidP="00DD2F43">
      <w:pPr>
        <w:spacing w:line="360" w:lineRule="auto"/>
        <w:jc w:val="left"/>
      </w:pPr>
    </w:p>
    <w:p w14:paraId="5FDFF1B8" w14:textId="77777777" w:rsidR="00601508" w:rsidRDefault="00601508" w:rsidP="00DD2F43">
      <w:pPr>
        <w:spacing w:line="360" w:lineRule="auto"/>
        <w:jc w:val="left"/>
      </w:pPr>
    </w:p>
    <w:p w14:paraId="6759D54F" w14:textId="3781D429" w:rsidR="00601508" w:rsidRDefault="00601508">
      <w:pPr>
        <w:widowControl/>
        <w:jc w:val="left"/>
      </w:pPr>
      <w:r>
        <w:br w:type="page"/>
      </w:r>
    </w:p>
    <w:p w14:paraId="0AB4FB8B" w14:textId="4A2F15CE" w:rsidR="00601508" w:rsidRDefault="00601508" w:rsidP="00DD2F43">
      <w:pPr>
        <w:spacing w:line="360" w:lineRule="auto"/>
        <w:jc w:val="left"/>
      </w:pPr>
      <w:r w:rsidRPr="009A3AF0">
        <w:rPr>
          <w:rFonts w:hint="eastAsia"/>
          <w:b/>
          <w:bCs/>
        </w:rPr>
        <w:lastRenderedPageBreak/>
        <w:t>Su</w:t>
      </w:r>
      <w:r w:rsidRPr="009A3AF0">
        <w:rPr>
          <w:b/>
          <w:bCs/>
        </w:rPr>
        <w:t>pplementary Figure</w:t>
      </w:r>
      <w:r>
        <w:rPr>
          <w:rFonts w:hint="eastAsia"/>
          <w:b/>
          <w:bCs/>
        </w:rPr>
        <w:t>s</w:t>
      </w:r>
    </w:p>
    <w:p w14:paraId="01DFD757" w14:textId="61ED3DD8" w:rsidR="00601508" w:rsidRDefault="008759CF" w:rsidP="00DD2F43">
      <w:pPr>
        <w:spacing w:line="360" w:lineRule="auto"/>
        <w:jc w:val="left"/>
      </w:pPr>
      <w:r>
        <w:rPr>
          <w:noProof/>
        </w:rPr>
        <w:drawing>
          <wp:inline distT="0" distB="0" distL="0" distR="0" wp14:anchorId="0224CEE0" wp14:editId="77D04F0A">
            <wp:extent cx="6120130" cy="2889885"/>
            <wp:effectExtent l="0" t="0" r="0" b="5715"/>
            <wp:docPr id="122032727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CE325" w14:textId="1F36AE99" w:rsidR="009A3AF0" w:rsidRDefault="0064038C" w:rsidP="00623E59">
      <w:pPr>
        <w:spacing w:line="360" w:lineRule="auto"/>
        <w:jc w:val="left"/>
      </w:pPr>
      <w:r w:rsidRPr="009A3AF0">
        <w:rPr>
          <w:rFonts w:hint="eastAsia"/>
          <w:b/>
          <w:bCs/>
        </w:rPr>
        <w:t>Su</w:t>
      </w:r>
      <w:r w:rsidRPr="009A3AF0">
        <w:rPr>
          <w:b/>
          <w:bCs/>
        </w:rPr>
        <w:t>pplementary Figure 1|</w:t>
      </w:r>
      <w:r w:rsidR="009A3AF0" w:rsidRPr="009A3AF0">
        <w:rPr>
          <w:b/>
          <w:bCs/>
        </w:rPr>
        <w:t xml:space="preserve"> Comparison of gut viromes between VLP and bulk datasets.</w:t>
      </w:r>
      <w:r w:rsidR="00203E8D">
        <w:rPr>
          <w:b/>
          <w:bCs/>
        </w:rPr>
        <w:t xml:space="preserve"> </w:t>
      </w:r>
      <w:r w:rsidR="009A3AF0" w:rsidRPr="00203E8D">
        <w:rPr>
          <w:rFonts w:hint="eastAsia"/>
          <w:b/>
          <w:bCs/>
        </w:rPr>
        <w:t>(</w:t>
      </w:r>
      <w:r w:rsidR="009A3AF0" w:rsidRPr="00203E8D">
        <w:rPr>
          <w:b/>
          <w:bCs/>
        </w:rPr>
        <w:t>a)</w:t>
      </w:r>
      <w:r w:rsidR="009A3AF0">
        <w:t xml:space="preserve"> </w:t>
      </w:r>
      <w:r w:rsidR="00DD2F43">
        <w:t>Principal coordinate analysis (PCoA) reveals the difference between the VLP virome and bulk virome</w:t>
      </w:r>
      <w:r w:rsidR="00203E8D">
        <w:t xml:space="preserve"> at the family level</w:t>
      </w:r>
      <w:r w:rsidR="00DD2F43">
        <w:t>. Samples are shown at the first and second principal coordinates (</w:t>
      </w:r>
      <w:r w:rsidR="00417793">
        <w:t>PCoA1 and PCoA2</w:t>
      </w:r>
      <w:r w:rsidR="00DD2F43">
        <w:t>), and the ratio of variance contributed by these two PCs is shown.</w:t>
      </w:r>
      <w:r w:rsidR="00203E8D">
        <w:t xml:space="preserve"> </w:t>
      </w:r>
      <w:r w:rsidR="009A3AF0" w:rsidRPr="00623E59">
        <w:rPr>
          <w:rFonts w:hint="eastAsia"/>
          <w:b/>
          <w:bCs/>
        </w:rPr>
        <w:t>(</w:t>
      </w:r>
      <w:r w:rsidR="009A3AF0" w:rsidRPr="00623E59">
        <w:rPr>
          <w:b/>
          <w:bCs/>
        </w:rPr>
        <w:t>b)</w:t>
      </w:r>
      <w:r w:rsidR="00B768DD">
        <w:t xml:space="preserve"> Observation of </w:t>
      </w:r>
      <w:r w:rsidR="00623E59" w:rsidRPr="00623E59">
        <w:rPr>
          <w:i/>
          <w:iCs/>
        </w:rPr>
        <w:t>Microviridae</w:t>
      </w:r>
      <w:r w:rsidR="00623E59">
        <w:t xml:space="preserve"> vOTUs in the VLP and bulk datasets.</w:t>
      </w:r>
    </w:p>
    <w:p w14:paraId="790A48B3" w14:textId="77777777" w:rsidR="00601508" w:rsidRDefault="00601508" w:rsidP="00DD2F43">
      <w:pPr>
        <w:spacing w:line="360" w:lineRule="auto"/>
        <w:jc w:val="left"/>
      </w:pPr>
    </w:p>
    <w:p w14:paraId="6AC09235" w14:textId="5EC85A90" w:rsidR="00601508" w:rsidRDefault="008759CF" w:rsidP="00DD2F43">
      <w:pPr>
        <w:spacing w:line="360" w:lineRule="auto"/>
        <w:jc w:val="left"/>
      </w:pPr>
      <w:r>
        <w:rPr>
          <w:noProof/>
        </w:rPr>
        <w:lastRenderedPageBreak/>
        <w:drawing>
          <wp:inline distT="0" distB="0" distL="0" distR="0" wp14:anchorId="4D8855C8" wp14:editId="325A312E">
            <wp:extent cx="6120130" cy="4453255"/>
            <wp:effectExtent l="0" t="0" r="0" b="4445"/>
            <wp:docPr id="124650086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B64CC" w14:textId="3F13A17E" w:rsidR="009D38B2" w:rsidRDefault="001F1A5D" w:rsidP="000F07A7">
      <w:pPr>
        <w:spacing w:line="360" w:lineRule="auto"/>
        <w:jc w:val="left"/>
      </w:pPr>
      <w:r w:rsidRPr="0064038C">
        <w:rPr>
          <w:rFonts w:hint="eastAsia"/>
          <w:b/>
          <w:bCs/>
        </w:rPr>
        <w:t>Su</w:t>
      </w:r>
      <w:r w:rsidRPr="0064038C">
        <w:rPr>
          <w:b/>
          <w:bCs/>
        </w:rPr>
        <w:t xml:space="preserve">pplementary Figure </w:t>
      </w:r>
      <w:r>
        <w:rPr>
          <w:b/>
          <w:bCs/>
        </w:rPr>
        <w:t>2</w:t>
      </w:r>
      <w:r w:rsidRPr="0064038C">
        <w:rPr>
          <w:b/>
          <w:bCs/>
        </w:rPr>
        <w:t>|</w:t>
      </w:r>
      <w:r w:rsidR="009E286A">
        <w:rPr>
          <w:b/>
          <w:bCs/>
        </w:rPr>
        <w:t xml:space="preserve"> </w:t>
      </w:r>
      <w:r w:rsidR="007F1D0F">
        <w:rPr>
          <w:b/>
          <w:bCs/>
        </w:rPr>
        <w:t xml:space="preserve">Correlation analysis </w:t>
      </w:r>
      <w:r w:rsidR="00601508" w:rsidRPr="00601508">
        <w:rPr>
          <w:b/>
          <w:bCs/>
        </w:rPr>
        <w:t>(Spearman correlation test)</w:t>
      </w:r>
      <w:r w:rsidR="00601508">
        <w:rPr>
          <w:rFonts w:hint="eastAsia"/>
          <w:b/>
          <w:bCs/>
        </w:rPr>
        <w:t xml:space="preserve"> </w:t>
      </w:r>
      <w:r w:rsidR="007F1D0F">
        <w:rPr>
          <w:b/>
          <w:bCs/>
        </w:rPr>
        <w:t>of the gut bacteriome diversity and VLP/bulk virome diversity.</w:t>
      </w:r>
      <w:r w:rsidR="000F07A7">
        <w:rPr>
          <w:rFonts w:hint="eastAsia"/>
          <w:b/>
          <w:bCs/>
        </w:rPr>
        <w:t xml:space="preserve"> </w:t>
      </w:r>
      <w:r w:rsidR="00C318AA">
        <w:t>For each panel, s</w:t>
      </w:r>
      <w:r w:rsidR="00351CD5" w:rsidRPr="00351CD5">
        <w:t>catter plot</w:t>
      </w:r>
      <w:r w:rsidR="000F07A7">
        <w:t xml:space="preserve"> show</w:t>
      </w:r>
      <w:r w:rsidR="00C318AA">
        <w:t>s</w:t>
      </w:r>
      <w:r w:rsidR="000F07A7">
        <w:t xml:space="preserve"> the </w:t>
      </w:r>
      <w:r w:rsidR="00C318AA">
        <w:t xml:space="preserve">samples </w:t>
      </w:r>
      <w:r w:rsidR="00A24763">
        <w:t>and the fitting line</w:t>
      </w:r>
      <w:r w:rsidR="00C318AA">
        <w:t xml:space="preserve"> are </w:t>
      </w:r>
      <w:r w:rsidR="000F07A7">
        <w:t xml:space="preserve">formed based on the diversity indexes </w:t>
      </w:r>
      <w:r w:rsidR="009D38B2">
        <w:t>in the bacteriome and virome</w:t>
      </w:r>
      <w:r w:rsidR="00495F39">
        <w:t xml:space="preserve"> for all samples.</w:t>
      </w:r>
    </w:p>
    <w:p w14:paraId="48944615" w14:textId="77777777" w:rsidR="00893105" w:rsidRDefault="00893105" w:rsidP="00DD2F43">
      <w:pPr>
        <w:spacing w:line="360" w:lineRule="auto"/>
        <w:jc w:val="left"/>
      </w:pPr>
    </w:p>
    <w:p w14:paraId="4D82234A" w14:textId="5FC8AAB4" w:rsidR="00601508" w:rsidRDefault="008759CF" w:rsidP="00DD2F43">
      <w:pPr>
        <w:spacing w:line="360" w:lineRule="auto"/>
        <w:jc w:val="left"/>
      </w:pPr>
      <w:r>
        <w:rPr>
          <w:noProof/>
        </w:rPr>
        <w:drawing>
          <wp:inline distT="0" distB="0" distL="0" distR="0" wp14:anchorId="2CF907C5" wp14:editId="3D0E11AB">
            <wp:extent cx="6120130" cy="1251585"/>
            <wp:effectExtent l="0" t="0" r="0" b="5715"/>
            <wp:docPr id="31889788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B7415" w14:textId="63BAF61B" w:rsidR="00010636" w:rsidRDefault="00CA4388" w:rsidP="00DD2F43">
      <w:pPr>
        <w:spacing w:line="360" w:lineRule="auto"/>
        <w:jc w:val="left"/>
      </w:pPr>
      <w:r w:rsidRPr="002C4685">
        <w:rPr>
          <w:rFonts w:hint="eastAsia"/>
          <w:b/>
          <w:bCs/>
        </w:rPr>
        <w:t>Sup</w:t>
      </w:r>
      <w:r w:rsidRPr="002C4685">
        <w:rPr>
          <w:b/>
          <w:bCs/>
        </w:rPr>
        <w:t xml:space="preserve">plementary Figure 3| </w:t>
      </w:r>
      <w:r w:rsidR="008C2377">
        <w:t xml:space="preserve">Comparison of </w:t>
      </w:r>
      <w:r w:rsidR="002C4685" w:rsidRPr="002C4685">
        <w:t>Anelloviridae</w:t>
      </w:r>
      <w:r w:rsidR="002C4685">
        <w:t xml:space="preserve"> </w:t>
      </w:r>
      <w:r w:rsidR="008759CF">
        <w:rPr>
          <w:rFonts w:hint="eastAsia"/>
        </w:rPr>
        <w:t xml:space="preserve">and Inoviridae </w:t>
      </w:r>
      <w:r w:rsidR="002C4685">
        <w:t xml:space="preserve">vOTUs </w:t>
      </w:r>
      <w:r w:rsidR="008C2377">
        <w:t xml:space="preserve">between IBD patients and healthy controls. Barplot showing the number of vOTUs enriched in IBD patients or healthy controls. Dark red or blue indicate </w:t>
      </w:r>
      <w:r w:rsidR="00601508" w:rsidRPr="00601508">
        <w:t>vOTUs with a p-value of less than 0.05 from the Wilcoxon rank-sum test comparing the two groups</w:t>
      </w:r>
      <w:r w:rsidR="008C2377">
        <w:t>.</w:t>
      </w:r>
    </w:p>
    <w:p w14:paraId="22C55C9B" w14:textId="77777777" w:rsidR="001C7A25" w:rsidRDefault="001C7A25" w:rsidP="00DD2F43">
      <w:pPr>
        <w:spacing w:line="360" w:lineRule="auto"/>
        <w:jc w:val="left"/>
      </w:pPr>
    </w:p>
    <w:p w14:paraId="450D1EED" w14:textId="03E69B61" w:rsidR="008C2377" w:rsidRDefault="008C2377" w:rsidP="00DD2F43">
      <w:pPr>
        <w:spacing w:line="360" w:lineRule="auto"/>
        <w:jc w:val="left"/>
      </w:pPr>
    </w:p>
    <w:p w14:paraId="1D3630A8" w14:textId="77777777" w:rsidR="00601508" w:rsidRDefault="00601508" w:rsidP="00DD2F43">
      <w:pPr>
        <w:spacing w:line="360" w:lineRule="auto"/>
        <w:jc w:val="left"/>
      </w:pPr>
    </w:p>
    <w:p w14:paraId="5C31CDF4" w14:textId="286BEF6F" w:rsidR="00601508" w:rsidRDefault="008759CF" w:rsidP="008759CF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79E84011" wp14:editId="516EF2F8">
            <wp:extent cx="3759200" cy="1943100"/>
            <wp:effectExtent l="0" t="0" r="0" b="0"/>
            <wp:docPr id="12392793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BA3F4" w14:textId="5BD01890" w:rsidR="008C2377" w:rsidRDefault="008C2377" w:rsidP="008C2377">
      <w:pPr>
        <w:spacing w:line="360" w:lineRule="auto"/>
        <w:jc w:val="left"/>
      </w:pPr>
      <w:r w:rsidRPr="008C2377">
        <w:rPr>
          <w:rFonts w:hint="eastAsia"/>
          <w:b/>
          <w:bCs/>
        </w:rPr>
        <w:t>S</w:t>
      </w:r>
      <w:r w:rsidRPr="008C2377">
        <w:rPr>
          <w:b/>
          <w:bCs/>
        </w:rPr>
        <w:t>upplementary Figure 4|</w:t>
      </w:r>
      <w:r>
        <w:t xml:space="preserve"> Comparison of gut viral composition between IBD patients and healthy controls at the order level. </w:t>
      </w:r>
      <w:r w:rsidR="00601508" w:rsidRPr="00601508">
        <w:t>Wilcoxon rank-sum test</w:t>
      </w:r>
      <w:r w:rsidR="00601508">
        <w:rPr>
          <w:rFonts w:hint="eastAsia"/>
        </w:rPr>
        <w:t>.</w:t>
      </w:r>
      <w:r>
        <w:t xml:space="preserve"> *, p&lt;0.05; **, p&lt;0.01; ***, p&lt;0.001. HC, healthy controls.</w:t>
      </w:r>
    </w:p>
    <w:p w14:paraId="00F502D6" w14:textId="6003D491" w:rsidR="00893105" w:rsidRDefault="00893105" w:rsidP="00DD2F43">
      <w:pPr>
        <w:spacing w:line="360" w:lineRule="auto"/>
        <w:jc w:val="left"/>
      </w:pPr>
    </w:p>
    <w:p w14:paraId="7E521612" w14:textId="230E263A" w:rsidR="00601508" w:rsidRDefault="008759CF" w:rsidP="00601508">
      <w:pPr>
        <w:spacing w:line="360" w:lineRule="auto"/>
        <w:jc w:val="center"/>
      </w:pPr>
      <w:r>
        <w:rPr>
          <w:noProof/>
        </w:rPr>
        <w:drawing>
          <wp:inline distT="0" distB="0" distL="0" distR="0" wp14:anchorId="5A0AF727" wp14:editId="3566F9B5">
            <wp:extent cx="3145155" cy="2522855"/>
            <wp:effectExtent l="0" t="0" r="0" b="0"/>
            <wp:docPr id="70096302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252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A91ED" w14:textId="410D698D" w:rsidR="009E566A" w:rsidRDefault="009E566A" w:rsidP="00DD2F43">
      <w:pPr>
        <w:spacing w:line="360" w:lineRule="auto"/>
        <w:jc w:val="left"/>
      </w:pPr>
      <w:r w:rsidRPr="0064038C">
        <w:rPr>
          <w:rFonts w:hint="eastAsia"/>
          <w:b/>
          <w:bCs/>
        </w:rPr>
        <w:t>Su</w:t>
      </w:r>
      <w:r w:rsidRPr="0064038C">
        <w:rPr>
          <w:b/>
          <w:bCs/>
        </w:rPr>
        <w:t xml:space="preserve">pplementary Figure </w:t>
      </w:r>
      <w:r w:rsidR="00AB41A8">
        <w:rPr>
          <w:b/>
          <w:bCs/>
        </w:rPr>
        <w:t>5</w:t>
      </w:r>
      <w:r w:rsidRPr="0064038C">
        <w:rPr>
          <w:b/>
          <w:bCs/>
        </w:rPr>
        <w:t>|</w:t>
      </w:r>
      <w:r w:rsidR="002E400B">
        <w:rPr>
          <w:b/>
          <w:bCs/>
        </w:rPr>
        <w:t xml:space="preserve"> </w:t>
      </w:r>
      <w:r w:rsidR="00646A7F">
        <w:rPr>
          <w:b/>
          <w:bCs/>
        </w:rPr>
        <w:t xml:space="preserve">Distribution of </w:t>
      </w:r>
      <w:r w:rsidR="00646A7F" w:rsidRPr="00646A7F">
        <w:rPr>
          <w:b/>
          <w:bCs/>
        </w:rPr>
        <w:t>prokaryotic hosts</w:t>
      </w:r>
      <w:r w:rsidR="00646A7F">
        <w:rPr>
          <w:b/>
          <w:bCs/>
        </w:rPr>
        <w:t xml:space="preserve"> of the IBD-associated vOTUs.</w:t>
      </w:r>
    </w:p>
    <w:p w14:paraId="7EE4FBA3" w14:textId="77777777" w:rsidR="00893105" w:rsidRDefault="00893105" w:rsidP="00DD2F43">
      <w:pPr>
        <w:spacing w:line="360" w:lineRule="auto"/>
        <w:jc w:val="left"/>
      </w:pPr>
    </w:p>
    <w:p w14:paraId="4B8780B6" w14:textId="151EF850" w:rsidR="00601508" w:rsidRDefault="008759CF" w:rsidP="008759CF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667EE932" wp14:editId="7E6EAD8D">
            <wp:extent cx="3255645" cy="3382645"/>
            <wp:effectExtent l="0" t="0" r="1905" b="8255"/>
            <wp:docPr id="53375839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338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CFB15" w14:textId="5190C6E1" w:rsidR="002B3558" w:rsidRDefault="00A0179B" w:rsidP="00781491">
      <w:pPr>
        <w:spacing w:line="360" w:lineRule="auto"/>
        <w:jc w:val="left"/>
      </w:pPr>
      <w:r w:rsidRPr="008759CF">
        <w:rPr>
          <w:rFonts w:hint="eastAsia"/>
          <w:b/>
          <w:bCs/>
        </w:rPr>
        <w:t>Su</w:t>
      </w:r>
      <w:r w:rsidRPr="008759CF">
        <w:rPr>
          <w:b/>
          <w:bCs/>
        </w:rPr>
        <w:t xml:space="preserve">pplementary Figure </w:t>
      </w:r>
      <w:r w:rsidR="00A768F1" w:rsidRPr="008759CF">
        <w:rPr>
          <w:b/>
          <w:bCs/>
        </w:rPr>
        <w:t>6</w:t>
      </w:r>
      <w:r w:rsidRPr="008759CF">
        <w:rPr>
          <w:b/>
          <w:bCs/>
        </w:rPr>
        <w:t>|</w:t>
      </w:r>
      <w:r w:rsidR="00A65F50" w:rsidRPr="008759CF">
        <w:rPr>
          <w:b/>
          <w:bCs/>
        </w:rPr>
        <w:t xml:space="preserve"> </w:t>
      </w:r>
      <w:r w:rsidR="002B3558" w:rsidRPr="008759CF">
        <w:rPr>
          <w:b/>
          <w:bCs/>
        </w:rPr>
        <w:t>Comparison of function</w:t>
      </w:r>
      <w:r w:rsidR="00E610DF" w:rsidRPr="008759CF">
        <w:rPr>
          <w:b/>
          <w:bCs/>
        </w:rPr>
        <w:t xml:space="preserve">s </w:t>
      </w:r>
      <w:r w:rsidR="002B3558" w:rsidRPr="008759CF">
        <w:rPr>
          <w:b/>
          <w:bCs/>
        </w:rPr>
        <w:t>between IBD-enriched and control-enriched</w:t>
      </w:r>
      <w:r w:rsidR="002B3558" w:rsidRPr="002B3558">
        <w:rPr>
          <w:b/>
          <w:bCs/>
        </w:rPr>
        <w:t xml:space="preserve"> vOTU</w:t>
      </w:r>
      <w:r w:rsidR="00E610DF">
        <w:rPr>
          <w:b/>
          <w:bCs/>
        </w:rPr>
        <w:t>s</w:t>
      </w:r>
      <w:r w:rsidR="002B3558" w:rsidRPr="002B3558">
        <w:rPr>
          <w:b/>
          <w:bCs/>
        </w:rPr>
        <w:t>.</w:t>
      </w:r>
      <w:r w:rsidR="00E610DF">
        <w:rPr>
          <w:b/>
          <w:bCs/>
        </w:rPr>
        <w:t xml:space="preserve"> </w:t>
      </w:r>
      <w:r w:rsidR="00E610DF">
        <w:t xml:space="preserve">Principal coordinate analysis (PCoA) reveals the differences </w:t>
      </w:r>
      <w:r w:rsidR="0071339B">
        <w:t>in</w:t>
      </w:r>
      <w:r w:rsidR="00E610DF">
        <w:t xml:space="preserve"> functional profiles between IBD-enriched and controls vOTUs.</w:t>
      </w:r>
      <w:r w:rsidR="005E766B" w:rsidRPr="005E766B">
        <w:t xml:space="preserve"> </w:t>
      </w:r>
      <w:r w:rsidR="005E766B">
        <w:t>vOTUs are shown at the first and second principal coordinates (</w:t>
      </w:r>
      <w:r w:rsidR="00417793">
        <w:t>PCoA</w:t>
      </w:r>
      <w:r w:rsidR="005E766B">
        <w:t xml:space="preserve">1 and </w:t>
      </w:r>
      <w:r w:rsidR="00417793">
        <w:t>PCoA</w:t>
      </w:r>
      <w:r w:rsidR="005E766B">
        <w:t>2), and the ratio of variance contributed by these two PCs is shown.</w:t>
      </w:r>
      <w:r w:rsidR="00417793">
        <w:rPr>
          <w:rFonts w:hint="eastAsia"/>
        </w:rPr>
        <w:t xml:space="preserve"> S</w:t>
      </w:r>
      <w:r w:rsidR="00417793" w:rsidRPr="00417793">
        <w:t xml:space="preserve">tatistical significance </w:t>
      </w:r>
      <w:r w:rsidR="00417793">
        <w:rPr>
          <w:rFonts w:hint="eastAsia"/>
        </w:rPr>
        <w:t>was</w:t>
      </w:r>
      <w:r w:rsidR="00417793" w:rsidRPr="00417793">
        <w:t xml:space="preserve"> obtained by PERMANOVA analysis</w:t>
      </w:r>
      <w:r w:rsidR="00417793">
        <w:rPr>
          <w:rFonts w:hint="eastAsia"/>
        </w:rPr>
        <w:t>.</w:t>
      </w:r>
    </w:p>
    <w:p w14:paraId="7CDEDB81" w14:textId="77777777" w:rsidR="00407238" w:rsidRDefault="00407238" w:rsidP="00781491">
      <w:pPr>
        <w:spacing w:line="360" w:lineRule="auto"/>
        <w:jc w:val="left"/>
      </w:pPr>
    </w:p>
    <w:p w14:paraId="4EF64C92" w14:textId="5B43B56C" w:rsidR="00601508" w:rsidRDefault="008759CF" w:rsidP="008759CF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75162866" wp14:editId="6D959D3D">
            <wp:extent cx="5160645" cy="4199255"/>
            <wp:effectExtent l="0" t="0" r="1905" b="0"/>
            <wp:docPr id="203757604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645" cy="419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8027A" w14:textId="69D45431" w:rsidR="00A0179B" w:rsidRDefault="00407238" w:rsidP="00DD2F43">
      <w:pPr>
        <w:spacing w:line="360" w:lineRule="auto"/>
        <w:jc w:val="left"/>
      </w:pPr>
      <w:r w:rsidRPr="0064038C">
        <w:rPr>
          <w:rFonts w:hint="eastAsia"/>
          <w:b/>
          <w:bCs/>
        </w:rPr>
        <w:t>Su</w:t>
      </w:r>
      <w:r w:rsidRPr="0064038C">
        <w:rPr>
          <w:b/>
          <w:bCs/>
        </w:rPr>
        <w:t>ppl</w:t>
      </w:r>
      <w:r w:rsidRPr="002B3558">
        <w:rPr>
          <w:b/>
          <w:bCs/>
        </w:rPr>
        <w:t xml:space="preserve">ementary Figure </w:t>
      </w:r>
      <w:r w:rsidR="00A768F1">
        <w:rPr>
          <w:b/>
          <w:bCs/>
        </w:rPr>
        <w:t>7</w:t>
      </w:r>
      <w:r w:rsidRPr="002B3558">
        <w:rPr>
          <w:b/>
          <w:bCs/>
        </w:rPr>
        <w:t>|</w:t>
      </w:r>
      <w:r>
        <w:rPr>
          <w:b/>
          <w:bCs/>
        </w:rPr>
        <w:t xml:space="preserve"> P</w:t>
      </w:r>
      <w:r w:rsidRPr="00407238">
        <w:rPr>
          <w:b/>
          <w:bCs/>
        </w:rPr>
        <w:t>artial gene structures of several control-enriched vOTUs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with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the</w:t>
      </w:r>
      <w:r>
        <w:rPr>
          <w:b/>
          <w:bCs/>
        </w:rPr>
        <w:t xml:space="preserve"> </w:t>
      </w:r>
      <w:r w:rsidRPr="00407238">
        <w:rPr>
          <w:b/>
          <w:bCs/>
        </w:rPr>
        <w:t>RNA-dependent DNA polymeras</w:t>
      </w:r>
      <w:r>
        <w:rPr>
          <w:b/>
          <w:bCs/>
        </w:rPr>
        <w:t xml:space="preserve">e (RdDp) gene. </w:t>
      </w:r>
      <w:r w:rsidRPr="00407238">
        <w:t xml:space="preserve">The left-hand side text provides the </w:t>
      </w:r>
      <w:r>
        <w:t>family-</w:t>
      </w:r>
      <w:r w:rsidRPr="00407238">
        <w:t xml:space="preserve">level taxonomic annotation and vOTU </w:t>
      </w:r>
      <w:r>
        <w:t>ID</w:t>
      </w:r>
      <w:r w:rsidR="00610B35">
        <w:t xml:space="preserve"> </w:t>
      </w:r>
      <w:r w:rsidR="00610B35" w:rsidRPr="00610B35">
        <w:t xml:space="preserve">number </w:t>
      </w:r>
      <w:r w:rsidRPr="00407238">
        <w:t>corresponding to each vOTU, along with the predicted prokaryotic host for each one.</w:t>
      </w:r>
    </w:p>
    <w:p w14:paraId="318AA9E2" w14:textId="77777777" w:rsidR="00610B35" w:rsidRDefault="00610B35" w:rsidP="00DD2F43">
      <w:pPr>
        <w:spacing w:line="360" w:lineRule="auto"/>
        <w:jc w:val="left"/>
      </w:pPr>
    </w:p>
    <w:p w14:paraId="7F5F8EB5" w14:textId="053726D3" w:rsidR="00601508" w:rsidRDefault="008759CF" w:rsidP="00601508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1C20B623" wp14:editId="6C768F2E">
            <wp:extent cx="3716655" cy="3852545"/>
            <wp:effectExtent l="0" t="0" r="0" b="0"/>
            <wp:docPr id="67522761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655" cy="385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173AD" w14:textId="5A6E0EEC" w:rsidR="00173C27" w:rsidRDefault="00173C27" w:rsidP="00DD2F43">
      <w:pPr>
        <w:spacing w:line="360" w:lineRule="auto"/>
        <w:jc w:val="left"/>
      </w:pPr>
      <w:r w:rsidRPr="001B1919">
        <w:rPr>
          <w:rFonts w:hint="eastAsia"/>
          <w:b/>
          <w:bCs/>
        </w:rPr>
        <w:t>S</w:t>
      </w:r>
      <w:r w:rsidRPr="001B1919">
        <w:rPr>
          <w:b/>
          <w:bCs/>
        </w:rPr>
        <w:t>upplementary Figure 8|</w:t>
      </w:r>
      <w:r w:rsidR="00827DD7">
        <w:rPr>
          <w:b/>
          <w:bCs/>
        </w:rPr>
        <w:t xml:space="preserve"> </w:t>
      </w:r>
      <w:r w:rsidR="00827DD7" w:rsidRPr="00827DD7">
        <w:rPr>
          <w:b/>
          <w:bCs/>
        </w:rPr>
        <w:t>Viral community variation among 9 public datasets and the VLP and bulk datasets in this study</w:t>
      </w:r>
      <w:r w:rsidR="00827DD7">
        <w:rPr>
          <w:b/>
          <w:bCs/>
        </w:rPr>
        <w:t xml:space="preserve">. </w:t>
      </w:r>
      <w:r w:rsidR="00707EE9">
        <w:t>Principal coordinates analysis (PCoA) based on the Bray-Curtis distance at the vOTU level. Effect size (R</w:t>
      </w:r>
      <w:r w:rsidR="00707EE9" w:rsidRPr="00827DD7">
        <w:rPr>
          <w:vertAlign w:val="superscript"/>
        </w:rPr>
        <w:t>2</w:t>
      </w:r>
      <w:r w:rsidR="00707EE9">
        <w:t>) and statistical signi</w:t>
      </w:r>
      <w:r w:rsidR="00827DD7">
        <w:t>fi</w:t>
      </w:r>
      <w:r w:rsidR="00707EE9">
        <w:t>cance were obtained by PERMANOVA</w:t>
      </w:r>
      <w:r w:rsidR="00827DD7">
        <w:t xml:space="preserve"> analysis</w:t>
      </w:r>
      <w:r w:rsidR="00707EE9">
        <w:t>.</w:t>
      </w:r>
    </w:p>
    <w:p w14:paraId="7DC5132F" w14:textId="77777777" w:rsidR="00707EE9" w:rsidRPr="00407238" w:rsidRDefault="00707EE9" w:rsidP="00DD2F43">
      <w:pPr>
        <w:spacing w:line="360" w:lineRule="auto"/>
        <w:jc w:val="left"/>
      </w:pPr>
    </w:p>
    <w:p w14:paraId="7A43C7E4" w14:textId="17073981" w:rsidR="00601508" w:rsidRDefault="008759CF" w:rsidP="00601508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4829ACFC" wp14:editId="444E9DC4">
            <wp:extent cx="4394200" cy="4157345"/>
            <wp:effectExtent l="0" t="0" r="6350" b="0"/>
            <wp:docPr id="77196624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415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7761E" w14:textId="6AC76566" w:rsidR="0094612D" w:rsidRDefault="00A715BB" w:rsidP="005317FD">
      <w:pPr>
        <w:spacing w:line="360" w:lineRule="auto"/>
        <w:jc w:val="left"/>
      </w:pPr>
      <w:r w:rsidRPr="00347581">
        <w:rPr>
          <w:rFonts w:hint="eastAsia"/>
          <w:b/>
          <w:bCs/>
        </w:rPr>
        <w:t>Su</w:t>
      </w:r>
      <w:r w:rsidRPr="00347581">
        <w:rPr>
          <w:b/>
          <w:bCs/>
        </w:rPr>
        <w:t xml:space="preserve">pplementary Figure </w:t>
      </w:r>
      <w:r w:rsidR="00DC3370">
        <w:rPr>
          <w:b/>
          <w:bCs/>
        </w:rPr>
        <w:t>9</w:t>
      </w:r>
      <w:r w:rsidRPr="00347581">
        <w:rPr>
          <w:b/>
          <w:bCs/>
        </w:rPr>
        <w:t>|</w:t>
      </w:r>
      <w:r w:rsidR="00311E23" w:rsidRPr="00347581">
        <w:rPr>
          <w:b/>
          <w:bCs/>
        </w:rPr>
        <w:t xml:space="preserve"> </w:t>
      </w:r>
      <w:r w:rsidR="00347581" w:rsidRPr="00347581">
        <w:rPr>
          <w:b/>
          <w:bCs/>
        </w:rPr>
        <w:t>C</w:t>
      </w:r>
      <w:r w:rsidR="00987D41" w:rsidRPr="00347581">
        <w:rPr>
          <w:b/>
          <w:bCs/>
        </w:rPr>
        <w:t xml:space="preserve">ross-dataset </w:t>
      </w:r>
      <w:r w:rsidR="00951348" w:rsidRPr="00347581">
        <w:rPr>
          <w:b/>
          <w:bCs/>
        </w:rPr>
        <w:t xml:space="preserve">IBD prediction based on </w:t>
      </w:r>
      <w:r w:rsidR="00347581" w:rsidRPr="00347581">
        <w:rPr>
          <w:b/>
          <w:bCs/>
        </w:rPr>
        <w:t>34 IBD-associated vOTUs.</w:t>
      </w:r>
      <w:r w:rsidR="00EA0C6C">
        <w:rPr>
          <w:b/>
          <w:bCs/>
        </w:rPr>
        <w:t xml:space="preserve"> </w:t>
      </w:r>
      <w:r w:rsidR="00EA0C6C">
        <w:t>Heatmap shows the p</w:t>
      </w:r>
      <w:r w:rsidR="00B701A3">
        <w:t>erformance assess</w:t>
      </w:r>
      <w:r w:rsidR="00EA0C6C">
        <w:t>ed</w:t>
      </w:r>
      <w:r w:rsidR="00B701A3">
        <w:t xml:space="preserve"> as AUC scores of intra-dataset and cross-dataset </w:t>
      </w:r>
      <w:r w:rsidR="005317FD">
        <w:t xml:space="preserve">IBD </w:t>
      </w:r>
      <w:r w:rsidR="00B701A3">
        <w:t xml:space="preserve">predictions using random forest models </w:t>
      </w:r>
      <w:r w:rsidR="005317FD">
        <w:t>trained based on 34 IBD-associated vOTUs.</w:t>
      </w:r>
      <w:r w:rsidR="00EA0C6C">
        <w:t xml:space="preserve"> </w:t>
      </w:r>
      <w:r w:rsidR="00B701A3">
        <w:t>The model</w:t>
      </w:r>
      <w:r w:rsidR="005317FD">
        <w:t>s</w:t>
      </w:r>
      <w:r w:rsidR="00B701A3">
        <w:t xml:space="preserve"> of intra-dataset prediction (diagonal) </w:t>
      </w:r>
      <w:r w:rsidR="005317FD">
        <w:t>are</w:t>
      </w:r>
      <w:r w:rsidR="00B701A3">
        <w:t xml:space="preserve"> validated using five repeats of five-fold cross-validations. The model</w:t>
      </w:r>
      <w:r w:rsidR="005317FD">
        <w:t>s</w:t>
      </w:r>
      <w:r w:rsidR="00B701A3">
        <w:t xml:space="preserve"> of cross-dataset prediction (off-diagonal) </w:t>
      </w:r>
      <w:r w:rsidR="005317FD">
        <w:t>are</w:t>
      </w:r>
      <w:r w:rsidR="00B701A3">
        <w:t xml:space="preserve"> built on the dataset corresponding to each row and validated on the dataset corresponding to each column. The LOCO row refers to leave-one-cohort-out analysis in which models </w:t>
      </w:r>
      <w:r w:rsidR="00834561">
        <w:t>are</w:t>
      </w:r>
      <w:r w:rsidR="00B701A3">
        <w:t xml:space="preserve"> built on </w:t>
      </w:r>
      <w:r w:rsidR="00604E8B">
        <w:t>te</w:t>
      </w:r>
      <w:r w:rsidR="002B4053">
        <w:t>n</w:t>
      </w:r>
      <w:r w:rsidR="00B701A3">
        <w:t xml:space="preserve"> datasets combined and validated on the remaining one corresponding to each column.</w:t>
      </w:r>
    </w:p>
    <w:p w14:paraId="0325D169" w14:textId="77777777" w:rsidR="00244811" w:rsidRDefault="00244811" w:rsidP="00DD2F43">
      <w:pPr>
        <w:spacing w:line="360" w:lineRule="auto"/>
        <w:jc w:val="left"/>
      </w:pPr>
    </w:p>
    <w:p w14:paraId="087DB633" w14:textId="605E03C3" w:rsidR="00CA1F89" w:rsidRDefault="008759CF" w:rsidP="008759CF">
      <w:pPr>
        <w:spacing w:line="360" w:lineRule="auto"/>
        <w:jc w:val="center"/>
      </w:pPr>
      <w:r>
        <w:rPr>
          <w:noProof/>
        </w:rPr>
        <w:drawing>
          <wp:inline distT="0" distB="0" distL="0" distR="0" wp14:anchorId="493C84F7" wp14:editId="53618CA9">
            <wp:extent cx="2673350" cy="1873250"/>
            <wp:effectExtent l="0" t="0" r="0" b="0"/>
            <wp:docPr id="2745287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1A5E5" w14:textId="320089A6" w:rsidR="00CA1F89" w:rsidRDefault="00CA1F89" w:rsidP="00DD2F43">
      <w:pPr>
        <w:spacing w:line="360" w:lineRule="auto"/>
        <w:jc w:val="left"/>
        <w:rPr>
          <w:b/>
          <w:bCs/>
        </w:rPr>
      </w:pPr>
      <w:r w:rsidRPr="008759CF">
        <w:rPr>
          <w:rFonts w:hint="eastAsia"/>
          <w:b/>
          <w:bCs/>
        </w:rPr>
        <w:t>S</w:t>
      </w:r>
      <w:r w:rsidRPr="008759CF">
        <w:rPr>
          <w:b/>
          <w:bCs/>
        </w:rPr>
        <w:t>upplementary Figure 10|</w:t>
      </w:r>
      <w:r w:rsidR="00B94C06" w:rsidRPr="008759CF">
        <w:rPr>
          <w:b/>
          <w:bCs/>
        </w:rPr>
        <w:t xml:space="preserve"> Barplot showing the virus-to-bacteria ratio of feces of mouse before and after FVT.</w:t>
      </w:r>
    </w:p>
    <w:p w14:paraId="154C0C4E" w14:textId="5F04395D" w:rsidR="009B5DB6" w:rsidRDefault="009B5DB6" w:rsidP="009B5DB6">
      <w:pPr>
        <w:spacing w:line="360" w:lineRule="auto"/>
        <w:jc w:val="center"/>
      </w:pPr>
      <w:r>
        <w:object w:dxaOrig="6009" w:dyaOrig="5172" w14:anchorId="0F3754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9.85pt;height:120.7pt" o:ole="">
            <v:imagedata r:id="rId16" o:title=""/>
          </v:shape>
          <o:OLEObject Type="Embed" ProgID="Prism8.Document" ShapeID="_x0000_i1025" DrawAspect="Content" ObjectID="_1776407096" r:id="rId17"/>
        </w:object>
      </w:r>
    </w:p>
    <w:p w14:paraId="21232388" w14:textId="64D69C25" w:rsidR="009B5DB6" w:rsidRDefault="009B5DB6" w:rsidP="009B5DB6">
      <w:pPr>
        <w:spacing w:line="360" w:lineRule="auto"/>
        <w:jc w:val="left"/>
      </w:pPr>
      <w:bookmarkStart w:id="3" w:name="_Hlk165763049"/>
      <w:r w:rsidRPr="002D6A74">
        <w:rPr>
          <w:rFonts w:hint="eastAsia"/>
          <w:b/>
          <w:bCs/>
        </w:rPr>
        <w:t>S</w:t>
      </w:r>
      <w:r w:rsidRPr="002D6A74">
        <w:rPr>
          <w:b/>
          <w:bCs/>
        </w:rPr>
        <w:t>upplementary Figure 1</w:t>
      </w:r>
      <w:r w:rsidRPr="002D6A74">
        <w:rPr>
          <w:rFonts w:hint="eastAsia"/>
          <w:b/>
          <w:bCs/>
        </w:rPr>
        <w:t>1</w:t>
      </w:r>
      <w:r w:rsidRPr="002D6A74">
        <w:rPr>
          <w:b/>
          <w:bCs/>
        </w:rPr>
        <w:t>|</w:t>
      </w:r>
      <w:r w:rsidRPr="002D6A74">
        <w:rPr>
          <w:rFonts w:hint="eastAsia"/>
          <w:b/>
          <w:bCs/>
        </w:rPr>
        <w:t xml:space="preserve"> </w:t>
      </w:r>
      <w:r>
        <w:rPr>
          <w:rFonts w:cs="Arial" w:hint="eastAsia"/>
          <w:b/>
          <w:bCs/>
          <w:sz w:val="20"/>
          <w:szCs w:val="20"/>
        </w:rPr>
        <w:t>C</w:t>
      </w:r>
      <w:r w:rsidRPr="009B5DB6">
        <w:rPr>
          <w:rFonts w:cs="Arial"/>
          <w:b/>
          <w:bCs/>
          <w:sz w:val="20"/>
          <w:szCs w:val="20"/>
        </w:rPr>
        <w:t>olitis scores</w:t>
      </w:r>
      <w:r w:rsidRPr="002D6A74">
        <w:rPr>
          <w:rFonts w:cs="Arial" w:hint="eastAsia"/>
          <w:b/>
          <w:bCs/>
          <w:sz w:val="20"/>
          <w:szCs w:val="20"/>
        </w:rPr>
        <w:t xml:space="preserve"> of </w:t>
      </w:r>
      <w:r w:rsidRPr="009B5DB6">
        <w:rPr>
          <w:rFonts w:cs="Arial"/>
          <w:b/>
          <w:bCs/>
          <w:sz w:val="20"/>
          <w:szCs w:val="20"/>
        </w:rPr>
        <w:t>HE staining of the colon</w:t>
      </w:r>
      <w:r w:rsidRPr="002D6A74">
        <w:rPr>
          <w:rFonts w:cs="Arial" w:hint="eastAsia"/>
          <w:b/>
          <w:bCs/>
          <w:sz w:val="20"/>
          <w:szCs w:val="20"/>
        </w:rPr>
        <w:t xml:space="preserve"> </w:t>
      </w:r>
      <w:r>
        <w:rPr>
          <w:rFonts w:cs="Arial" w:hint="eastAsia"/>
          <w:b/>
          <w:bCs/>
          <w:sz w:val="20"/>
          <w:szCs w:val="20"/>
        </w:rPr>
        <w:t>in</w:t>
      </w:r>
      <w:r w:rsidRPr="002D6A74">
        <w:rPr>
          <w:rFonts w:cs="Arial" w:hint="eastAsia"/>
          <w:b/>
          <w:bCs/>
          <w:sz w:val="20"/>
          <w:szCs w:val="20"/>
        </w:rPr>
        <w:t xml:space="preserve"> Figure 5</w:t>
      </w:r>
      <w:r>
        <w:rPr>
          <w:rFonts w:cs="Arial" w:hint="eastAsia"/>
          <w:b/>
          <w:bCs/>
          <w:sz w:val="20"/>
          <w:szCs w:val="20"/>
        </w:rPr>
        <w:t>e</w:t>
      </w:r>
      <w:r w:rsidRPr="002D6A74">
        <w:rPr>
          <w:rFonts w:cs="Arial" w:hint="eastAsia"/>
          <w:b/>
          <w:bCs/>
          <w:sz w:val="20"/>
          <w:szCs w:val="20"/>
        </w:rPr>
        <w:t>.</w:t>
      </w:r>
      <w:bookmarkEnd w:id="3"/>
      <w:r w:rsidRPr="002D6A74">
        <w:rPr>
          <w:rFonts w:cs="Arial" w:hint="eastAsia"/>
          <w:sz w:val="20"/>
          <w:szCs w:val="20"/>
        </w:rPr>
        <w:t xml:space="preserve"> </w:t>
      </w:r>
      <w:bookmarkStart w:id="4" w:name="_Hlk165763201"/>
      <w:r>
        <w:rPr>
          <w:rFonts w:cs="Arial" w:hint="eastAsia"/>
          <w:sz w:val="20"/>
          <w:szCs w:val="20"/>
        </w:rPr>
        <w:t>P</w:t>
      </w:r>
      <w:r w:rsidRPr="009B5DB6">
        <w:rPr>
          <w:rFonts w:cs="Arial"/>
          <w:sz w:val="20"/>
          <w:szCs w:val="20"/>
        </w:rPr>
        <w:t>athological</w:t>
      </w:r>
      <w:r w:rsidRPr="009B5DB6">
        <w:rPr>
          <w:rFonts w:cs="Arial" w:hint="eastAsia"/>
          <w:sz w:val="20"/>
          <w:szCs w:val="20"/>
        </w:rPr>
        <w:t xml:space="preserve"> </w:t>
      </w:r>
      <w:r>
        <w:rPr>
          <w:rFonts w:cs="Arial" w:hint="eastAsia"/>
          <w:sz w:val="20"/>
          <w:szCs w:val="20"/>
        </w:rPr>
        <w:t>injures (c</w:t>
      </w:r>
      <w:r w:rsidRPr="009B5DB6">
        <w:rPr>
          <w:rFonts w:cs="Arial"/>
          <w:sz w:val="20"/>
          <w:szCs w:val="20"/>
        </w:rPr>
        <w:t>rypt damage</w:t>
      </w:r>
      <w:r>
        <w:rPr>
          <w:rFonts w:cs="Arial" w:hint="eastAsia"/>
          <w:sz w:val="20"/>
          <w:szCs w:val="20"/>
        </w:rPr>
        <w:t xml:space="preserve">, </w:t>
      </w:r>
      <w:r w:rsidRPr="009B5DB6">
        <w:rPr>
          <w:rFonts w:cs="Arial"/>
          <w:sz w:val="20"/>
          <w:szCs w:val="20"/>
        </w:rPr>
        <w:t>inflammation</w:t>
      </w:r>
      <w:r>
        <w:rPr>
          <w:rFonts w:cs="Arial" w:hint="eastAsia"/>
          <w:sz w:val="20"/>
          <w:szCs w:val="20"/>
        </w:rPr>
        <w:t>, and u</w:t>
      </w:r>
      <w:r w:rsidRPr="009B5DB6">
        <w:rPr>
          <w:rFonts w:cs="Arial"/>
          <w:sz w:val="20"/>
          <w:szCs w:val="20"/>
        </w:rPr>
        <w:t>lceration</w:t>
      </w:r>
      <w:r>
        <w:rPr>
          <w:rFonts w:cs="Arial" w:hint="eastAsia"/>
          <w:sz w:val="20"/>
          <w:szCs w:val="20"/>
        </w:rPr>
        <w:t>)</w:t>
      </w:r>
      <w:r w:rsidRPr="009B5DB6">
        <w:rPr>
          <w:rFonts w:cs="Arial"/>
          <w:sz w:val="20"/>
          <w:szCs w:val="20"/>
        </w:rPr>
        <w:t xml:space="preserve"> were assigned scores</w:t>
      </w:r>
      <w:r w:rsidRPr="009B5DB6">
        <w:rPr>
          <w:rFonts w:cs="Arial" w:hint="eastAsia"/>
          <w:sz w:val="20"/>
          <w:szCs w:val="20"/>
        </w:rPr>
        <w:t xml:space="preserve"> </w:t>
      </w:r>
      <w:r w:rsidRPr="009B5DB6">
        <w:rPr>
          <w:rFonts w:cs="Arial"/>
          <w:sz w:val="20"/>
          <w:szCs w:val="20"/>
        </w:rPr>
        <w:t>on a 0-3 scale</w:t>
      </w:r>
      <w:r>
        <w:rPr>
          <w:rFonts w:cs="Arial" w:hint="eastAsia"/>
          <w:sz w:val="20"/>
          <w:szCs w:val="20"/>
        </w:rPr>
        <w:t>.</w:t>
      </w:r>
      <w:bookmarkEnd w:id="4"/>
      <w:r w:rsidRPr="009B5DB6">
        <w:rPr>
          <w:rFonts w:cs="Arial" w:hint="eastAsia"/>
          <w:sz w:val="20"/>
          <w:szCs w:val="20"/>
        </w:rPr>
        <w:t xml:space="preserve"> </w:t>
      </w:r>
      <w:r w:rsidRPr="00601508">
        <w:rPr>
          <w:rFonts w:cs="Arial"/>
          <w:sz w:val="20"/>
          <w:szCs w:val="20"/>
        </w:rPr>
        <w:t xml:space="preserve">N = </w:t>
      </w:r>
      <w:r>
        <w:rPr>
          <w:rFonts w:cs="Arial" w:hint="eastAsia"/>
          <w:sz w:val="20"/>
          <w:szCs w:val="20"/>
        </w:rPr>
        <w:t>6</w:t>
      </w:r>
      <w:r w:rsidRPr="00601508">
        <w:rPr>
          <w:rFonts w:cs="Arial"/>
          <w:sz w:val="20"/>
          <w:szCs w:val="20"/>
        </w:rPr>
        <w:t>. Statistical test was performed using Student’s t-test: *, p &lt; 0.05; *</w:t>
      </w:r>
      <w:r>
        <w:rPr>
          <w:rFonts w:cs="Arial" w:hint="eastAsia"/>
          <w:sz w:val="20"/>
          <w:szCs w:val="20"/>
        </w:rPr>
        <w:t>*</w:t>
      </w:r>
      <w:r w:rsidRPr="00601508">
        <w:rPr>
          <w:rFonts w:cs="Arial"/>
          <w:sz w:val="20"/>
          <w:szCs w:val="20"/>
        </w:rPr>
        <w:t>*, p &lt; 0.0</w:t>
      </w:r>
      <w:r>
        <w:rPr>
          <w:rFonts w:cs="Arial" w:hint="eastAsia"/>
          <w:sz w:val="20"/>
          <w:szCs w:val="20"/>
        </w:rPr>
        <w:t>0</w:t>
      </w:r>
      <w:r w:rsidRPr="00601508">
        <w:rPr>
          <w:rFonts w:cs="Arial"/>
          <w:sz w:val="20"/>
          <w:szCs w:val="20"/>
        </w:rPr>
        <w:t>1</w:t>
      </w:r>
      <w:r>
        <w:rPr>
          <w:rFonts w:cs="Arial" w:hint="eastAsia"/>
          <w:sz w:val="20"/>
          <w:szCs w:val="20"/>
        </w:rPr>
        <w:t>.</w:t>
      </w:r>
    </w:p>
    <w:p w14:paraId="5C296723" w14:textId="77777777" w:rsidR="009B5DB6" w:rsidRPr="009B5DB6" w:rsidRDefault="009B5DB6" w:rsidP="009B5DB6">
      <w:pPr>
        <w:spacing w:line="360" w:lineRule="auto"/>
        <w:jc w:val="center"/>
      </w:pPr>
    </w:p>
    <w:p w14:paraId="46D6B956" w14:textId="6AB90A36" w:rsidR="009B5DB6" w:rsidRDefault="008759CF" w:rsidP="00601508">
      <w:pPr>
        <w:spacing w:line="360" w:lineRule="auto"/>
        <w:jc w:val="center"/>
        <w:rPr>
          <w:b/>
          <w:bCs/>
          <w:highlight w:val="yellow"/>
        </w:rPr>
      </w:pPr>
      <w:r>
        <w:rPr>
          <w:noProof/>
        </w:rPr>
        <w:drawing>
          <wp:inline distT="0" distB="0" distL="0" distR="0" wp14:anchorId="00D17D63" wp14:editId="681DE3AC">
            <wp:extent cx="4320000" cy="1440000"/>
            <wp:effectExtent l="0" t="0" r="4445" b="8255"/>
            <wp:docPr id="159735660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08051" w14:textId="295592AC" w:rsidR="00601508" w:rsidRDefault="00601508" w:rsidP="00601508">
      <w:pPr>
        <w:spacing w:line="360" w:lineRule="auto"/>
        <w:jc w:val="left"/>
      </w:pPr>
      <w:bookmarkStart w:id="5" w:name="_Hlk162954346"/>
      <w:r w:rsidRPr="002D6A74">
        <w:rPr>
          <w:rFonts w:hint="eastAsia"/>
          <w:b/>
          <w:bCs/>
        </w:rPr>
        <w:t>S</w:t>
      </w:r>
      <w:r w:rsidRPr="002D6A74">
        <w:rPr>
          <w:b/>
          <w:bCs/>
        </w:rPr>
        <w:t>upplementary Figure 1</w:t>
      </w:r>
      <w:r w:rsidR="009B5DB6">
        <w:rPr>
          <w:rFonts w:hint="eastAsia"/>
          <w:b/>
          <w:bCs/>
        </w:rPr>
        <w:t>2</w:t>
      </w:r>
      <w:r w:rsidRPr="002D6A74">
        <w:rPr>
          <w:b/>
          <w:bCs/>
        </w:rPr>
        <w:t>|</w:t>
      </w:r>
      <w:r w:rsidRPr="002D6A74">
        <w:rPr>
          <w:rFonts w:hint="eastAsia"/>
          <w:b/>
          <w:bCs/>
        </w:rPr>
        <w:t xml:space="preserve"> </w:t>
      </w:r>
      <w:r w:rsidRPr="002D6A74">
        <w:rPr>
          <w:rFonts w:cs="Arial"/>
          <w:b/>
          <w:bCs/>
          <w:sz w:val="20"/>
          <w:szCs w:val="20"/>
        </w:rPr>
        <w:t>Quantitative analysis</w:t>
      </w:r>
      <w:r w:rsidRPr="002D6A74">
        <w:rPr>
          <w:rFonts w:cs="Arial" w:hint="eastAsia"/>
          <w:b/>
          <w:bCs/>
          <w:sz w:val="20"/>
          <w:szCs w:val="20"/>
        </w:rPr>
        <w:t xml:space="preserve"> of the western blot of Figure 5f.</w:t>
      </w:r>
      <w:r w:rsidRPr="002D6A74">
        <w:rPr>
          <w:rFonts w:cs="Arial" w:hint="eastAsia"/>
          <w:sz w:val="20"/>
          <w:szCs w:val="20"/>
        </w:rPr>
        <w:t xml:space="preserve"> The</w:t>
      </w:r>
      <w:r w:rsidRPr="002D6A74">
        <w:rPr>
          <w:rFonts w:cs="Arial"/>
          <w:sz w:val="20"/>
          <w:szCs w:val="20"/>
        </w:rPr>
        <w:t xml:space="preserve"> </w:t>
      </w:r>
      <w:r w:rsidRPr="002D6A74">
        <w:rPr>
          <w:rFonts w:cs="Arial" w:hint="eastAsia"/>
          <w:sz w:val="20"/>
          <w:szCs w:val="20"/>
        </w:rPr>
        <w:t>data was the</w:t>
      </w:r>
      <w:r>
        <w:rPr>
          <w:rFonts w:cs="Arial" w:hint="eastAsia"/>
          <w:sz w:val="20"/>
          <w:szCs w:val="20"/>
        </w:rPr>
        <w:t xml:space="preserve"> </w:t>
      </w:r>
      <w:r w:rsidRPr="00BC0733">
        <w:rPr>
          <w:rFonts w:cs="Arial"/>
          <w:sz w:val="20"/>
          <w:szCs w:val="20"/>
        </w:rPr>
        <w:t>densitometry</w:t>
      </w:r>
      <w:r>
        <w:rPr>
          <w:rFonts w:cs="Arial" w:hint="eastAsia"/>
          <w:sz w:val="20"/>
          <w:szCs w:val="20"/>
        </w:rPr>
        <w:t xml:space="preserve"> ratio of</w:t>
      </w:r>
      <w:r w:rsidRPr="00601508">
        <w:t xml:space="preserve"> </w:t>
      </w:r>
      <w:r w:rsidRPr="00601508">
        <w:rPr>
          <w:rFonts w:cs="Arial"/>
          <w:sz w:val="20"/>
          <w:szCs w:val="20"/>
        </w:rPr>
        <w:t>the interest protein</w:t>
      </w:r>
      <w:r>
        <w:rPr>
          <w:rFonts w:cs="Arial" w:hint="eastAsia"/>
          <w:sz w:val="20"/>
          <w:szCs w:val="20"/>
        </w:rPr>
        <w:t xml:space="preserve"> and </w:t>
      </w:r>
      <w:r w:rsidRPr="00BC0733">
        <w:rPr>
          <w:rFonts w:cs="Arial"/>
          <w:sz w:val="20"/>
          <w:szCs w:val="20"/>
        </w:rPr>
        <w:t xml:space="preserve">β-actin. </w:t>
      </w:r>
      <w:r w:rsidRPr="00601508">
        <w:rPr>
          <w:rFonts w:cs="Arial"/>
          <w:sz w:val="20"/>
          <w:szCs w:val="20"/>
        </w:rPr>
        <w:t xml:space="preserve">N = </w:t>
      </w:r>
      <w:r>
        <w:rPr>
          <w:rFonts w:cs="Arial" w:hint="eastAsia"/>
          <w:sz w:val="20"/>
          <w:szCs w:val="20"/>
        </w:rPr>
        <w:t>3</w:t>
      </w:r>
      <w:r w:rsidRPr="00601508">
        <w:rPr>
          <w:rFonts w:cs="Arial"/>
          <w:sz w:val="20"/>
          <w:szCs w:val="20"/>
        </w:rPr>
        <w:t>. Statistical test was performed using Student’s t-test: *, p &lt; 0.05; **, p &lt; 0.01</w:t>
      </w:r>
      <w:r>
        <w:rPr>
          <w:rFonts w:cs="Arial" w:hint="eastAsia"/>
          <w:sz w:val="20"/>
          <w:szCs w:val="20"/>
        </w:rPr>
        <w:t>.</w:t>
      </w:r>
      <w:bookmarkEnd w:id="5"/>
    </w:p>
    <w:p w14:paraId="05DC3175" w14:textId="6F4EEE6A" w:rsidR="00A715BB" w:rsidRPr="00601508" w:rsidRDefault="008759CF" w:rsidP="008759CF">
      <w:pPr>
        <w:spacing w:line="360" w:lineRule="auto"/>
        <w:jc w:val="center"/>
      </w:pPr>
      <w:r>
        <w:rPr>
          <w:noProof/>
        </w:rPr>
        <w:drawing>
          <wp:inline distT="0" distB="0" distL="0" distR="0" wp14:anchorId="18FE087A" wp14:editId="17E7871C">
            <wp:extent cx="1779270" cy="1259205"/>
            <wp:effectExtent l="0" t="0" r="0" b="0"/>
            <wp:docPr id="59308497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54FA2" w14:textId="0BEBE2DC" w:rsidR="00C0719B" w:rsidRDefault="00C0719B" w:rsidP="00DD2F43">
      <w:pPr>
        <w:spacing w:line="360" w:lineRule="auto"/>
        <w:jc w:val="left"/>
      </w:pPr>
    </w:p>
    <w:p w14:paraId="22DDCB13" w14:textId="4F9F21B4" w:rsidR="00C0719B" w:rsidRPr="00D15607" w:rsidRDefault="005725B4" w:rsidP="00D15607">
      <w:pPr>
        <w:spacing w:line="360" w:lineRule="auto"/>
        <w:jc w:val="left"/>
        <w:rPr>
          <w:b/>
          <w:bCs/>
        </w:rPr>
      </w:pPr>
      <w:r w:rsidRPr="008759CF">
        <w:rPr>
          <w:rFonts w:hint="eastAsia"/>
          <w:b/>
          <w:bCs/>
        </w:rPr>
        <w:t>S</w:t>
      </w:r>
      <w:r w:rsidRPr="008759CF">
        <w:rPr>
          <w:b/>
          <w:bCs/>
        </w:rPr>
        <w:t>upplementary Figure 1</w:t>
      </w:r>
      <w:r w:rsidR="00A819D1">
        <w:rPr>
          <w:rFonts w:hint="eastAsia"/>
          <w:b/>
          <w:bCs/>
        </w:rPr>
        <w:t>3</w:t>
      </w:r>
      <w:r w:rsidRPr="008759CF">
        <w:rPr>
          <w:b/>
          <w:bCs/>
        </w:rPr>
        <w:t xml:space="preserve">| </w:t>
      </w:r>
      <w:r w:rsidR="00D15607" w:rsidRPr="008759CF">
        <w:rPr>
          <w:b/>
          <w:bCs/>
        </w:rPr>
        <w:t>Venn plot showing the overlap between our gut virus catalogue and the existing gut virus catalogues.</w:t>
      </w:r>
    </w:p>
    <w:p w14:paraId="64EC8465" w14:textId="77777777" w:rsidR="00D15607" w:rsidRPr="00D15607" w:rsidRDefault="00D15607" w:rsidP="00D15607">
      <w:pPr>
        <w:spacing w:line="360" w:lineRule="auto"/>
        <w:jc w:val="left"/>
      </w:pPr>
    </w:p>
    <w:sectPr w:rsidR="00D15607" w:rsidRPr="00D15607" w:rsidSect="006464A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9769C3" w14:textId="77777777" w:rsidR="006464A7" w:rsidRDefault="006464A7" w:rsidP="00E83670">
      <w:r>
        <w:separator/>
      </w:r>
    </w:p>
  </w:endnote>
  <w:endnote w:type="continuationSeparator" w:id="0">
    <w:p w14:paraId="1C064572" w14:textId="77777777" w:rsidR="006464A7" w:rsidRDefault="006464A7" w:rsidP="00E83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E02995" w14:textId="77777777" w:rsidR="006464A7" w:rsidRDefault="006464A7" w:rsidP="00E83670">
      <w:r>
        <w:separator/>
      </w:r>
    </w:p>
  </w:footnote>
  <w:footnote w:type="continuationSeparator" w:id="0">
    <w:p w14:paraId="57578F05" w14:textId="77777777" w:rsidR="006464A7" w:rsidRDefault="006464A7" w:rsidP="00E836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B2"/>
    <w:rsid w:val="00010636"/>
    <w:rsid w:val="00034C9F"/>
    <w:rsid w:val="00050D29"/>
    <w:rsid w:val="000A6CE1"/>
    <w:rsid w:val="000F07A7"/>
    <w:rsid w:val="00143555"/>
    <w:rsid w:val="00173C27"/>
    <w:rsid w:val="001B1919"/>
    <w:rsid w:val="001C2D56"/>
    <w:rsid w:val="001C5889"/>
    <w:rsid w:val="001C7A25"/>
    <w:rsid w:val="001F1A5D"/>
    <w:rsid w:val="00200E58"/>
    <w:rsid w:val="00203E8D"/>
    <w:rsid w:val="00244811"/>
    <w:rsid w:val="002578D8"/>
    <w:rsid w:val="002B3558"/>
    <w:rsid w:val="002B4053"/>
    <w:rsid w:val="002C4685"/>
    <w:rsid w:val="002D6A74"/>
    <w:rsid w:val="002E400B"/>
    <w:rsid w:val="002F2112"/>
    <w:rsid w:val="002F7DF9"/>
    <w:rsid w:val="00311E23"/>
    <w:rsid w:val="00316968"/>
    <w:rsid w:val="003472C2"/>
    <w:rsid w:val="00347581"/>
    <w:rsid w:val="00351CD5"/>
    <w:rsid w:val="00366A73"/>
    <w:rsid w:val="003F6478"/>
    <w:rsid w:val="00407238"/>
    <w:rsid w:val="00417793"/>
    <w:rsid w:val="004474B1"/>
    <w:rsid w:val="00461119"/>
    <w:rsid w:val="00495F39"/>
    <w:rsid w:val="004E0852"/>
    <w:rsid w:val="004E1975"/>
    <w:rsid w:val="005317FD"/>
    <w:rsid w:val="00534A43"/>
    <w:rsid w:val="00542B8D"/>
    <w:rsid w:val="005725B4"/>
    <w:rsid w:val="005A03E2"/>
    <w:rsid w:val="005E766B"/>
    <w:rsid w:val="00601508"/>
    <w:rsid w:val="00604E8B"/>
    <w:rsid w:val="00610B35"/>
    <w:rsid w:val="00623E59"/>
    <w:rsid w:val="0064038C"/>
    <w:rsid w:val="006464A7"/>
    <w:rsid w:val="00646A7F"/>
    <w:rsid w:val="0067722E"/>
    <w:rsid w:val="00683F41"/>
    <w:rsid w:val="006A0EB2"/>
    <w:rsid w:val="006F4AB2"/>
    <w:rsid w:val="00707EE9"/>
    <w:rsid w:val="0071339B"/>
    <w:rsid w:val="00752D25"/>
    <w:rsid w:val="00781491"/>
    <w:rsid w:val="007D5C26"/>
    <w:rsid w:val="007D7E6F"/>
    <w:rsid w:val="007F1D0F"/>
    <w:rsid w:val="00806C5A"/>
    <w:rsid w:val="00827DD7"/>
    <w:rsid w:val="008315AD"/>
    <w:rsid w:val="00834561"/>
    <w:rsid w:val="0085159B"/>
    <w:rsid w:val="008759CF"/>
    <w:rsid w:val="00893105"/>
    <w:rsid w:val="00893367"/>
    <w:rsid w:val="008A21AE"/>
    <w:rsid w:val="008C2377"/>
    <w:rsid w:val="008C3653"/>
    <w:rsid w:val="008C3F05"/>
    <w:rsid w:val="0094612D"/>
    <w:rsid w:val="00951348"/>
    <w:rsid w:val="009661EB"/>
    <w:rsid w:val="00987D41"/>
    <w:rsid w:val="009A3AF0"/>
    <w:rsid w:val="009B5DB6"/>
    <w:rsid w:val="009D38B2"/>
    <w:rsid w:val="009D49BD"/>
    <w:rsid w:val="009E286A"/>
    <w:rsid w:val="009E566A"/>
    <w:rsid w:val="00A0179B"/>
    <w:rsid w:val="00A24763"/>
    <w:rsid w:val="00A2481F"/>
    <w:rsid w:val="00A65F50"/>
    <w:rsid w:val="00A715BB"/>
    <w:rsid w:val="00A768F1"/>
    <w:rsid w:val="00A819D1"/>
    <w:rsid w:val="00AB41A8"/>
    <w:rsid w:val="00B52C3B"/>
    <w:rsid w:val="00B701A3"/>
    <w:rsid w:val="00B768DD"/>
    <w:rsid w:val="00B83747"/>
    <w:rsid w:val="00B94C06"/>
    <w:rsid w:val="00BC25B3"/>
    <w:rsid w:val="00BD3F3A"/>
    <w:rsid w:val="00BE5DE1"/>
    <w:rsid w:val="00C0719B"/>
    <w:rsid w:val="00C318AA"/>
    <w:rsid w:val="00C469C1"/>
    <w:rsid w:val="00C72E10"/>
    <w:rsid w:val="00C87B2C"/>
    <w:rsid w:val="00CA1F89"/>
    <w:rsid w:val="00CA4388"/>
    <w:rsid w:val="00D15607"/>
    <w:rsid w:val="00D91ACC"/>
    <w:rsid w:val="00DC3370"/>
    <w:rsid w:val="00DD2F43"/>
    <w:rsid w:val="00E610DF"/>
    <w:rsid w:val="00E83670"/>
    <w:rsid w:val="00EA0C6C"/>
    <w:rsid w:val="00EC029D"/>
    <w:rsid w:val="00F304EA"/>
    <w:rsid w:val="00F672DD"/>
    <w:rsid w:val="00FC69C0"/>
    <w:rsid w:val="00FF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92F075"/>
  <w14:defaultImageDpi w14:val="32767"/>
  <w15:chartTrackingRefBased/>
  <w15:docId w15:val="{4DA24002-2D31-42C9-B4AC-2659B921F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15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367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36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36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36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2.tif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oleObject" Target="embeddings/oleObject1.bin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19" Type="http://schemas.openxmlformats.org/officeDocument/2006/relationships/image" Target="media/image13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700</Words>
  <Characters>3995</Characters>
  <Application>Microsoft Office Word</Application>
  <DocSecurity>0</DocSecurity>
  <Lines>33</Lines>
  <Paragraphs>9</Paragraphs>
  <ScaleCrop>false</ScaleCrop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Shenghui</dc:creator>
  <cp:keywords/>
  <dc:description/>
  <cp:lastModifiedBy>HxK</cp:lastModifiedBy>
  <cp:revision>124</cp:revision>
  <dcterms:created xsi:type="dcterms:W3CDTF">2023-06-07T09:54:00Z</dcterms:created>
  <dcterms:modified xsi:type="dcterms:W3CDTF">2024-05-05T01:38:00Z</dcterms:modified>
</cp:coreProperties>
</file>