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D015DA" w14:textId="0438FE8C" w:rsidR="000B42D0" w:rsidRPr="000B42D0" w:rsidRDefault="000B42D0" w:rsidP="000B42D0">
      <w:pPr>
        <w:spacing w:after="0" w:line="480" w:lineRule="auto"/>
        <w:jc w:val="both"/>
        <w:rPr>
          <w:rFonts w:ascii="Times New Roman" w:eastAsia="Times New Roman" w:hAnsi="Times New Roman" w:cs="Times New Roman"/>
          <w:sz w:val="24"/>
          <w:szCs w:val="24"/>
        </w:rPr>
      </w:pPr>
      <w:r w:rsidRPr="000B42D0">
        <w:rPr>
          <w:rFonts w:ascii="Times New Roman" w:eastAsia="Times New Roman" w:hAnsi="Times New Roman" w:cs="Times New Roman"/>
          <w:sz w:val="24"/>
          <w:szCs w:val="24"/>
        </w:rPr>
        <w:t>The exclusion criteria</w:t>
      </w:r>
      <w:r>
        <w:rPr>
          <w:rFonts w:ascii="Times New Roman" w:eastAsia="Times New Roman" w:hAnsi="Times New Roman" w:cs="Times New Roman"/>
          <w:sz w:val="24"/>
          <w:szCs w:val="24"/>
        </w:rPr>
        <w:t xml:space="preserve"> for patients with CD applied in the original study (manuscript under review)</w:t>
      </w:r>
      <w:r w:rsidRPr="000B42D0">
        <w:rPr>
          <w:rFonts w:ascii="Times New Roman" w:eastAsia="Times New Roman" w:hAnsi="Times New Roman" w:cs="Times New Roman"/>
          <w:sz w:val="24"/>
          <w:szCs w:val="24"/>
        </w:rPr>
        <w:t>.</w:t>
      </w:r>
    </w:p>
    <w:tbl>
      <w:tblPr>
        <w:tblStyle w:val="TableGrid1"/>
        <w:tblW w:w="0" w:type="auto"/>
        <w:tblLook w:val="04A0" w:firstRow="1" w:lastRow="0" w:firstColumn="1" w:lastColumn="0" w:noHBand="0" w:noVBand="1"/>
      </w:tblPr>
      <w:tblGrid>
        <w:gridCol w:w="4673"/>
        <w:gridCol w:w="4677"/>
      </w:tblGrid>
      <w:tr w:rsidR="000B42D0" w:rsidRPr="000B42D0" w14:paraId="55122AE0" w14:textId="77777777" w:rsidTr="00E97F29">
        <w:tc>
          <w:tcPr>
            <w:tcW w:w="4814" w:type="dxa"/>
          </w:tcPr>
          <w:p w14:paraId="1EE32357" w14:textId="77777777" w:rsidR="000B42D0" w:rsidRPr="000B42D0" w:rsidRDefault="000B42D0" w:rsidP="000B42D0">
            <w:pPr>
              <w:spacing w:line="276" w:lineRule="auto"/>
              <w:jc w:val="both"/>
              <w:rPr>
                <w:rFonts w:ascii="Times New Roman" w:eastAsia="Times New Roman" w:hAnsi="Times New Roman" w:cs="Times New Roman"/>
                <w:b/>
                <w:bCs/>
                <w:sz w:val="24"/>
                <w:szCs w:val="24"/>
              </w:rPr>
            </w:pPr>
            <w:r w:rsidRPr="000B42D0">
              <w:rPr>
                <w:rFonts w:ascii="Times New Roman" w:eastAsia="Times New Roman" w:hAnsi="Times New Roman" w:cs="Times New Roman"/>
                <w:b/>
                <w:bCs/>
                <w:sz w:val="24"/>
                <w:szCs w:val="24"/>
              </w:rPr>
              <w:t>Exclusion criteria for patients with CD</w:t>
            </w:r>
          </w:p>
        </w:tc>
        <w:tc>
          <w:tcPr>
            <w:tcW w:w="4814" w:type="dxa"/>
          </w:tcPr>
          <w:p w14:paraId="0ACF7D9A" w14:textId="77777777" w:rsidR="000B42D0" w:rsidRPr="000B42D0" w:rsidRDefault="000B42D0" w:rsidP="000B42D0">
            <w:pPr>
              <w:spacing w:line="276" w:lineRule="auto"/>
              <w:jc w:val="both"/>
              <w:rPr>
                <w:rFonts w:ascii="Times New Roman" w:eastAsia="Times New Roman" w:hAnsi="Times New Roman" w:cs="Times New Roman"/>
                <w:b/>
                <w:bCs/>
                <w:sz w:val="24"/>
                <w:szCs w:val="24"/>
              </w:rPr>
            </w:pPr>
            <w:r w:rsidRPr="000B42D0">
              <w:rPr>
                <w:rFonts w:ascii="Times New Roman" w:eastAsia="Times New Roman" w:hAnsi="Times New Roman" w:cs="Times New Roman"/>
                <w:b/>
                <w:bCs/>
                <w:sz w:val="24"/>
                <w:szCs w:val="24"/>
              </w:rPr>
              <w:t>Details</w:t>
            </w:r>
          </w:p>
        </w:tc>
      </w:tr>
      <w:tr w:rsidR="000B42D0" w:rsidRPr="000B42D0" w14:paraId="3A515EB5" w14:textId="77777777" w:rsidTr="00E97F29">
        <w:tc>
          <w:tcPr>
            <w:tcW w:w="4814" w:type="dxa"/>
          </w:tcPr>
          <w:p w14:paraId="3503BA7A" w14:textId="77777777" w:rsidR="000B42D0" w:rsidRPr="000B42D0" w:rsidRDefault="000B42D0" w:rsidP="000B42D0">
            <w:pPr>
              <w:spacing w:line="276" w:lineRule="auto"/>
              <w:jc w:val="both"/>
              <w:rPr>
                <w:rFonts w:ascii="Times New Roman" w:eastAsia="Times New Roman" w:hAnsi="Times New Roman" w:cs="Times New Roman"/>
                <w:sz w:val="24"/>
                <w:szCs w:val="24"/>
              </w:rPr>
            </w:pPr>
            <w:r w:rsidRPr="000B42D0">
              <w:rPr>
                <w:rFonts w:ascii="Times New Roman" w:eastAsia="Times New Roman" w:hAnsi="Times New Roman" w:cs="Times New Roman"/>
                <w:sz w:val="24"/>
                <w:szCs w:val="24"/>
              </w:rPr>
              <w:t>Gastrointestinal conditions or abnormalities</w:t>
            </w:r>
          </w:p>
        </w:tc>
        <w:tc>
          <w:tcPr>
            <w:tcW w:w="4814" w:type="dxa"/>
          </w:tcPr>
          <w:p w14:paraId="6B15B1C2" w14:textId="77777777" w:rsidR="000B42D0" w:rsidRPr="000B42D0" w:rsidRDefault="000B42D0" w:rsidP="000B42D0">
            <w:pPr>
              <w:spacing w:line="276" w:lineRule="auto"/>
              <w:jc w:val="both"/>
              <w:rPr>
                <w:rFonts w:ascii="Times New Roman" w:eastAsia="Times New Roman" w:hAnsi="Times New Roman" w:cs="Times New Roman"/>
                <w:i/>
                <w:iCs/>
                <w:sz w:val="24"/>
                <w:szCs w:val="24"/>
              </w:rPr>
            </w:pPr>
            <w:r w:rsidRPr="000B42D0">
              <w:rPr>
                <w:rFonts w:ascii="Times New Roman" w:eastAsia="Times New Roman" w:hAnsi="Times New Roman" w:cs="Times New Roman"/>
                <w:i/>
                <w:iCs/>
                <w:sz w:val="24"/>
                <w:szCs w:val="24"/>
              </w:rPr>
              <w:t>Ulcerative colitis, celiac disease, abdominal abscess, symptomatic intestinal stricture, or altered anatomy (prior total colectomy or proctocolectomy or anticipated colectomy during the study period and presence of ileal pouch or ostomy)</w:t>
            </w:r>
          </w:p>
        </w:tc>
      </w:tr>
      <w:tr w:rsidR="000B42D0" w:rsidRPr="000B42D0" w14:paraId="429ACB25" w14:textId="77777777" w:rsidTr="00E97F29">
        <w:tc>
          <w:tcPr>
            <w:tcW w:w="4814" w:type="dxa"/>
          </w:tcPr>
          <w:p w14:paraId="5EAB09B6" w14:textId="77777777" w:rsidR="000B42D0" w:rsidRPr="000B42D0" w:rsidRDefault="000B42D0" w:rsidP="000B42D0">
            <w:pPr>
              <w:spacing w:line="276" w:lineRule="auto"/>
              <w:jc w:val="both"/>
              <w:rPr>
                <w:rFonts w:ascii="Times New Roman" w:eastAsia="Times New Roman" w:hAnsi="Times New Roman" w:cs="Times New Roman"/>
                <w:sz w:val="24"/>
                <w:szCs w:val="24"/>
              </w:rPr>
            </w:pPr>
            <w:r w:rsidRPr="000B42D0">
              <w:rPr>
                <w:rFonts w:ascii="Times New Roman" w:eastAsia="Times New Roman" w:hAnsi="Times New Roman" w:cs="Times New Roman"/>
                <w:sz w:val="24"/>
                <w:szCs w:val="24"/>
              </w:rPr>
              <w:t xml:space="preserve">Clinically meaningful laboratory abnormalities </w:t>
            </w:r>
          </w:p>
        </w:tc>
        <w:tc>
          <w:tcPr>
            <w:tcW w:w="4814" w:type="dxa"/>
          </w:tcPr>
          <w:p w14:paraId="62A081A7" w14:textId="77777777" w:rsidR="000B42D0" w:rsidRPr="000B42D0" w:rsidRDefault="000B42D0" w:rsidP="000B42D0">
            <w:pPr>
              <w:spacing w:line="276" w:lineRule="auto"/>
              <w:jc w:val="both"/>
              <w:rPr>
                <w:rFonts w:ascii="Times New Roman" w:eastAsia="Times New Roman" w:hAnsi="Times New Roman" w:cs="Times New Roman"/>
                <w:i/>
                <w:iCs/>
                <w:sz w:val="24"/>
                <w:szCs w:val="24"/>
              </w:rPr>
            </w:pPr>
            <w:r w:rsidRPr="000B42D0">
              <w:rPr>
                <w:rFonts w:ascii="Times New Roman" w:eastAsia="Times New Roman" w:hAnsi="Times New Roman" w:cs="Times New Roman"/>
                <w:i/>
                <w:iCs/>
                <w:sz w:val="24"/>
                <w:szCs w:val="24"/>
              </w:rPr>
              <w:t>Unstable or uncontrolled medical disorder, colonic dysplasia or adenoma, malignant neoplasms, or toxic megacolon</w:t>
            </w:r>
          </w:p>
        </w:tc>
      </w:tr>
      <w:tr w:rsidR="000B42D0" w:rsidRPr="000B42D0" w14:paraId="29A7840B" w14:textId="77777777" w:rsidTr="00E97F29">
        <w:tc>
          <w:tcPr>
            <w:tcW w:w="4814" w:type="dxa"/>
          </w:tcPr>
          <w:p w14:paraId="47701E5C" w14:textId="77777777" w:rsidR="000B42D0" w:rsidRPr="000B42D0" w:rsidRDefault="000B42D0" w:rsidP="000B42D0">
            <w:pPr>
              <w:spacing w:line="276" w:lineRule="auto"/>
              <w:jc w:val="both"/>
              <w:rPr>
                <w:rFonts w:ascii="Times New Roman" w:eastAsia="Times New Roman" w:hAnsi="Times New Roman" w:cs="Times New Roman"/>
                <w:sz w:val="24"/>
                <w:szCs w:val="24"/>
              </w:rPr>
            </w:pPr>
            <w:r w:rsidRPr="000B42D0">
              <w:rPr>
                <w:rFonts w:ascii="Times New Roman" w:eastAsia="Times New Roman" w:hAnsi="Times New Roman" w:cs="Times New Roman"/>
                <w:sz w:val="24"/>
                <w:szCs w:val="24"/>
              </w:rPr>
              <w:t>Laboratory abnormalities within 3 months prior to screening or during the screening period</w:t>
            </w:r>
          </w:p>
        </w:tc>
        <w:tc>
          <w:tcPr>
            <w:tcW w:w="4814" w:type="dxa"/>
          </w:tcPr>
          <w:p w14:paraId="33499A0C" w14:textId="77777777" w:rsidR="000B42D0" w:rsidRPr="000B42D0" w:rsidRDefault="000B42D0" w:rsidP="000B42D0">
            <w:pPr>
              <w:spacing w:line="276" w:lineRule="auto"/>
              <w:jc w:val="both"/>
              <w:rPr>
                <w:rFonts w:ascii="Times New Roman" w:eastAsia="Times New Roman" w:hAnsi="Times New Roman" w:cs="Times New Roman"/>
                <w:i/>
                <w:iCs/>
                <w:sz w:val="24"/>
                <w:szCs w:val="24"/>
              </w:rPr>
            </w:pPr>
            <w:r w:rsidRPr="000B42D0">
              <w:rPr>
                <w:rFonts w:ascii="Times New Roman" w:eastAsia="Times New Roman" w:hAnsi="Times New Roman" w:cs="Times New Roman"/>
                <w:i/>
                <w:iCs/>
                <w:sz w:val="24"/>
                <w:szCs w:val="24"/>
              </w:rPr>
              <w:t>Hemoglobin &lt; 8.0 g/dl or albumin &lt; 2.8g/dl</w:t>
            </w:r>
          </w:p>
        </w:tc>
      </w:tr>
      <w:tr w:rsidR="000B42D0" w:rsidRPr="000B42D0" w14:paraId="7433C60D" w14:textId="77777777" w:rsidTr="00E97F29">
        <w:tc>
          <w:tcPr>
            <w:tcW w:w="4814" w:type="dxa"/>
          </w:tcPr>
          <w:p w14:paraId="1A8170FE" w14:textId="77777777" w:rsidR="000B42D0" w:rsidRPr="000B42D0" w:rsidRDefault="000B42D0" w:rsidP="000B42D0">
            <w:pPr>
              <w:spacing w:line="276" w:lineRule="auto"/>
              <w:jc w:val="both"/>
              <w:rPr>
                <w:rFonts w:ascii="Times New Roman" w:eastAsia="Times New Roman" w:hAnsi="Times New Roman" w:cs="Times New Roman"/>
                <w:sz w:val="24"/>
                <w:szCs w:val="24"/>
              </w:rPr>
            </w:pPr>
            <w:r w:rsidRPr="000B42D0">
              <w:rPr>
                <w:rFonts w:ascii="Times New Roman" w:eastAsia="Times New Roman" w:hAnsi="Times New Roman" w:cs="Times New Roman"/>
                <w:sz w:val="24"/>
                <w:szCs w:val="24"/>
              </w:rPr>
              <w:t>Use of the following drugs within 2 months before screening</w:t>
            </w:r>
          </w:p>
        </w:tc>
        <w:tc>
          <w:tcPr>
            <w:tcW w:w="4814" w:type="dxa"/>
          </w:tcPr>
          <w:p w14:paraId="72D86F53" w14:textId="77777777" w:rsidR="000B42D0" w:rsidRPr="000B42D0" w:rsidRDefault="000B42D0" w:rsidP="000B42D0">
            <w:pPr>
              <w:spacing w:line="276" w:lineRule="auto"/>
              <w:jc w:val="both"/>
              <w:rPr>
                <w:rFonts w:ascii="Times New Roman" w:eastAsia="Times New Roman" w:hAnsi="Times New Roman" w:cs="Times New Roman"/>
                <w:i/>
                <w:iCs/>
                <w:sz w:val="24"/>
                <w:szCs w:val="24"/>
              </w:rPr>
            </w:pPr>
            <w:r w:rsidRPr="000B42D0">
              <w:rPr>
                <w:rFonts w:ascii="Times New Roman" w:eastAsia="Times New Roman" w:hAnsi="Times New Roman" w:cs="Times New Roman"/>
                <w:i/>
                <w:iCs/>
                <w:sz w:val="24"/>
                <w:szCs w:val="24"/>
              </w:rPr>
              <w:t>Cyclosporine, mycophenolate mofetil, sirolimus, thalidomide, or tacrolimus</w:t>
            </w:r>
          </w:p>
        </w:tc>
      </w:tr>
      <w:tr w:rsidR="000B42D0" w:rsidRPr="000B42D0" w14:paraId="38D4B571" w14:textId="77777777" w:rsidTr="00E97F29">
        <w:tc>
          <w:tcPr>
            <w:tcW w:w="4814" w:type="dxa"/>
          </w:tcPr>
          <w:p w14:paraId="0141C727" w14:textId="77777777" w:rsidR="000B42D0" w:rsidRPr="000B42D0" w:rsidRDefault="000B42D0" w:rsidP="000B42D0">
            <w:pPr>
              <w:spacing w:line="276" w:lineRule="auto"/>
              <w:jc w:val="both"/>
              <w:rPr>
                <w:rFonts w:ascii="Times New Roman" w:eastAsia="Times New Roman" w:hAnsi="Times New Roman" w:cs="Times New Roman"/>
                <w:sz w:val="24"/>
                <w:szCs w:val="24"/>
              </w:rPr>
            </w:pPr>
            <w:r w:rsidRPr="000B42D0">
              <w:rPr>
                <w:rFonts w:ascii="Times New Roman" w:eastAsia="Times New Roman" w:hAnsi="Times New Roman" w:cs="Times New Roman"/>
                <w:sz w:val="24"/>
                <w:szCs w:val="24"/>
              </w:rPr>
              <w:t>Use of intravenous corticosteroids* within 2 weeks before screening, during screening, or during the study period</w:t>
            </w:r>
          </w:p>
        </w:tc>
        <w:tc>
          <w:tcPr>
            <w:tcW w:w="4814" w:type="dxa"/>
          </w:tcPr>
          <w:p w14:paraId="5381E255" w14:textId="77777777" w:rsidR="000B42D0" w:rsidRPr="000B42D0" w:rsidRDefault="000B42D0" w:rsidP="000B42D0">
            <w:pPr>
              <w:spacing w:line="276" w:lineRule="auto"/>
              <w:jc w:val="both"/>
              <w:rPr>
                <w:rFonts w:ascii="Times New Roman" w:eastAsia="Times New Roman" w:hAnsi="Times New Roman" w:cs="Times New Roman"/>
                <w:i/>
                <w:iCs/>
                <w:sz w:val="24"/>
                <w:szCs w:val="24"/>
              </w:rPr>
            </w:pPr>
            <w:r w:rsidRPr="000B42D0">
              <w:rPr>
                <w:rFonts w:ascii="Times New Roman" w:eastAsia="Times New Roman" w:hAnsi="Times New Roman" w:cs="Times New Roman"/>
                <w:i/>
                <w:iCs/>
                <w:sz w:val="24"/>
                <w:szCs w:val="24"/>
              </w:rPr>
              <w:t>*Except as premedication for anti-TNFs</w:t>
            </w:r>
          </w:p>
        </w:tc>
      </w:tr>
      <w:tr w:rsidR="000B42D0" w:rsidRPr="000B42D0" w14:paraId="1BE9753E" w14:textId="77777777" w:rsidTr="00E97F29">
        <w:tc>
          <w:tcPr>
            <w:tcW w:w="4814" w:type="dxa"/>
          </w:tcPr>
          <w:p w14:paraId="534177D5" w14:textId="77777777" w:rsidR="000B42D0" w:rsidRPr="000B42D0" w:rsidRDefault="000B42D0" w:rsidP="000B42D0">
            <w:pPr>
              <w:spacing w:line="276" w:lineRule="auto"/>
              <w:jc w:val="both"/>
              <w:rPr>
                <w:rFonts w:ascii="Times New Roman" w:eastAsia="Times New Roman" w:hAnsi="Times New Roman" w:cs="Times New Roman"/>
                <w:sz w:val="24"/>
                <w:szCs w:val="24"/>
              </w:rPr>
            </w:pPr>
            <w:r w:rsidRPr="000B42D0">
              <w:rPr>
                <w:rFonts w:ascii="Times New Roman" w:eastAsia="Times New Roman" w:hAnsi="Times New Roman" w:cs="Times New Roman"/>
                <w:sz w:val="24"/>
                <w:szCs w:val="24"/>
              </w:rPr>
              <w:t>Daily use of steroids at the time of screening</w:t>
            </w:r>
          </w:p>
        </w:tc>
        <w:tc>
          <w:tcPr>
            <w:tcW w:w="4814" w:type="dxa"/>
          </w:tcPr>
          <w:p w14:paraId="119F00AC" w14:textId="77777777" w:rsidR="000B42D0" w:rsidRPr="000B42D0" w:rsidRDefault="000B42D0" w:rsidP="000B42D0">
            <w:pPr>
              <w:spacing w:line="276" w:lineRule="auto"/>
              <w:jc w:val="both"/>
              <w:rPr>
                <w:rFonts w:ascii="Times New Roman" w:eastAsia="Times New Roman" w:hAnsi="Times New Roman" w:cs="Times New Roman"/>
                <w:i/>
                <w:iCs/>
                <w:sz w:val="24"/>
                <w:szCs w:val="24"/>
              </w:rPr>
            </w:pPr>
            <w:r w:rsidRPr="000B42D0">
              <w:rPr>
                <w:rFonts w:ascii="Times New Roman" w:eastAsia="Times New Roman" w:hAnsi="Times New Roman" w:cs="Times New Roman"/>
                <w:i/>
                <w:iCs/>
                <w:sz w:val="24"/>
                <w:szCs w:val="24"/>
              </w:rPr>
              <w:t>Prednisone &gt; 20 mg or budenoside &gt; 9 mg</w:t>
            </w:r>
          </w:p>
        </w:tc>
      </w:tr>
      <w:tr w:rsidR="000B42D0" w:rsidRPr="000B42D0" w14:paraId="06FF10A2" w14:textId="77777777" w:rsidTr="00E97F29">
        <w:tc>
          <w:tcPr>
            <w:tcW w:w="4814" w:type="dxa"/>
          </w:tcPr>
          <w:p w14:paraId="66438C2F" w14:textId="77777777" w:rsidR="000B42D0" w:rsidRPr="000B42D0" w:rsidRDefault="000B42D0" w:rsidP="000B42D0">
            <w:pPr>
              <w:spacing w:line="276" w:lineRule="auto"/>
              <w:jc w:val="both"/>
              <w:rPr>
                <w:rFonts w:ascii="Times New Roman" w:eastAsia="Times New Roman" w:hAnsi="Times New Roman" w:cs="Times New Roman"/>
                <w:sz w:val="24"/>
                <w:szCs w:val="24"/>
              </w:rPr>
            </w:pPr>
            <w:r w:rsidRPr="000B42D0">
              <w:rPr>
                <w:rFonts w:ascii="Times New Roman" w:eastAsia="Times New Roman" w:hAnsi="Times New Roman" w:cs="Times New Roman"/>
                <w:sz w:val="24"/>
                <w:szCs w:val="24"/>
              </w:rPr>
              <w:t>Use of total parenteral nutrition at screening or during the study period</w:t>
            </w:r>
          </w:p>
        </w:tc>
        <w:tc>
          <w:tcPr>
            <w:tcW w:w="4814" w:type="dxa"/>
          </w:tcPr>
          <w:p w14:paraId="4865DDE9" w14:textId="77777777" w:rsidR="000B42D0" w:rsidRPr="000B42D0" w:rsidRDefault="000B42D0" w:rsidP="000B42D0">
            <w:pPr>
              <w:spacing w:line="276" w:lineRule="auto"/>
              <w:jc w:val="both"/>
              <w:rPr>
                <w:rFonts w:ascii="Times New Roman" w:eastAsia="Times New Roman" w:hAnsi="Times New Roman" w:cs="Times New Roman"/>
                <w:i/>
                <w:iCs/>
                <w:sz w:val="24"/>
                <w:szCs w:val="24"/>
              </w:rPr>
            </w:pPr>
          </w:p>
        </w:tc>
      </w:tr>
      <w:tr w:rsidR="000B42D0" w:rsidRPr="000B42D0" w14:paraId="336A878B" w14:textId="77777777" w:rsidTr="00E97F29">
        <w:tc>
          <w:tcPr>
            <w:tcW w:w="4814" w:type="dxa"/>
          </w:tcPr>
          <w:p w14:paraId="022DDA4B" w14:textId="77777777" w:rsidR="000B42D0" w:rsidRPr="000B42D0" w:rsidRDefault="000B42D0" w:rsidP="000B42D0">
            <w:pPr>
              <w:spacing w:line="276" w:lineRule="auto"/>
              <w:jc w:val="both"/>
              <w:rPr>
                <w:rFonts w:ascii="Times New Roman" w:eastAsia="Times New Roman" w:hAnsi="Times New Roman" w:cs="Times New Roman"/>
                <w:sz w:val="24"/>
                <w:szCs w:val="24"/>
              </w:rPr>
            </w:pPr>
            <w:r w:rsidRPr="000B42D0">
              <w:rPr>
                <w:rFonts w:ascii="Times New Roman" w:eastAsia="Times New Roman" w:hAnsi="Times New Roman" w:cs="Times New Roman"/>
                <w:sz w:val="24"/>
                <w:szCs w:val="24"/>
              </w:rPr>
              <w:t>Uncooperative behavior or any condition that could make the patient potentially noncompliant to the study procedure</w:t>
            </w:r>
          </w:p>
        </w:tc>
        <w:tc>
          <w:tcPr>
            <w:tcW w:w="4814" w:type="dxa"/>
          </w:tcPr>
          <w:p w14:paraId="341C0EA4" w14:textId="77777777" w:rsidR="000B42D0" w:rsidRPr="000B42D0" w:rsidRDefault="000B42D0" w:rsidP="000B42D0">
            <w:pPr>
              <w:spacing w:line="276" w:lineRule="auto"/>
              <w:jc w:val="both"/>
              <w:rPr>
                <w:rFonts w:ascii="Times New Roman" w:eastAsia="Times New Roman" w:hAnsi="Times New Roman" w:cs="Times New Roman"/>
                <w:sz w:val="24"/>
                <w:szCs w:val="24"/>
              </w:rPr>
            </w:pPr>
          </w:p>
        </w:tc>
      </w:tr>
      <w:tr w:rsidR="000B42D0" w:rsidRPr="000B42D0" w14:paraId="56F49C46" w14:textId="77777777" w:rsidTr="00E97F29">
        <w:tc>
          <w:tcPr>
            <w:tcW w:w="4814" w:type="dxa"/>
          </w:tcPr>
          <w:p w14:paraId="18DEA170" w14:textId="77777777" w:rsidR="000B42D0" w:rsidRPr="000B42D0" w:rsidRDefault="000B42D0" w:rsidP="000B42D0">
            <w:pPr>
              <w:spacing w:line="276" w:lineRule="auto"/>
              <w:jc w:val="both"/>
              <w:rPr>
                <w:rFonts w:ascii="Times New Roman" w:eastAsia="Times New Roman" w:hAnsi="Times New Roman" w:cs="Times New Roman"/>
                <w:sz w:val="24"/>
                <w:szCs w:val="24"/>
              </w:rPr>
            </w:pPr>
            <w:r w:rsidRPr="000B42D0">
              <w:rPr>
                <w:rFonts w:ascii="Times New Roman" w:eastAsia="Times New Roman" w:hAnsi="Times New Roman" w:cs="Times New Roman"/>
                <w:sz w:val="24"/>
                <w:szCs w:val="24"/>
              </w:rPr>
              <w:t>Other significant or life-threatening comorbidities that could be negatively impacted by the low-fat/high-fiber diet</w:t>
            </w:r>
          </w:p>
        </w:tc>
        <w:tc>
          <w:tcPr>
            <w:tcW w:w="4814" w:type="dxa"/>
          </w:tcPr>
          <w:p w14:paraId="2FE3F32C" w14:textId="77777777" w:rsidR="000B42D0" w:rsidRPr="000B42D0" w:rsidRDefault="000B42D0" w:rsidP="000B42D0">
            <w:pPr>
              <w:spacing w:line="276" w:lineRule="auto"/>
              <w:jc w:val="both"/>
              <w:rPr>
                <w:rFonts w:ascii="Times New Roman" w:eastAsia="Times New Roman" w:hAnsi="Times New Roman" w:cs="Times New Roman"/>
                <w:sz w:val="24"/>
                <w:szCs w:val="24"/>
              </w:rPr>
            </w:pPr>
          </w:p>
        </w:tc>
      </w:tr>
      <w:tr w:rsidR="000B42D0" w:rsidRPr="000B42D0" w14:paraId="0AAF5279" w14:textId="77777777" w:rsidTr="00E97F29">
        <w:tc>
          <w:tcPr>
            <w:tcW w:w="4814" w:type="dxa"/>
          </w:tcPr>
          <w:p w14:paraId="011C199A" w14:textId="77777777" w:rsidR="000B42D0" w:rsidRPr="000B42D0" w:rsidRDefault="000B42D0" w:rsidP="000B42D0">
            <w:pPr>
              <w:spacing w:line="276" w:lineRule="auto"/>
              <w:jc w:val="both"/>
              <w:rPr>
                <w:rFonts w:ascii="Times New Roman" w:eastAsia="Times New Roman" w:hAnsi="Times New Roman" w:cs="Times New Roman"/>
                <w:sz w:val="24"/>
                <w:szCs w:val="24"/>
              </w:rPr>
            </w:pPr>
            <w:r w:rsidRPr="000B42D0">
              <w:rPr>
                <w:rFonts w:ascii="Times New Roman" w:eastAsia="Times New Roman" w:hAnsi="Times New Roman" w:cs="Times New Roman"/>
                <w:sz w:val="24"/>
                <w:szCs w:val="24"/>
              </w:rPr>
              <w:t>Antibiotic use during the study period</w:t>
            </w:r>
          </w:p>
        </w:tc>
        <w:tc>
          <w:tcPr>
            <w:tcW w:w="4814" w:type="dxa"/>
          </w:tcPr>
          <w:p w14:paraId="2E0ED933" w14:textId="77777777" w:rsidR="000B42D0" w:rsidRPr="000B42D0" w:rsidRDefault="000B42D0" w:rsidP="000B42D0">
            <w:pPr>
              <w:spacing w:line="276" w:lineRule="auto"/>
              <w:jc w:val="both"/>
              <w:rPr>
                <w:rFonts w:ascii="Times New Roman" w:eastAsia="Times New Roman" w:hAnsi="Times New Roman" w:cs="Times New Roman"/>
                <w:sz w:val="24"/>
                <w:szCs w:val="24"/>
              </w:rPr>
            </w:pPr>
          </w:p>
        </w:tc>
      </w:tr>
      <w:tr w:rsidR="000B42D0" w:rsidRPr="000B42D0" w14:paraId="1ADA0839" w14:textId="77777777" w:rsidTr="00E97F29">
        <w:tc>
          <w:tcPr>
            <w:tcW w:w="4814" w:type="dxa"/>
          </w:tcPr>
          <w:p w14:paraId="02FB9BE1" w14:textId="77777777" w:rsidR="000B42D0" w:rsidRPr="000B42D0" w:rsidRDefault="000B42D0" w:rsidP="000B42D0">
            <w:pPr>
              <w:spacing w:line="276" w:lineRule="auto"/>
              <w:jc w:val="both"/>
              <w:rPr>
                <w:rFonts w:ascii="Times New Roman" w:eastAsia="Times New Roman" w:hAnsi="Times New Roman" w:cs="Times New Roman"/>
                <w:sz w:val="24"/>
                <w:szCs w:val="24"/>
              </w:rPr>
            </w:pPr>
            <w:r w:rsidRPr="000B42D0">
              <w:rPr>
                <w:rFonts w:ascii="Times New Roman" w:eastAsia="Times New Roman" w:hAnsi="Times New Roman" w:cs="Times New Roman"/>
                <w:sz w:val="24"/>
                <w:szCs w:val="24"/>
              </w:rPr>
              <w:t>Pregnancy or lactation</w:t>
            </w:r>
          </w:p>
        </w:tc>
        <w:tc>
          <w:tcPr>
            <w:tcW w:w="4814" w:type="dxa"/>
          </w:tcPr>
          <w:p w14:paraId="0997AD25" w14:textId="77777777" w:rsidR="000B42D0" w:rsidRPr="000B42D0" w:rsidRDefault="000B42D0" w:rsidP="000B42D0">
            <w:pPr>
              <w:spacing w:line="276" w:lineRule="auto"/>
              <w:jc w:val="both"/>
              <w:rPr>
                <w:rFonts w:ascii="Times New Roman" w:eastAsia="Times New Roman" w:hAnsi="Times New Roman" w:cs="Times New Roman"/>
                <w:sz w:val="24"/>
                <w:szCs w:val="24"/>
              </w:rPr>
            </w:pPr>
          </w:p>
        </w:tc>
      </w:tr>
      <w:tr w:rsidR="000B42D0" w:rsidRPr="000B42D0" w14:paraId="378533E4" w14:textId="77777777" w:rsidTr="00E97F29">
        <w:tc>
          <w:tcPr>
            <w:tcW w:w="4814" w:type="dxa"/>
          </w:tcPr>
          <w:p w14:paraId="397A4622" w14:textId="77777777" w:rsidR="000B42D0" w:rsidRPr="000B42D0" w:rsidRDefault="000B42D0" w:rsidP="000B42D0">
            <w:pPr>
              <w:spacing w:line="276" w:lineRule="auto"/>
              <w:jc w:val="both"/>
              <w:rPr>
                <w:rFonts w:ascii="Times New Roman" w:eastAsia="Times New Roman" w:hAnsi="Times New Roman" w:cs="Times New Roman"/>
                <w:sz w:val="24"/>
                <w:szCs w:val="24"/>
              </w:rPr>
            </w:pPr>
            <w:r w:rsidRPr="000B42D0">
              <w:rPr>
                <w:rFonts w:ascii="Times New Roman" w:eastAsia="Times New Roman" w:hAnsi="Times New Roman" w:cs="Times New Roman"/>
                <w:sz w:val="24"/>
                <w:szCs w:val="24"/>
              </w:rPr>
              <w:t>Known allergy to tree nuts or peanuts</w:t>
            </w:r>
          </w:p>
        </w:tc>
        <w:tc>
          <w:tcPr>
            <w:tcW w:w="4814" w:type="dxa"/>
          </w:tcPr>
          <w:p w14:paraId="22E1479E" w14:textId="77777777" w:rsidR="000B42D0" w:rsidRPr="000B42D0" w:rsidRDefault="000B42D0" w:rsidP="000B42D0">
            <w:pPr>
              <w:spacing w:line="276" w:lineRule="auto"/>
              <w:jc w:val="both"/>
              <w:rPr>
                <w:rFonts w:ascii="Times New Roman" w:eastAsia="Times New Roman" w:hAnsi="Times New Roman" w:cs="Times New Roman"/>
                <w:sz w:val="24"/>
                <w:szCs w:val="24"/>
              </w:rPr>
            </w:pPr>
          </w:p>
        </w:tc>
      </w:tr>
    </w:tbl>
    <w:p w14:paraId="7A5EF3D3" w14:textId="77777777" w:rsidR="000B42D0" w:rsidRDefault="000B42D0" w:rsidP="000B42D0">
      <w:pPr>
        <w:spacing w:after="0" w:line="480" w:lineRule="auto"/>
        <w:jc w:val="both"/>
        <w:rPr>
          <w:rFonts w:ascii="Times New Roman" w:eastAsia="Times New Roman" w:hAnsi="Times New Roman" w:cs="Times New Roman"/>
          <w:b/>
          <w:sz w:val="24"/>
          <w:szCs w:val="24"/>
        </w:rPr>
      </w:pPr>
    </w:p>
    <w:p w14:paraId="5E67BC51" w14:textId="77777777" w:rsidR="000B42D0" w:rsidRDefault="000B42D0" w:rsidP="000B42D0">
      <w:pPr>
        <w:spacing w:after="0" w:line="480" w:lineRule="auto"/>
        <w:jc w:val="both"/>
        <w:rPr>
          <w:rFonts w:ascii="Times New Roman" w:eastAsia="Times New Roman" w:hAnsi="Times New Roman" w:cs="Times New Roman"/>
          <w:b/>
          <w:sz w:val="24"/>
          <w:szCs w:val="24"/>
        </w:rPr>
      </w:pPr>
    </w:p>
    <w:p w14:paraId="071C7AC2" w14:textId="17882E5F" w:rsidR="000B42D0" w:rsidRPr="00D47BA4" w:rsidRDefault="000B42D0" w:rsidP="000B42D0">
      <w:pPr>
        <w:spacing w:after="0" w:line="480" w:lineRule="auto"/>
        <w:jc w:val="both"/>
        <w:rPr>
          <w:rFonts w:ascii="Times New Roman" w:eastAsia="Times New Roman" w:hAnsi="Times New Roman" w:cs="Times New Roman"/>
          <w:b/>
          <w:sz w:val="24"/>
          <w:szCs w:val="24"/>
        </w:rPr>
      </w:pPr>
      <w:r w:rsidRPr="00D47BA4">
        <w:rPr>
          <w:rFonts w:ascii="Times New Roman" w:eastAsia="Times New Roman" w:hAnsi="Times New Roman" w:cs="Times New Roman"/>
          <w:b/>
          <w:sz w:val="24"/>
          <w:szCs w:val="24"/>
        </w:rPr>
        <w:t>Dyadic psychosocial support intervention</w:t>
      </w:r>
    </w:p>
    <w:p w14:paraId="7C5D7911" w14:textId="6EB230FC" w:rsidR="000B42D0" w:rsidRPr="000B42D0" w:rsidRDefault="000B42D0" w:rsidP="000B42D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w:t>
      </w:r>
      <w:r w:rsidRPr="00D47BA4">
        <w:rPr>
          <w:rFonts w:ascii="Times New Roman" w:eastAsia="Times New Roman" w:hAnsi="Times New Roman" w:cs="Times New Roman"/>
          <w:sz w:val="24"/>
          <w:szCs w:val="24"/>
        </w:rPr>
        <w:t xml:space="preserve"> intervention was based on self-determination theory (manuscript under review) and consisted of four main sessions (through week 8) and three booster sessions (through week 24), </w:t>
      </w:r>
      <w:r w:rsidRPr="00D47BA4">
        <w:rPr>
          <w:rFonts w:ascii="Times New Roman" w:eastAsia="Times New Roman" w:hAnsi="Times New Roman" w:cs="Times New Roman"/>
          <w:sz w:val="24"/>
          <w:szCs w:val="24"/>
        </w:rPr>
        <w:lastRenderedPageBreak/>
        <w:t>incorporating psychoeducational components to promote healthy diet behavior. In brief, participants were educated regarding nutritional knowledge and healthy eating behaviors, encouraged to identify barriers to adhering to the catered diet (or maintaining this diet, after the eight-week period of catered meals), and prompted to establish individualized goals and monitor their progress. This intervention was delivered via internet-based video conferencing technology, which is low cost (i.e., free) and convenient (eliminates the need to travel).</w:t>
      </w:r>
      <w:r w:rsidRPr="00D47BA4">
        <w:rPr>
          <w:rFonts w:ascii="Times New Roman" w:eastAsia="Times New Roman" w:hAnsi="Times New Roman" w:cs="Times New Roman"/>
          <w:sz w:val="24"/>
          <w:szCs w:val="24"/>
        </w:rPr>
        <w:t xml:space="preserve"> </w:t>
      </w:r>
    </w:p>
    <w:sectPr w:rsidR="000B42D0" w:rsidRPr="000B42D0" w:rsidSect="00E025AD">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D0"/>
    <w:rsid w:val="000B42D0"/>
    <w:rsid w:val="00E02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D9C34"/>
  <w15:chartTrackingRefBased/>
  <w15:docId w15:val="{7476B6B2-8E16-4B48-A9A5-354FB95F5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2D0"/>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0B42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2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2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2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2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2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2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2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2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2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2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2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2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2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2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2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2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2D0"/>
    <w:rPr>
      <w:rFonts w:eastAsiaTheme="majorEastAsia" w:cstheme="majorBidi"/>
      <w:color w:val="272727" w:themeColor="text1" w:themeTint="D8"/>
    </w:rPr>
  </w:style>
  <w:style w:type="paragraph" w:styleId="Title">
    <w:name w:val="Title"/>
    <w:basedOn w:val="Normal"/>
    <w:next w:val="Normal"/>
    <w:link w:val="TitleChar"/>
    <w:uiPriority w:val="10"/>
    <w:qFormat/>
    <w:rsid w:val="000B42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2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2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2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2D0"/>
    <w:pPr>
      <w:spacing w:before="160"/>
      <w:jc w:val="center"/>
    </w:pPr>
    <w:rPr>
      <w:i/>
      <w:iCs/>
      <w:color w:val="404040" w:themeColor="text1" w:themeTint="BF"/>
    </w:rPr>
  </w:style>
  <w:style w:type="character" w:customStyle="1" w:styleId="QuoteChar">
    <w:name w:val="Quote Char"/>
    <w:basedOn w:val="DefaultParagraphFont"/>
    <w:link w:val="Quote"/>
    <w:uiPriority w:val="29"/>
    <w:rsid w:val="000B42D0"/>
    <w:rPr>
      <w:i/>
      <w:iCs/>
      <w:color w:val="404040" w:themeColor="text1" w:themeTint="BF"/>
    </w:rPr>
  </w:style>
  <w:style w:type="paragraph" w:styleId="ListParagraph">
    <w:name w:val="List Paragraph"/>
    <w:basedOn w:val="Normal"/>
    <w:uiPriority w:val="34"/>
    <w:qFormat/>
    <w:rsid w:val="000B42D0"/>
    <w:pPr>
      <w:ind w:left="720"/>
      <w:contextualSpacing/>
    </w:pPr>
  </w:style>
  <w:style w:type="character" w:styleId="IntenseEmphasis">
    <w:name w:val="Intense Emphasis"/>
    <w:basedOn w:val="DefaultParagraphFont"/>
    <w:uiPriority w:val="21"/>
    <w:qFormat/>
    <w:rsid w:val="000B42D0"/>
    <w:rPr>
      <w:i/>
      <w:iCs/>
      <w:color w:val="0F4761" w:themeColor="accent1" w:themeShade="BF"/>
    </w:rPr>
  </w:style>
  <w:style w:type="paragraph" w:styleId="IntenseQuote">
    <w:name w:val="Intense Quote"/>
    <w:basedOn w:val="Normal"/>
    <w:next w:val="Normal"/>
    <w:link w:val="IntenseQuoteChar"/>
    <w:uiPriority w:val="30"/>
    <w:qFormat/>
    <w:rsid w:val="000B42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2D0"/>
    <w:rPr>
      <w:i/>
      <w:iCs/>
      <w:color w:val="0F4761" w:themeColor="accent1" w:themeShade="BF"/>
    </w:rPr>
  </w:style>
  <w:style w:type="character" w:styleId="IntenseReference">
    <w:name w:val="Intense Reference"/>
    <w:basedOn w:val="DefaultParagraphFont"/>
    <w:uiPriority w:val="32"/>
    <w:qFormat/>
    <w:rsid w:val="000B42D0"/>
    <w:rPr>
      <w:b/>
      <w:bCs/>
      <w:smallCaps/>
      <w:color w:val="0F4761" w:themeColor="accent1" w:themeShade="BF"/>
      <w:spacing w:val="5"/>
    </w:rPr>
  </w:style>
  <w:style w:type="paragraph" w:styleId="CommentText">
    <w:name w:val="annotation text"/>
    <w:basedOn w:val="Normal"/>
    <w:link w:val="CommentTextChar"/>
    <w:uiPriority w:val="99"/>
    <w:unhideWhenUsed/>
    <w:rsid w:val="000B42D0"/>
    <w:pPr>
      <w:spacing w:line="240" w:lineRule="auto"/>
    </w:pPr>
    <w:rPr>
      <w:sz w:val="20"/>
      <w:szCs w:val="20"/>
    </w:rPr>
  </w:style>
  <w:style w:type="character" w:customStyle="1" w:styleId="CommentTextChar">
    <w:name w:val="Comment Text Char"/>
    <w:basedOn w:val="DefaultParagraphFont"/>
    <w:link w:val="CommentText"/>
    <w:uiPriority w:val="99"/>
    <w:rsid w:val="000B42D0"/>
    <w:rPr>
      <w:rFonts w:ascii="Calibri" w:eastAsia="Calibri" w:hAnsi="Calibri" w:cs="Calibri"/>
      <w:kern w:val="0"/>
      <w:sz w:val="20"/>
      <w:szCs w:val="20"/>
      <w14:ligatures w14:val="none"/>
    </w:rPr>
  </w:style>
  <w:style w:type="character" w:styleId="CommentReference">
    <w:name w:val="annotation reference"/>
    <w:basedOn w:val="DefaultParagraphFont"/>
    <w:uiPriority w:val="99"/>
    <w:semiHidden/>
    <w:unhideWhenUsed/>
    <w:rsid w:val="000B42D0"/>
    <w:rPr>
      <w:sz w:val="16"/>
      <w:szCs w:val="16"/>
    </w:rPr>
  </w:style>
  <w:style w:type="table" w:customStyle="1" w:styleId="TableGrid1">
    <w:name w:val="Table Grid1"/>
    <w:basedOn w:val="TableNormal"/>
    <w:next w:val="TableGrid"/>
    <w:uiPriority w:val="39"/>
    <w:rsid w:val="000B42D0"/>
    <w:pPr>
      <w:spacing w:after="0" w:line="240" w:lineRule="auto"/>
    </w:pPr>
    <w:rPr>
      <w:kern w:val="0"/>
      <w:sz w:val="22"/>
      <w:szCs w:val="22"/>
      <w:lang w:val="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B4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0B4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Faust</dc:creator>
  <cp:keywords/>
  <dc:description/>
  <cp:lastModifiedBy>Katerina Faust</cp:lastModifiedBy>
  <cp:revision>1</cp:revision>
  <dcterms:created xsi:type="dcterms:W3CDTF">2024-05-08T14:36:00Z</dcterms:created>
  <dcterms:modified xsi:type="dcterms:W3CDTF">2024-05-08T14:41:00Z</dcterms:modified>
</cp:coreProperties>
</file>