
<file path=[Content_Types].xml><?xml version="1.0" encoding="utf-8"?>
<Types xmlns="http://schemas.openxmlformats.org/package/2006/content-types">
  <Default Extension="wmf" ContentType="image/x-w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8E72C">
      <w:pPr>
        <w:widowControl/>
        <w:jc w:val="left"/>
      </w:pPr>
      <w:r>
        <w:drawing>
          <wp:inline distT="0" distB="0" distL="0" distR="0">
            <wp:extent cx="5274310" cy="6422390"/>
            <wp:effectExtent l="0" t="0" r="13970" b="8890"/>
            <wp:docPr id="21109056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05655"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6422390"/>
                    </a:xfrm>
                    <a:prstGeom prst="rect">
                      <a:avLst/>
                    </a:prstGeom>
                  </pic:spPr>
                </pic:pic>
              </a:graphicData>
            </a:graphic>
          </wp:inline>
        </w:drawing>
      </w:r>
    </w:p>
    <w:p w14:paraId="584D376B">
      <w:pPr>
        <w:widowControl/>
        <w:spacing w:line="480" w:lineRule="auto"/>
        <w:jc w:val="left"/>
        <w:rPr>
          <w:rFonts w:ascii="Times New Roman" w:hAnsi="Times New Roman" w:cs="Times New Roman"/>
          <w:sz w:val="24"/>
        </w:rPr>
      </w:pPr>
      <w:r>
        <w:rPr>
          <w:rFonts w:hint="eastAsia" w:ascii="Times New Roman" w:hAnsi="Times New Roman" w:cs="Times New Roman"/>
          <w:b/>
          <w:bCs/>
          <w:sz w:val="24"/>
        </w:rPr>
        <w:t>Fig. S1</w:t>
      </w:r>
      <w:r>
        <w:rPr>
          <w:rFonts w:hint="eastAsia" w:ascii="Times New Roman" w:hAnsi="Times New Roman" w:cs="Times New Roman"/>
          <w:sz w:val="24"/>
        </w:rPr>
        <w:t xml:space="preserve"> The microbial community and composition of rumen and feces. </w:t>
      </w:r>
      <w:r>
        <w:rPr>
          <w:rFonts w:hint="eastAsia" w:ascii="Times New Roman" w:hAnsi="Times New Roman" w:cs="Times New Roman"/>
          <w:b/>
          <w:bCs/>
          <w:sz w:val="24"/>
        </w:rPr>
        <w:t>A</w:t>
      </w:r>
      <w:r>
        <w:rPr>
          <w:rFonts w:hint="eastAsia" w:ascii="Times New Roman" w:hAnsi="Times New Roman" w:cs="Times New Roman"/>
          <w:sz w:val="24"/>
        </w:rPr>
        <w:t xml:space="preserve"> </w:t>
      </w:r>
      <w:r>
        <w:rPr>
          <w:rFonts w:ascii="Times New Roman" w:hAnsi="Times New Roman" w:cs="Times New Roman"/>
          <w:sz w:val="24"/>
        </w:rPr>
        <w:t>Principal coordinate analysis of the two rumen clusters.</w:t>
      </w:r>
      <w:r>
        <w:rPr>
          <w:rFonts w:hint="eastAsia" w:ascii="Times New Roman" w:hAnsi="Times New Roman" w:cs="Times New Roman"/>
          <w:sz w:val="24"/>
        </w:rPr>
        <w:t xml:space="preserve"> </w:t>
      </w:r>
      <w:r>
        <w:rPr>
          <w:rFonts w:hint="eastAsia" w:ascii="Times New Roman" w:hAnsi="Times New Roman" w:cs="Times New Roman"/>
          <w:b/>
          <w:bCs/>
          <w:sz w:val="24"/>
        </w:rPr>
        <w:t>B</w:t>
      </w:r>
      <w:r>
        <w:rPr>
          <w:rFonts w:hint="eastAsia" w:ascii="Times New Roman" w:hAnsi="Times New Roman" w:cs="Times New Roman"/>
          <w:sz w:val="24"/>
        </w:rPr>
        <w:t xml:space="preserve"> </w:t>
      </w:r>
      <w:r>
        <w:rPr>
          <w:rFonts w:ascii="Times New Roman" w:hAnsi="Times New Roman" w:cs="Times New Roman"/>
          <w:sz w:val="24"/>
        </w:rPr>
        <w:t>Principal coordinate analysis of the two gut clusters</w:t>
      </w:r>
      <w:r>
        <w:rPr>
          <w:rFonts w:hint="eastAsia" w:ascii="Times New Roman" w:hAnsi="Times New Roman" w:cs="Times New Roman"/>
          <w:sz w:val="24"/>
        </w:rPr>
        <w:t xml:space="preserve">. </w:t>
      </w:r>
      <w:r>
        <w:rPr>
          <w:rFonts w:hint="eastAsia" w:ascii="Times New Roman" w:hAnsi="Times New Roman" w:cs="Times New Roman"/>
          <w:b/>
          <w:bCs/>
          <w:sz w:val="24"/>
        </w:rPr>
        <w:t>C</w:t>
      </w:r>
      <w:r>
        <w:rPr>
          <w:rFonts w:hint="eastAsia" w:ascii="Times New Roman" w:hAnsi="Times New Roman" w:cs="Times New Roman"/>
          <w:sz w:val="24"/>
        </w:rPr>
        <w:t xml:space="preserve"> </w:t>
      </w:r>
      <w:r>
        <w:rPr>
          <w:rFonts w:ascii="Times New Roman" w:hAnsi="Times New Roman" w:cs="Times New Roman"/>
          <w:sz w:val="24"/>
        </w:rPr>
        <w:t>Dominant genera across all rumen and gut samples.</w:t>
      </w:r>
      <w:r>
        <w:rPr>
          <w:rFonts w:ascii="Times New Roman" w:hAnsi="Times New Roman" w:cs="Times New Roman"/>
          <w:sz w:val="24"/>
        </w:rPr>
        <w:br w:type="textWrapping"/>
      </w:r>
    </w:p>
    <w:p w14:paraId="76C67C2E">
      <w:pPr>
        <w:widowControl/>
        <w:jc w:val="left"/>
      </w:pPr>
      <w:r>
        <w:br w:type="page"/>
      </w:r>
      <w:r>
        <w:drawing>
          <wp:inline distT="0" distB="0" distL="0" distR="0">
            <wp:extent cx="5884545" cy="5804535"/>
            <wp:effectExtent l="0" t="0" r="1905" b="5715"/>
            <wp:docPr id="11139663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66336"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887712" cy="5807611"/>
                    </a:xfrm>
                    <a:prstGeom prst="rect">
                      <a:avLst/>
                    </a:prstGeom>
                  </pic:spPr>
                </pic:pic>
              </a:graphicData>
            </a:graphic>
          </wp:inline>
        </w:drawing>
      </w:r>
    </w:p>
    <w:p w14:paraId="067A723B">
      <w:pPr>
        <w:widowControl/>
        <w:spacing w:line="480" w:lineRule="auto"/>
        <w:rPr>
          <w:rFonts w:hint="eastAsia" w:ascii="Times New Roman" w:hAnsi="Times New Roman" w:cs="Times New Roman"/>
          <w:sz w:val="24"/>
        </w:rPr>
      </w:pPr>
      <w:r>
        <w:rPr>
          <w:rFonts w:ascii="Times New Roman" w:hAnsi="Times New Roman" w:cs="Times New Roman"/>
          <w:b/>
          <w:bCs/>
          <w:sz w:val="24"/>
        </w:rPr>
        <w:t>Fig. S</w:t>
      </w:r>
      <w:r>
        <w:rPr>
          <w:rFonts w:hint="eastAsia" w:ascii="Times New Roman" w:hAnsi="Times New Roman" w:cs="Times New Roman"/>
          <w:b/>
          <w:bCs/>
          <w:sz w:val="24"/>
        </w:rPr>
        <w:t xml:space="preserve">2 </w:t>
      </w:r>
      <w:r>
        <w:rPr>
          <w:rFonts w:hint="eastAsia" w:ascii="Times New Roman" w:hAnsi="Times New Roman" w:cs="Times New Roman"/>
          <w:sz w:val="24"/>
        </w:rPr>
        <w:t xml:space="preserve">The main bacteria in the rumen and gut of cows. </w:t>
      </w:r>
      <w:r>
        <w:rPr>
          <w:rFonts w:hint="eastAsia" w:ascii="Times New Roman" w:hAnsi="Times New Roman" w:cs="Times New Roman"/>
          <w:b/>
          <w:bCs/>
          <w:sz w:val="24"/>
        </w:rPr>
        <w:t>A</w:t>
      </w:r>
      <w:r>
        <w:rPr>
          <w:rFonts w:hint="eastAsia" w:ascii="Times New Roman" w:hAnsi="Times New Roman" w:cs="Times New Roman"/>
          <w:sz w:val="24"/>
        </w:rPr>
        <w:t xml:space="preserve"> The main bacteria in the rumen. </w:t>
      </w:r>
      <w:r>
        <w:rPr>
          <w:rFonts w:hint="eastAsia" w:ascii="Times New Roman" w:hAnsi="Times New Roman" w:cs="Times New Roman"/>
          <w:b/>
          <w:bCs/>
          <w:sz w:val="24"/>
        </w:rPr>
        <w:t xml:space="preserve">B </w:t>
      </w:r>
      <w:r>
        <w:rPr>
          <w:rFonts w:hint="eastAsia" w:ascii="Times New Roman" w:hAnsi="Times New Roman" w:cs="Times New Roman"/>
          <w:sz w:val="24"/>
        </w:rPr>
        <w:t xml:space="preserve">The main bacteria in the gut. The bacteria in red were identified as the </w:t>
      </w:r>
      <w:r>
        <w:rPr>
          <w:rFonts w:ascii="Times New Roman" w:hAnsi="Times New Roman" w:cs="Times New Roman"/>
          <w:sz w:val="24"/>
        </w:rPr>
        <w:t xml:space="preserve">shared dominant bacteria </w:t>
      </w:r>
      <w:r>
        <w:rPr>
          <w:rFonts w:hint="eastAsia" w:ascii="Times New Roman" w:hAnsi="Times New Roman" w:cs="Times New Roman"/>
          <w:sz w:val="24"/>
        </w:rPr>
        <w:t xml:space="preserve">in the both group </w:t>
      </w:r>
      <w:r>
        <w:rPr>
          <w:rFonts w:ascii="Times New Roman" w:hAnsi="Times New Roman" w:cs="Times New Roman"/>
          <w:sz w:val="24"/>
        </w:rPr>
        <w:t>(the relative abundance in both groups &gt; 5%)</w:t>
      </w:r>
      <w:r>
        <w:rPr>
          <w:rFonts w:hint="eastAsia" w:ascii="Times New Roman" w:hAnsi="Times New Roman" w:cs="Times New Roman"/>
          <w:sz w:val="24"/>
        </w:rPr>
        <w:t>.</w:t>
      </w:r>
    </w:p>
    <w:p w14:paraId="344A5B3C">
      <w:pPr>
        <w:widowControl/>
        <w:jc w:val="left"/>
        <w:rPr>
          <w:rFonts w:ascii="Times New Roman" w:hAnsi="Times New Roman" w:cs="Times New Roman"/>
          <w:b/>
          <w:bCs/>
          <w:sz w:val="24"/>
        </w:rPr>
      </w:pPr>
      <w:r>
        <w:rPr>
          <w:rFonts w:ascii="Times New Roman" w:hAnsi="Times New Roman" w:cs="Times New Roman"/>
          <w:b/>
          <w:bCs/>
          <w:sz w:val="24"/>
        </w:rPr>
        <w:br w:type="page"/>
      </w:r>
      <w:r>
        <w:rPr>
          <w:rFonts w:ascii="Times New Roman" w:hAnsi="Times New Roman" w:cs="Times New Roman"/>
          <w:b/>
          <w:bCs/>
          <w:sz w:val="24"/>
        </w:rPr>
        <w:drawing>
          <wp:inline distT="0" distB="0" distL="0" distR="0">
            <wp:extent cx="5274310" cy="4171315"/>
            <wp:effectExtent l="0" t="0" r="2540" b="635"/>
            <wp:docPr id="10192811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81182" name="图片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171315"/>
                    </a:xfrm>
                    <a:prstGeom prst="rect">
                      <a:avLst/>
                    </a:prstGeom>
                  </pic:spPr>
                </pic:pic>
              </a:graphicData>
            </a:graphic>
          </wp:inline>
        </w:drawing>
      </w:r>
    </w:p>
    <w:p w14:paraId="087A96DB">
      <w:pPr>
        <w:widowControl/>
        <w:rPr>
          <w:rFonts w:ascii="Times New Roman" w:hAnsi="Times New Roman" w:cs="Times New Roman"/>
          <w:sz w:val="24"/>
        </w:rPr>
      </w:pPr>
      <w:r>
        <w:rPr>
          <w:rFonts w:ascii="Times New Roman" w:hAnsi="Times New Roman" w:cs="Times New Roman"/>
          <w:b/>
          <w:bCs/>
          <w:sz w:val="24"/>
        </w:rPr>
        <w:t>Fig. S</w:t>
      </w:r>
      <w:r>
        <w:rPr>
          <w:rFonts w:hint="eastAsia" w:ascii="Times New Roman" w:hAnsi="Times New Roman" w:cs="Times New Roman"/>
          <w:b/>
          <w:bCs/>
          <w:sz w:val="24"/>
        </w:rPr>
        <w:t xml:space="preserve">3 </w:t>
      </w:r>
      <w:r>
        <w:rPr>
          <w:rFonts w:hint="eastAsia" w:ascii="Times New Roman" w:hAnsi="Times New Roman" w:cs="Times New Roman"/>
          <w:sz w:val="24"/>
        </w:rPr>
        <w:t xml:space="preserve">The microbial </w:t>
      </w:r>
      <w:r>
        <w:rPr>
          <w:rFonts w:ascii="Times New Roman" w:hAnsi="Times New Roman" w:cs="Times New Roman"/>
          <w:sz w:val="24"/>
        </w:rPr>
        <w:t>association</w:t>
      </w:r>
      <w:r>
        <w:rPr>
          <w:rFonts w:hint="eastAsia" w:ascii="Times New Roman" w:hAnsi="Times New Roman" w:cs="Times New Roman"/>
          <w:sz w:val="24"/>
        </w:rPr>
        <w:t xml:space="preserve"> between meconium, rumen and feces.</w:t>
      </w:r>
      <w:r>
        <w:rPr>
          <w:rFonts w:hint="eastAsia" w:ascii="Times New Roman" w:hAnsi="Times New Roman" w:cs="Times New Roman"/>
          <w:b/>
          <w:bCs/>
          <w:sz w:val="24"/>
        </w:rPr>
        <w:t xml:space="preserve"> A</w:t>
      </w:r>
      <w:r>
        <w:rPr>
          <w:rFonts w:ascii="Times New Roman" w:hAnsi="Times New Roman" w:cs="Times New Roman"/>
          <w:sz w:val="24"/>
        </w:rPr>
        <w:t xml:space="preserve"> Principal coordinate analysis of microbiome of rumen and feces in the EPG and PPG. </w:t>
      </w:r>
      <w:r>
        <w:rPr>
          <w:rFonts w:hint="eastAsia" w:ascii="Times New Roman" w:hAnsi="Times New Roman" w:cs="Times New Roman"/>
          <w:b/>
          <w:bCs/>
          <w:sz w:val="24"/>
        </w:rPr>
        <w:t>B</w:t>
      </w:r>
      <w:r>
        <w:rPr>
          <w:rFonts w:ascii="Times New Roman" w:hAnsi="Times New Roman" w:cs="Times New Roman"/>
          <w:sz w:val="24"/>
        </w:rPr>
        <w:t xml:space="preserve"> Wayne diagram showing the microbial intersection of the rumen, feces, and meconium in the EPG and PPG. </w:t>
      </w:r>
      <w:r>
        <w:rPr>
          <w:rFonts w:hint="eastAsia" w:ascii="Times New Roman" w:hAnsi="Times New Roman" w:cs="Times New Roman"/>
          <w:b/>
          <w:bCs/>
          <w:sz w:val="24"/>
        </w:rPr>
        <w:t>C</w:t>
      </w:r>
      <w:r>
        <w:rPr>
          <w:rFonts w:ascii="Times New Roman" w:hAnsi="Times New Roman" w:cs="Times New Roman"/>
          <w:sz w:val="24"/>
        </w:rPr>
        <w:t xml:space="preserve"> The microbial origin of meconium using SourceTracker.</w:t>
      </w:r>
    </w:p>
    <w:p w14:paraId="5C06B5D5">
      <w:pPr>
        <w:widowControl/>
        <w:jc w:val="left"/>
        <w:rPr>
          <w:rFonts w:ascii="Times New Roman" w:hAnsi="Times New Roman" w:cs="Times New Roman"/>
          <w:sz w:val="24"/>
        </w:rPr>
      </w:pPr>
    </w:p>
    <w:p w14:paraId="23625AA4">
      <w:pPr>
        <w:widowControl/>
        <w:jc w:val="left"/>
        <w:rPr>
          <w:rFonts w:ascii="Times New Roman" w:hAnsi="Times New Roman" w:cs="Times New Roman"/>
          <w:b/>
          <w:bCs/>
          <w:sz w:val="24"/>
        </w:rPr>
      </w:pPr>
      <w:r>
        <w:rPr>
          <w:rFonts w:ascii="Times New Roman" w:hAnsi="Times New Roman" w:cs="Times New Roman"/>
          <w:b/>
          <w:bCs/>
          <w:sz w:val="24"/>
        </w:rPr>
        <w:br w:type="page"/>
      </w:r>
    </w:p>
    <w:p w14:paraId="34D8BAFA">
      <w:pPr>
        <w:widowControl/>
        <w:jc w:val="left"/>
        <w:rPr>
          <w:rFonts w:ascii="Times New Roman" w:hAnsi="Times New Roman" w:cs="Times New Roman"/>
          <w:b/>
          <w:bCs/>
          <w:sz w:val="24"/>
        </w:rPr>
      </w:pPr>
    </w:p>
    <w:p w14:paraId="1A99AF92">
      <w:pPr>
        <w:jc w:val="center"/>
      </w:pPr>
      <w:r>
        <w:rPr>
          <w:rFonts w:hint="eastAsia"/>
        </w:rPr>
        <w:drawing>
          <wp:inline distT="0" distB="0" distL="114300" distR="114300">
            <wp:extent cx="3730625" cy="3228975"/>
            <wp:effectExtent l="0" t="0" r="3175" b="9525"/>
            <wp:docPr id="3" name="图片 3" descr="Pcoa犊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coa犊牛"/>
                    <pic:cNvPicPr>
                      <a:picLocks noChangeAspect="1"/>
                    </pic:cNvPicPr>
                  </pic:nvPicPr>
                  <pic:blipFill>
                    <a:blip r:embed="rId7"/>
                    <a:stretch>
                      <a:fillRect/>
                    </a:stretch>
                  </pic:blipFill>
                  <pic:spPr>
                    <a:xfrm>
                      <a:off x="0" y="0"/>
                      <a:ext cx="3730625" cy="3228975"/>
                    </a:xfrm>
                    <a:prstGeom prst="rect">
                      <a:avLst/>
                    </a:prstGeom>
                  </pic:spPr>
                </pic:pic>
              </a:graphicData>
            </a:graphic>
          </wp:inline>
        </w:drawing>
      </w:r>
    </w:p>
    <w:p w14:paraId="14F13933">
      <w:r>
        <w:rPr>
          <w:rFonts w:hint="eastAsia" w:ascii="Times New Roman" w:hAnsi="Times New Roman" w:cs="Times New Roman"/>
          <w:b/>
          <w:bCs/>
          <w:sz w:val="24"/>
        </w:rPr>
        <w:t>Fig. S4</w:t>
      </w:r>
      <w:r>
        <w:rPr>
          <w:rFonts w:hint="eastAsia" w:ascii="Times New Roman" w:hAnsi="Times New Roman" w:cs="Times New Roman"/>
          <w:sz w:val="24"/>
        </w:rPr>
        <w:t xml:space="preserve"> Principal coordinate analysis of microbiome of meconium in the EPG and PPG</w:t>
      </w:r>
      <w:r>
        <w:rPr>
          <w:rFonts w:hint="eastAsia"/>
        </w:rPr>
        <w:br w:type="page"/>
      </w:r>
    </w:p>
    <w:p w14:paraId="052C261C">
      <w:pPr>
        <w:jc w:val="center"/>
      </w:pPr>
    </w:p>
    <w:p w14:paraId="09BEA5B7">
      <w:r>
        <w:rPr>
          <w:rFonts w:hint="eastAsia"/>
        </w:rPr>
        <w:drawing>
          <wp:inline distT="0" distB="0" distL="114300" distR="114300">
            <wp:extent cx="5271135" cy="2192020"/>
            <wp:effectExtent l="0" t="0" r="5715" b="17780"/>
            <wp:docPr id="1" name="图片 1" descr="α多样性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α多样性附图"/>
                    <pic:cNvPicPr>
                      <a:picLocks noChangeAspect="1"/>
                    </pic:cNvPicPr>
                  </pic:nvPicPr>
                  <pic:blipFill>
                    <a:blip r:embed="rId8"/>
                    <a:stretch>
                      <a:fillRect/>
                    </a:stretch>
                  </pic:blipFill>
                  <pic:spPr>
                    <a:xfrm>
                      <a:off x="0" y="0"/>
                      <a:ext cx="5271135" cy="2192020"/>
                    </a:xfrm>
                    <a:prstGeom prst="rect">
                      <a:avLst/>
                    </a:prstGeom>
                  </pic:spPr>
                </pic:pic>
              </a:graphicData>
            </a:graphic>
          </wp:inline>
        </w:drawing>
      </w:r>
    </w:p>
    <w:p w14:paraId="71E81107">
      <w:pPr>
        <w:rPr>
          <w:rFonts w:ascii="Times New Roman" w:hAnsi="Times New Roman" w:cs="Times New Roman"/>
          <w:color w:val="FF0000"/>
          <w:sz w:val="24"/>
        </w:rPr>
      </w:pPr>
      <w:r>
        <w:rPr>
          <w:rFonts w:hint="eastAsia" w:ascii="Times New Roman" w:hAnsi="Times New Roman" w:cs="Times New Roman"/>
          <w:b/>
          <w:bCs/>
          <w:sz w:val="24"/>
        </w:rPr>
        <w:t>Fig. S5</w:t>
      </w:r>
      <w:r>
        <w:rPr>
          <w:rFonts w:hint="eastAsia" w:ascii="Times New Roman" w:hAnsi="Times New Roman" w:cs="Times New Roman"/>
          <w:sz w:val="24"/>
        </w:rPr>
        <w:t xml:space="preserve"> T</w:t>
      </w:r>
      <w:r>
        <w:rPr>
          <w:rFonts w:ascii="Times New Roman" w:hAnsi="Times New Roman" w:cs="Times New Roman"/>
          <w:sz w:val="24"/>
        </w:rPr>
        <w:t xml:space="preserve">he </w:t>
      </w:r>
      <w:r>
        <w:rPr>
          <w:rFonts w:hint="eastAsia" w:ascii="Times New Roman" w:hAnsi="Times New Roman" w:cs="Times New Roman"/>
          <w:sz w:val="24"/>
        </w:rPr>
        <w:t xml:space="preserve">microbial </w:t>
      </w:r>
      <w:r>
        <w:rPr>
          <w:rFonts w:ascii="Times New Roman" w:hAnsi="Times New Roman" w:cs="Times New Roman"/>
          <w:sz w:val="24"/>
        </w:rPr>
        <w:t>α-</w:t>
      </w:r>
      <w:r>
        <w:rPr>
          <w:rFonts w:hint="eastAsia" w:ascii="Times New Roman" w:hAnsi="Times New Roman" w:cs="Times New Roman"/>
          <w:sz w:val="24"/>
        </w:rPr>
        <w:t xml:space="preserve"> </w:t>
      </w:r>
      <w:r>
        <w:rPr>
          <w:rFonts w:ascii="Times New Roman" w:hAnsi="Times New Roman" w:cs="Times New Roman"/>
          <w:sz w:val="24"/>
        </w:rPr>
        <w:t>divers</w:t>
      </w:r>
      <w:r>
        <w:rPr>
          <w:rFonts w:hint="eastAsia" w:ascii="Times New Roman" w:hAnsi="Times New Roman" w:cs="Times New Roman"/>
          <w:sz w:val="24"/>
        </w:rPr>
        <w:t>ity</w:t>
      </w:r>
      <w:r>
        <w:rPr>
          <w:rFonts w:ascii="Times New Roman" w:hAnsi="Times New Roman" w:cs="Times New Roman"/>
          <w:sz w:val="24"/>
        </w:rPr>
        <w:t xml:space="preserve"> </w:t>
      </w:r>
      <w:r>
        <w:rPr>
          <w:rFonts w:hint="eastAsia" w:ascii="Times New Roman" w:hAnsi="Times New Roman" w:cs="Times New Roman"/>
          <w:sz w:val="24"/>
        </w:rPr>
        <w:t xml:space="preserve">of rumen, feces and </w:t>
      </w:r>
      <w:r>
        <w:rPr>
          <w:rFonts w:ascii="Times New Roman" w:hAnsi="Times New Roman" w:cs="Times New Roman"/>
          <w:color w:val="FF0000"/>
          <w:sz w:val="24"/>
        </w:rPr>
        <w:t>meconium</w:t>
      </w:r>
      <w:r>
        <w:rPr>
          <w:rFonts w:hint="eastAsia" w:ascii="Times New Roman" w:hAnsi="Times New Roman" w:cs="Times New Roman"/>
          <w:sz w:val="24"/>
        </w:rPr>
        <w:t xml:space="preserve"> between the EPG and PPG. </w:t>
      </w:r>
      <w:r>
        <w:rPr>
          <w:rFonts w:hint="eastAsia" w:ascii="Times New Roman" w:hAnsi="Times New Roman" w:cs="Times New Roman"/>
          <w:b/>
          <w:bCs/>
          <w:sz w:val="24"/>
        </w:rPr>
        <w:t xml:space="preserve">A </w:t>
      </w:r>
      <w:r>
        <w:rPr>
          <w:rFonts w:hint="eastAsia" w:ascii="Times New Roman" w:hAnsi="Times New Roman" w:cs="Times New Roman"/>
          <w:sz w:val="24"/>
        </w:rPr>
        <w:t xml:space="preserve">The comparison of Chao1 index between the groups. </w:t>
      </w:r>
      <w:r>
        <w:rPr>
          <w:rFonts w:hint="eastAsia" w:ascii="Times New Roman" w:hAnsi="Times New Roman" w:cs="Times New Roman"/>
          <w:b/>
          <w:bCs/>
          <w:sz w:val="24"/>
        </w:rPr>
        <w:t xml:space="preserve">B </w:t>
      </w:r>
      <w:r>
        <w:rPr>
          <w:rFonts w:hint="eastAsia" w:ascii="Times New Roman" w:hAnsi="Times New Roman" w:cs="Times New Roman"/>
          <w:sz w:val="24"/>
        </w:rPr>
        <w:t>The comparison of Shannon index between the groups.</w:t>
      </w:r>
      <w:r>
        <w:rPr>
          <w:rFonts w:hint="eastAsia" w:ascii="Times New Roman" w:hAnsi="Times New Roman" w:cs="Times New Roman"/>
          <w:color w:val="FF0000"/>
          <w:sz w:val="24"/>
        </w:rPr>
        <w:t xml:space="preserve"> </w:t>
      </w:r>
      <w:r>
        <w:rPr>
          <w:rFonts w:ascii="Times New Roman" w:hAnsi="Times New Roman" w:cs="Times New Roman"/>
          <w:color w:val="FF0000"/>
          <w:sz w:val="24"/>
        </w:rPr>
        <w:t xml:space="preserve">RF = rumen fluid; </w:t>
      </w:r>
      <w:r>
        <w:rPr>
          <w:rFonts w:hint="eastAsia" w:ascii="Times New Roman" w:hAnsi="Times New Roman" w:cs="Times New Roman"/>
          <w:color w:val="FF0000"/>
          <w:sz w:val="24"/>
        </w:rPr>
        <w:t>FE = feces; ME = meconium.</w:t>
      </w:r>
    </w:p>
    <w:p w14:paraId="6EE2388B">
      <w:pPr>
        <w:rPr>
          <w:rFonts w:ascii="Times New Roman" w:hAnsi="Times New Roman" w:cs="Times New Roman"/>
          <w:sz w:val="24"/>
        </w:rPr>
      </w:pPr>
      <w:r>
        <w:rPr>
          <w:rFonts w:hint="eastAsia" w:ascii="Times New Roman" w:hAnsi="Times New Roman" w:cs="Times New Roman"/>
          <w:sz w:val="24"/>
        </w:rPr>
        <w:br w:type="page"/>
      </w:r>
    </w:p>
    <w:p w14:paraId="77A02833">
      <w:pPr>
        <w:rPr>
          <w:rFonts w:ascii="Times New Roman" w:hAnsi="Times New Roman" w:cs="Times New Roman"/>
          <w:sz w:val="24"/>
        </w:rPr>
      </w:pPr>
      <w:r>
        <w:rPr>
          <w:rFonts w:ascii="Times New Roman" w:hAnsi="Times New Roman" w:cs="Times New Roman"/>
          <w:sz w:val="24"/>
        </w:rPr>
        <w:drawing>
          <wp:inline distT="0" distB="0" distL="114300" distR="114300">
            <wp:extent cx="5273675" cy="5442585"/>
            <wp:effectExtent l="0" t="0" r="3175" b="5715"/>
            <wp:docPr id="4" name="图片 4" descr="柱状图组图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柱状图组图附图"/>
                    <pic:cNvPicPr>
                      <a:picLocks noChangeAspect="1"/>
                    </pic:cNvPicPr>
                  </pic:nvPicPr>
                  <pic:blipFill>
                    <a:blip r:embed="rId9"/>
                    <a:stretch>
                      <a:fillRect/>
                    </a:stretch>
                  </pic:blipFill>
                  <pic:spPr>
                    <a:xfrm>
                      <a:off x="0" y="0"/>
                      <a:ext cx="5273675" cy="5442585"/>
                    </a:xfrm>
                    <a:prstGeom prst="rect">
                      <a:avLst/>
                    </a:prstGeom>
                  </pic:spPr>
                </pic:pic>
              </a:graphicData>
            </a:graphic>
          </wp:inline>
        </w:drawing>
      </w:r>
    </w:p>
    <w:p w14:paraId="56332888">
      <w:pPr>
        <w:rPr>
          <w:rFonts w:ascii="Times New Roman" w:hAnsi="Times New Roman" w:cs="Times New Roman"/>
          <w:sz w:val="24"/>
        </w:rPr>
      </w:pPr>
      <w:r>
        <w:rPr>
          <w:rFonts w:hint="eastAsia" w:ascii="Times New Roman" w:hAnsi="Times New Roman" w:cs="Times New Roman"/>
          <w:b/>
          <w:bCs/>
          <w:sz w:val="24"/>
        </w:rPr>
        <w:t>Fig. S6</w:t>
      </w:r>
      <w:r>
        <w:rPr>
          <w:rFonts w:hint="eastAsia" w:ascii="Times New Roman" w:hAnsi="Times New Roman" w:cs="Times New Roman"/>
          <w:sz w:val="24"/>
        </w:rPr>
        <w:t xml:space="preserve"> Relative abundances of bacterial communities at the species level. </w:t>
      </w:r>
      <w:r>
        <w:rPr>
          <w:rFonts w:hint="eastAsia" w:ascii="Times New Roman" w:hAnsi="Times New Roman" w:cs="Times New Roman"/>
          <w:b/>
          <w:bCs/>
          <w:sz w:val="24"/>
        </w:rPr>
        <w:t xml:space="preserve">A </w:t>
      </w:r>
      <w:r>
        <w:rPr>
          <w:rFonts w:ascii="Times New Roman" w:hAnsi="Times New Roman" w:cs="Times New Roman"/>
          <w:sz w:val="24"/>
        </w:rPr>
        <w:t>Relative abundance of bacterial communities</w:t>
      </w:r>
      <w:r>
        <w:rPr>
          <w:rFonts w:hint="eastAsia" w:ascii="Times New Roman" w:hAnsi="Times New Roman" w:cs="Times New Roman"/>
          <w:sz w:val="24"/>
        </w:rPr>
        <w:t xml:space="preserve"> at the species level in the rumen of EPG and PPG. </w:t>
      </w:r>
      <w:r>
        <w:rPr>
          <w:rFonts w:hint="eastAsia" w:ascii="Times New Roman" w:hAnsi="Times New Roman" w:cs="Times New Roman"/>
          <w:b/>
          <w:bCs/>
          <w:sz w:val="24"/>
        </w:rPr>
        <w:t xml:space="preserve">B </w:t>
      </w:r>
      <w:r>
        <w:rPr>
          <w:rFonts w:hint="eastAsia" w:ascii="Times New Roman" w:hAnsi="Times New Roman" w:cs="Times New Roman"/>
          <w:sz w:val="24"/>
        </w:rPr>
        <w:t xml:space="preserve">Relative abundances of bacterial communities at the species level in the feces of EPG and PPG. </w:t>
      </w:r>
      <w:r>
        <w:rPr>
          <w:rFonts w:hint="eastAsia" w:ascii="Times New Roman" w:hAnsi="Times New Roman" w:cs="Times New Roman"/>
          <w:b/>
          <w:bCs/>
          <w:sz w:val="24"/>
        </w:rPr>
        <w:t xml:space="preserve">C </w:t>
      </w:r>
      <w:r>
        <w:rPr>
          <w:rFonts w:hint="eastAsia" w:ascii="Times New Roman" w:hAnsi="Times New Roman" w:cs="Times New Roman"/>
          <w:sz w:val="24"/>
        </w:rPr>
        <w:t>Relative abundances of bacterial communities at the species level in the meconium of EPG and PPG.</w:t>
      </w:r>
    </w:p>
    <w:p w14:paraId="03A6DAED">
      <w:pPr>
        <w:rPr>
          <w:rFonts w:ascii="Times New Roman" w:hAnsi="Times New Roman" w:cs="Times New Roman"/>
          <w:sz w:val="24"/>
        </w:rPr>
      </w:pPr>
      <w:r>
        <w:rPr>
          <w:rFonts w:hint="eastAsia" w:ascii="Times New Roman" w:hAnsi="Times New Roman" w:cs="Times New Roman"/>
          <w:sz w:val="24"/>
        </w:rPr>
        <w:br w:type="page"/>
      </w:r>
    </w:p>
    <w:p w14:paraId="332970B1">
      <w:pPr>
        <w:rPr>
          <w:rFonts w:ascii="Times New Roman" w:hAnsi="Times New Roman" w:cs="Times New Roman"/>
          <w:sz w:val="24"/>
        </w:rPr>
      </w:pPr>
      <w:r>
        <w:rPr>
          <w:rFonts w:ascii="Times New Roman" w:hAnsi="Times New Roman" w:cs="Times New Roman"/>
          <w:sz w:val="24"/>
        </w:rPr>
        <w:drawing>
          <wp:inline distT="0" distB="0" distL="114300" distR="114300">
            <wp:extent cx="5521325" cy="2232025"/>
            <wp:effectExtent l="0" t="0" r="3175" b="15875"/>
            <wp:docPr id="5" name="图片 5" descr="AA与BB物种与功能贡献度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A与BB物种与功能贡献度组图"/>
                    <pic:cNvPicPr>
                      <a:picLocks noChangeAspect="1"/>
                    </pic:cNvPicPr>
                  </pic:nvPicPr>
                  <pic:blipFill>
                    <a:blip r:embed="rId10"/>
                    <a:stretch>
                      <a:fillRect/>
                    </a:stretch>
                  </pic:blipFill>
                  <pic:spPr>
                    <a:xfrm>
                      <a:off x="0" y="0"/>
                      <a:ext cx="5521325" cy="2232025"/>
                    </a:xfrm>
                    <a:prstGeom prst="rect">
                      <a:avLst/>
                    </a:prstGeom>
                  </pic:spPr>
                </pic:pic>
              </a:graphicData>
            </a:graphic>
          </wp:inline>
        </w:drawing>
      </w:r>
    </w:p>
    <w:p w14:paraId="57D511C9">
      <w:pPr>
        <w:rPr>
          <w:rFonts w:ascii="Times New Roman" w:hAnsi="Times New Roman" w:cs="Times New Roman"/>
          <w:sz w:val="24"/>
        </w:rPr>
      </w:pPr>
      <w:r>
        <w:rPr>
          <w:rFonts w:hint="eastAsia" w:ascii="Times New Roman" w:hAnsi="Times New Roman" w:cs="Times New Roman"/>
          <w:b/>
          <w:bCs/>
          <w:sz w:val="24"/>
        </w:rPr>
        <w:t>Fig. S7</w:t>
      </w:r>
      <w:r>
        <w:rPr>
          <w:rFonts w:hint="eastAsia" w:ascii="Times New Roman" w:hAnsi="Times New Roman" w:cs="Times New Roman"/>
          <w:sz w:val="24"/>
        </w:rPr>
        <w:t xml:space="preserve"> The difference of KEGG metabolic function attached to meconium microbiome between the EPG and PPG. </w:t>
      </w:r>
      <w:r>
        <w:rPr>
          <w:rFonts w:hint="eastAsia" w:ascii="Times New Roman" w:hAnsi="Times New Roman" w:cs="Times New Roman"/>
          <w:b/>
          <w:bCs/>
          <w:sz w:val="24"/>
        </w:rPr>
        <w:t xml:space="preserve">A </w:t>
      </w:r>
      <w:r>
        <w:rPr>
          <w:rFonts w:hint="eastAsia" w:ascii="Times New Roman" w:hAnsi="Times New Roman" w:cs="Times New Roman"/>
          <w:sz w:val="24"/>
        </w:rPr>
        <w:t xml:space="preserve">Significantly different KEGG pathways related to metabolism of meconium microbiota in the EPG and PPG. </w:t>
      </w:r>
      <w:r>
        <w:rPr>
          <w:rFonts w:hint="eastAsia" w:ascii="Times New Roman" w:hAnsi="Times New Roman" w:cs="Times New Roman"/>
          <w:b/>
          <w:bCs/>
          <w:sz w:val="24"/>
        </w:rPr>
        <w:t xml:space="preserve">B </w:t>
      </w:r>
      <w:r>
        <w:rPr>
          <w:rFonts w:hint="eastAsia" w:ascii="Times New Roman" w:hAnsi="Times New Roman" w:cs="Times New Roman"/>
          <w:sz w:val="24"/>
        </w:rPr>
        <w:t>Heatmap</w:t>
      </w:r>
      <w:r>
        <w:rPr>
          <w:rFonts w:ascii="Times New Roman" w:hAnsi="Times New Roman" w:cs="Times New Roman"/>
          <w:sz w:val="24"/>
        </w:rPr>
        <w:t xml:space="preserve"> depicting the </w:t>
      </w:r>
      <w:r>
        <w:rPr>
          <w:rFonts w:hint="eastAsia" w:ascii="Times New Roman" w:hAnsi="Times New Roman" w:cs="Times New Roman"/>
          <w:sz w:val="24"/>
        </w:rPr>
        <w:t>difference</w:t>
      </w:r>
      <w:r>
        <w:rPr>
          <w:rFonts w:ascii="Times New Roman" w:hAnsi="Times New Roman" w:cs="Times New Roman"/>
          <w:sz w:val="24"/>
        </w:rPr>
        <w:t xml:space="preserve"> of </w:t>
      </w:r>
      <w:r>
        <w:rPr>
          <w:rFonts w:hint="eastAsia" w:ascii="Times New Roman" w:hAnsi="Times New Roman" w:cs="Times New Roman"/>
          <w:sz w:val="24"/>
        </w:rPr>
        <w:t>microbial</w:t>
      </w:r>
      <w:r>
        <w:rPr>
          <w:rFonts w:ascii="Times New Roman" w:hAnsi="Times New Roman" w:cs="Times New Roman"/>
          <w:sz w:val="24"/>
        </w:rPr>
        <w:t xml:space="preserve"> hosts of </w:t>
      </w:r>
      <w:r>
        <w:rPr>
          <w:rFonts w:hint="eastAsia" w:ascii="Times New Roman" w:hAnsi="Times New Roman" w:cs="Times New Roman"/>
          <w:sz w:val="24"/>
        </w:rPr>
        <w:t>metabolic</w:t>
      </w:r>
      <w:r>
        <w:rPr>
          <w:rFonts w:ascii="Times New Roman" w:hAnsi="Times New Roman" w:cs="Times New Roman"/>
          <w:sz w:val="24"/>
        </w:rPr>
        <w:t xml:space="preserve"> </w:t>
      </w:r>
      <w:r>
        <w:rPr>
          <w:rFonts w:hint="eastAsia" w:ascii="Times New Roman" w:hAnsi="Times New Roman" w:cs="Times New Roman"/>
          <w:sz w:val="24"/>
        </w:rPr>
        <w:t>functions</w:t>
      </w:r>
      <w:r>
        <w:rPr>
          <w:rFonts w:ascii="Times New Roman" w:hAnsi="Times New Roman" w:cs="Times New Roman"/>
          <w:sz w:val="24"/>
        </w:rPr>
        <w:t xml:space="preserve"> at the </w:t>
      </w:r>
      <w:r>
        <w:rPr>
          <w:rFonts w:hint="eastAsia" w:ascii="Times New Roman" w:hAnsi="Times New Roman" w:cs="Times New Roman"/>
          <w:sz w:val="24"/>
        </w:rPr>
        <w:t>species</w:t>
      </w:r>
      <w:r>
        <w:rPr>
          <w:rFonts w:ascii="Times New Roman" w:hAnsi="Times New Roman" w:cs="Times New Roman"/>
          <w:sz w:val="24"/>
        </w:rPr>
        <w:t xml:space="preserve"> level</w:t>
      </w:r>
      <w:r>
        <w:rPr>
          <w:rFonts w:hint="eastAsia" w:ascii="Times New Roman" w:hAnsi="Times New Roman" w:cs="Times New Roman"/>
          <w:sz w:val="24"/>
        </w:rPr>
        <w:t xml:space="preserve"> in the meconium</w:t>
      </w:r>
      <w:r>
        <w:rPr>
          <w:rFonts w:ascii="Times New Roman" w:hAnsi="Times New Roman" w:cs="Times New Roman"/>
          <w:sz w:val="24"/>
        </w:rPr>
        <w:t>.</w:t>
      </w:r>
    </w:p>
    <w:p w14:paraId="241843E8">
      <w:pPr>
        <w:rPr>
          <w:rFonts w:ascii="Times New Roman" w:hAnsi="Times New Roman" w:cs="Times New Roman"/>
          <w:sz w:val="24"/>
        </w:rPr>
      </w:pPr>
      <w:r>
        <w:rPr>
          <w:rFonts w:ascii="Times New Roman" w:hAnsi="Times New Roman" w:cs="Times New Roman"/>
          <w:sz w:val="24"/>
        </w:rPr>
        <w:br w:type="page"/>
      </w:r>
    </w:p>
    <w:p w14:paraId="51F1E6BC">
      <w:pPr>
        <w:rPr>
          <w:rFonts w:ascii="Times New Roman" w:hAnsi="Times New Roman" w:cs="Times New Roman"/>
          <w:sz w:val="24"/>
        </w:rPr>
      </w:pPr>
      <w:bookmarkStart w:id="0" w:name="_GoBack"/>
      <w:r>
        <w:rPr>
          <w:rFonts w:ascii="Times New Roman" w:hAnsi="Times New Roman" w:cs="Times New Roman"/>
          <w:sz w:val="24"/>
        </w:rPr>
        <w:drawing>
          <wp:inline distT="0" distB="0" distL="114300" distR="114300">
            <wp:extent cx="5270500" cy="3786505"/>
            <wp:effectExtent l="0" t="0" r="6350" b="4445"/>
            <wp:docPr id="7" name="图片 7" descr="MGE附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GE附表"/>
                    <pic:cNvPicPr>
                      <a:picLocks noChangeAspect="1"/>
                    </pic:cNvPicPr>
                  </pic:nvPicPr>
                  <pic:blipFill>
                    <a:blip r:embed="rId11"/>
                    <a:stretch>
                      <a:fillRect/>
                    </a:stretch>
                  </pic:blipFill>
                  <pic:spPr>
                    <a:xfrm>
                      <a:off x="0" y="0"/>
                      <a:ext cx="5270500" cy="3786505"/>
                    </a:xfrm>
                    <a:prstGeom prst="rect">
                      <a:avLst/>
                    </a:prstGeom>
                  </pic:spPr>
                </pic:pic>
              </a:graphicData>
            </a:graphic>
          </wp:inline>
        </w:drawing>
      </w:r>
      <w:bookmarkEnd w:id="0"/>
    </w:p>
    <w:p w14:paraId="482D90C4">
      <w:pPr>
        <w:rPr>
          <w:rFonts w:ascii="Times New Roman" w:hAnsi="Times New Roman" w:cs="Times New Roman"/>
          <w:sz w:val="24"/>
        </w:rPr>
      </w:pPr>
      <w:r>
        <w:rPr>
          <w:rFonts w:hint="eastAsia" w:ascii="Times New Roman" w:hAnsi="Times New Roman" w:cs="Times New Roman"/>
          <w:b/>
          <w:bCs/>
          <w:sz w:val="24"/>
        </w:rPr>
        <w:t>Fig. S8</w:t>
      </w:r>
      <w:r>
        <w:rPr>
          <w:rFonts w:hint="eastAsia" w:ascii="Times New Roman" w:hAnsi="Times New Roman" w:cs="Times New Roman"/>
          <w:sz w:val="24"/>
        </w:rPr>
        <w:t xml:space="preserve"> The abundance of MGE class in the rumen, feces and meconium between the EPG and PPG. </w:t>
      </w:r>
      <w:r>
        <w:rPr>
          <w:rFonts w:hint="eastAsia" w:ascii="Times New Roman" w:hAnsi="Times New Roman" w:cs="Times New Roman"/>
          <w:b/>
          <w:bCs/>
          <w:sz w:val="24"/>
        </w:rPr>
        <w:t>A</w:t>
      </w:r>
      <w:r>
        <w:rPr>
          <w:rFonts w:hint="eastAsia" w:ascii="Times New Roman" w:hAnsi="Times New Roman" w:cs="Times New Roman"/>
          <w:sz w:val="24"/>
        </w:rPr>
        <w:t xml:space="preserve"> The total abundance of MGEs. </w:t>
      </w:r>
      <w:r>
        <w:rPr>
          <w:rFonts w:hint="eastAsia" w:ascii="Times New Roman" w:hAnsi="Times New Roman" w:cs="Times New Roman"/>
          <w:b/>
          <w:bCs/>
          <w:sz w:val="24"/>
        </w:rPr>
        <w:t>B</w:t>
      </w:r>
      <w:r>
        <w:rPr>
          <w:rFonts w:hint="eastAsia" w:ascii="Times New Roman" w:hAnsi="Times New Roman" w:cs="Times New Roman"/>
          <w:sz w:val="24"/>
        </w:rPr>
        <w:t xml:space="preserve"> The abundance of integrall. </w:t>
      </w:r>
      <w:r>
        <w:rPr>
          <w:rFonts w:hint="eastAsia" w:ascii="Times New Roman" w:hAnsi="Times New Roman" w:cs="Times New Roman"/>
          <w:b/>
          <w:bCs/>
          <w:sz w:val="24"/>
        </w:rPr>
        <w:t xml:space="preserve">C </w:t>
      </w:r>
      <w:r>
        <w:rPr>
          <w:rFonts w:hint="eastAsia" w:ascii="Times New Roman" w:hAnsi="Times New Roman" w:cs="Times New Roman"/>
          <w:sz w:val="24"/>
        </w:rPr>
        <w:t xml:space="preserve">The abundance of ICEberg. </w:t>
      </w:r>
      <w:r>
        <w:rPr>
          <w:rFonts w:hint="eastAsia" w:ascii="Times New Roman" w:hAnsi="Times New Roman" w:cs="Times New Roman"/>
          <w:b/>
          <w:bCs/>
          <w:sz w:val="24"/>
        </w:rPr>
        <w:t xml:space="preserve">D </w:t>
      </w:r>
      <w:r>
        <w:rPr>
          <w:rFonts w:hint="eastAsia" w:ascii="Times New Roman" w:hAnsi="Times New Roman" w:cs="Times New Roman"/>
          <w:sz w:val="24"/>
        </w:rPr>
        <w:t xml:space="preserve">The abundance of ISFinder. </w:t>
      </w:r>
      <w:r>
        <w:rPr>
          <w:rFonts w:hint="eastAsia" w:ascii="Times New Roman" w:hAnsi="Times New Roman" w:cs="Times New Roman"/>
          <w:b/>
          <w:bCs/>
          <w:sz w:val="24"/>
        </w:rPr>
        <w:t xml:space="preserve">E </w:t>
      </w:r>
      <w:r>
        <w:rPr>
          <w:rFonts w:hint="eastAsia" w:ascii="Times New Roman" w:hAnsi="Times New Roman" w:cs="Times New Roman"/>
          <w:sz w:val="24"/>
        </w:rPr>
        <w:t xml:space="preserve">The abundance of Plasmid. </w:t>
      </w:r>
      <w:r>
        <w:rPr>
          <w:rFonts w:hint="eastAsia" w:ascii="Times New Roman" w:hAnsi="Times New Roman" w:eastAsia="宋体" w:cs="Times New Roman"/>
          <w:sz w:val="24"/>
          <w:lang w:bidi="ar"/>
        </w:rPr>
        <w:t xml:space="preserve">TPM = </w:t>
      </w:r>
      <w:r>
        <w:rPr>
          <w:rFonts w:ascii="Times New Roman" w:hAnsi="Times New Roman" w:eastAsia="宋体" w:cs="Times New Roman"/>
          <w:sz w:val="24"/>
          <w:lang w:bidi="ar"/>
        </w:rPr>
        <w:t>Transcripts per million</w:t>
      </w:r>
    </w:p>
    <w:p w14:paraId="17177A36">
      <w:pPr>
        <w:rPr>
          <w:rFonts w:ascii="Times New Roman" w:hAnsi="Times New Roman" w:cs="Times New Roman"/>
          <w:sz w:val="24"/>
        </w:rPr>
      </w:pPr>
      <w:r>
        <w:rPr>
          <w:rFonts w:hint="eastAsia" w:ascii="Times New Roman" w:hAnsi="Times New Roman" w:cs="Times New Roman"/>
          <w:sz w:val="24"/>
        </w:rPr>
        <w:br w:type="page"/>
      </w:r>
    </w:p>
    <w:p w14:paraId="7AB81645">
      <w:pPr>
        <w:rPr>
          <w:rFonts w:ascii="Times New Roman" w:hAnsi="Times New Roman" w:cs="Times New Roman"/>
          <w:sz w:val="24"/>
        </w:rPr>
      </w:pPr>
    </w:p>
    <w:p w14:paraId="033B5F2A">
      <w:pPr>
        <w:rPr>
          <w:rFonts w:ascii="Times New Roman" w:hAnsi="Times New Roman" w:cs="Times New Roman"/>
          <w:sz w:val="24"/>
        </w:rPr>
      </w:pPr>
      <w:r>
        <w:rPr>
          <w:rFonts w:hint="eastAsia" w:ascii="Times New Roman" w:hAnsi="Times New Roman" w:cs="Times New Roman"/>
          <w:sz w:val="24"/>
        </w:rPr>
        <w:drawing>
          <wp:inline distT="0" distB="0" distL="114300" distR="114300">
            <wp:extent cx="5267960" cy="1767840"/>
            <wp:effectExtent l="0" t="0" r="8890" b="3810"/>
            <wp:docPr id="2" name="图片 2" descr="代谢图火山图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代谢图火山图附图"/>
                    <pic:cNvPicPr>
                      <a:picLocks noChangeAspect="1"/>
                    </pic:cNvPicPr>
                  </pic:nvPicPr>
                  <pic:blipFill>
                    <a:blip r:embed="rId12"/>
                    <a:stretch>
                      <a:fillRect/>
                    </a:stretch>
                  </pic:blipFill>
                  <pic:spPr>
                    <a:xfrm>
                      <a:off x="0" y="0"/>
                      <a:ext cx="5267960" cy="1767840"/>
                    </a:xfrm>
                    <a:prstGeom prst="rect">
                      <a:avLst/>
                    </a:prstGeom>
                  </pic:spPr>
                </pic:pic>
              </a:graphicData>
            </a:graphic>
          </wp:inline>
        </w:drawing>
      </w:r>
    </w:p>
    <w:p w14:paraId="17BE78BF">
      <w:pPr>
        <w:rPr>
          <w:rFonts w:ascii="Times New Roman" w:hAnsi="Times New Roman" w:cs="Times New Roman"/>
          <w:sz w:val="24"/>
        </w:rPr>
      </w:pPr>
      <w:r>
        <w:rPr>
          <w:rFonts w:hint="eastAsia" w:ascii="Times New Roman" w:hAnsi="Times New Roman" w:cs="Times New Roman"/>
          <w:b/>
          <w:bCs/>
          <w:sz w:val="24"/>
        </w:rPr>
        <w:t xml:space="preserve">Fig. S9 </w:t>
      </w:r>
      <w:r>
        <w:rPr>
          <w:rFonts w:hint="eastAsia" w:ascii="Times New Roman" w:hAnsi="Times New Roman" w:cs="Times New Roman"/>
          <w:sz w:val="24"/>
        </w:rPr>
        <w:t xml:space="preserve">Volcano map of metabolites identified by the metabolome of rumen, feces and meconium between the EPG and PPG. </w:t>
      </w:r>
      <w:r>
        <w:rPr>
          <w:rFonts w:hint="eastAsia" w:ascii="Times New Roman" w:hAnsi="Times New Roman" w:cs="Times New Roman"/>
          <w:b/>
          <w:bCs/>
          <w:sz w:val="24"/>
        </w:rPr>
        <w:t xml:space="preserve">A </w:t>
      </w:r>
      <w:r>
        <w:rPr>
          <w:rFonts w:hint="eastAsia" w:ascii="Times New Roman" w:hAnsi="Times New Roman" w:cs="Times New Roman"/>
          <w:sz w:val="24"/>
        </w:rPr>
        <w:t xml:space="preserve">The identification of signature metabolites in the rumen. </w:t>
      </w:r>
      <w:r>
        <w:rPr>
          <w:rFonts w:hint="eastAsia" w:ascii="Times New Roman" w:hAnsi="Times New Roman" w:cs="Times New Roman"/>
          <w:b/>
          <w:bCs/>
          <w:sz w:val="24"/>
        </w:rPr>
        <w:t xml:space="preserve">B </w:t>
      </w:r>
      <w:r>
        <w:rPr>
          <w:rFonts w:hint="eastAsia" w:ascii="Times New Roman" w:hAnsi="Times New Roman" w:cs="Times New Roman"/>
          <w:sz w:val="24"/>
        </w:rPr>
        <w:t xml:space="preserve">The identification of signature metabolites in the feces. </w:t>
      </w:r>
      <w:r>
        <w:rPr>
          <w:rFonts w:hint="eastAsia" w:ascii="Times New Roman" w:hAnsi="Times New Roman" w:cs="Times New Roman"/>
          <w:b/>
          <w:bCs/>
          <w:sz w:val="24"/>
        </w:rPr>
        <w:t xml:space="preserve">C </w:t>
      </w:r>
      <w:r>
        <w:rPr>
          <w:rFonts w:hint="eastAsia" w:ascii="Times New Roman" w:hAnsi="Times New Roman" w:cs="Times New Roman"/>
          <w:sz w:val="24"/>
        </w:rPr>
        <w:t>The identification of signature metabolites in the meconium.</w:t>
      </w:r>
      <w:r>
        <w:rPr>
          <w:rFonts w:hint="eastAsia" w:ascii="Times New Roman" w:hAnsi="Times New Roman" w:cs="Times New Roman"/>
          <w:sz w:val="24"/>
        </w:rPr>
        <w:br w:type="page"/>
      </w:r>
    </w:p>
    <w:p w14:paraId="012AEA7F">
      <w:pPr>
        <w:rPr>
          <w:rFonts w:ascii="Times New Roman" w:hAnsi="Times New Roman" w:cs="Times New Roman"/>
          <w:sz w:val="24"/>
        </w:rPr>
      </w:pPr>
      <w:r>
        <w:rPr>
          <w:rFonts w:ascii="Times New Roman" w:hAnsi="Times New Roman" w:cs="Times New Roman"/>
          <w:sz w:val="24"/>
        </w:rPr>
        <w:drawing>
          <wp:inline distT="0" distB="0" distL="114300" distR="114300">
            <wp:extent cx="5269230" cy="6300470"/>
            <wp:effectExtent l="0" t="0" r="7620" b="5080"/>
            <wp:docPr id="8" name="图片 8" descr="代谢组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代谢组附图"/>
                    <pic:cNvPicPr>
                      <a:picLocks noChangeAspect="1"/>
                    </pic:cNvPicPr>
                  </pic:nvPicPr>
                  <pic:blipFill>
                    <a:blip r:embed="rId13"/>
                    <a:stretch>
                      <a:fillRect/>
                    </a:stretch>
                  </pic:blipFill>
                  <pic:spPr>
                    <a:xfrm>
                      <a:off x="0" y="0"/>
                      <a:ext cx="5269230" cy="6300470"/>
                    </a:xfrm>
                    <a:prstGeom prst="rect">
                      <a:avLst/>
                    </a:prstGeom>
                  </pic:spPr>
                </pic:pic>
              </a:graphicData>
            </a:graphic>
          </wp:inline>
        </w:drawing>
      </w:r>
    </w:p>
    <w:p w14:paraId="6672A99B">
      <w:pPr>
        <w:rPr>
          <w:rFonts w:ascii="Times New Roman" w:hAnsi="Times New Roman" w:cs="Times New Roman"/>
          <w:sz w:val="24"/>
        </w:rPr>
      </w:pPr>
      <w:r>
        <w:rPr>
          <w:rFonts w:hint="eastAsia" w:ascii="Times New Roman" w:hAnsi="Times New Roman" w:cs="Times New Roman"/>
          <w:b/>
          <w:bCs/>
          <w:sz w:val="24"/>
        </w:rPr>
        <w:t xml:space="preserve">Fig. S10 </w:t>
      </w:r>
      <w:r>
        <w:rPr>
          <w:rFonts w:hint="eastAsia" w:ascii="Times New Roman" w:hAnsi="Times New Roman" w:cs="Times New Roman"/>
          <w:sz w:val="24"/>
        </w:rPr>
        <w:t xml:space="preserve">The identification of metabolites of rumen, feces and meconium from different sources. </w:t>
      </w:r>
      <w:r>
        <w:rPr>
          <w:rFonts w:hint="eastAsia" w:ascii="Times New Roman" w:hAnsi="Times New Roman" w:cs="Times New Roman"/>
          <w:b/>
          <w:bCs/>
          <w:sz w:val="24"/>
        </w:rPr>
        <w:t xml:space="preserve">A </w:t>
      </w:r>
      <w:r>
        <w:rPr>
          <w:rFonts w:hint="eastAsia" w:ascii="Times New Roman" w:hAnsi="Times New Roman" w:cs="Times New Roman"/>
          <w:sz w:val="24"/>
        </w:rPr>
        <w:t xml:space="preserve">The source of rumen metabolites. </w:t>
      </w:r>
      <w:r>
        <w:rPr>
          <w:rFonts w:hint="eastAsia" w:ascii="Times New Roman" w:hAnsi="Times New Roman" w:cs="Times New Roman"/>
          <w:b/>
          <w:bCs/>
          <w:sz w:val="24"/>
        </w:rPr>
        <w:t xml:space="preserve">B </w:t>
      </w:r>
      <w:r>
        <w:rPr>
          <w:rFonts w:hint="eastAsia" w:ascii="Times New Roman" w:hAnsi="Times New Roman" w:cs="Times New Roman"/>
          <w:sz w:val="24"/>
        </w:rPr>
        <w:t xml:space="preserve">The source of feces metabolites. </w:t>
      </w:r>
      <w:r>
        <w:rPr>
          <w:rFonts w:hint="eastAsia" w:ascii="Times New Roman" w:hAnsi="Times New Roman" w:cs="Times New Roman"/>
          <w:b/>
          <w:bCs/>
          <w:sz w:val="24"/>
        </w:rPr>
        <w:t xml:space="preserve">C </w:t>
      </w:r>
      <w:r>
        <w:rPr>
          <w:rFonts w:hint="eastAsia" w:ascii="Times New Roman" w:hAnsi="Times New Roman" w:cs="Times New Roman"/>
          <w:sz w:val="24"/>
        </w:rPr>
        <w:t>The source of meconium metabolites.</w:t>
      </w:r>
    </w:p>
    <w:p w14:paraId="57E1843D">
      <w:pPr>
        <w:rPr>
          <w:rFonts w:ascii="Times New Roman" w:hAnsi="Times New Roman" w:cs="Times New Roman"/>
          <w:sz w:val="24"/>
        </w:rPr>
      </w:pPr>
      <w:r>
        <w:rPr>
          <w:rFonts w:hint="eastAsia" w:ascii="Times New Roman" w:hAnsi="Times New Roman" w:cs="Times New Roman"/>
          <w:sz w:val="24"/>
        </w:rPr>
        <w:br w:type="page"/>
      </w:r>
    </w:p>
    <w:p w14:paraId="019AF0CE">
      <w:pPr>
        <w:jc w:val="center"/>
        <w:rPr>
          <w:rFonts w:ascii="Times New Roman" w:hAnsi="Times New Roman" w:cs="Times New Roman"/>
          <w:sz w:val="24"/>
        </w:rPr>
      </w:pPr>
      <w:r>
        <w:rPr>
          <w:rFonts w:ascii="Times New Roman" w:hAnsi="Times New Roman" w:cs="Times New Roman"/>
          <w:sz w:val="24"/>
        </w:rPr>
        <w:drawing>
          <wp:inline distT="0" distB="0" distL="114300" distR="114300">
            <wp:extent cx="4702175" cy="7997825"/>
            <wp:effectExtent l="0" t="0" r="3175" b="3175"/>
            <wp:docPr id="6" name="图片 6" descr="粪便代谢组图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粪便代谢组图附图"/>
                    <pic:cNvPicPr>
                      <a:picLocks noChangeAspect="1"/>
                    </pic:cNvPicPr>
                  </pic:nvPicPr>
                  <pic:blipFill>
                    <a:blip r:embed="rId14"/>
                    <a:stretch>
                      <a:fillRect/>
                    </a:stretch>
                  </pic:blipFill>
                  <pic:spPr>
                    <a:xfrm>
                      <a:off x="0" y="0"/>
                      <a:ext cx="4702175" cy="7997825"/>
                    </a:xfrm>
                    <a:prstGeom prst="rect">
                      <a:avLst/>
                    </a:prstGeom>
                  </pic:spPr>
                </pic:pic>
              </a:graphicData>
            </a:graphic>
          </wp:inline>
        </w:drawing>
      </w:r>
    </w:p>
    <w:p w14:paraId="3014BDBE">
      <w:pPr>
        <w:rPr>
          <w:rFonts w:ascii="Times New Roman" w:hAnsi="Times New Roman"/>
          <w:sz w:val="24"/>
        </w:rPr>
      </w:pPr>
      <w:r>
        <w:rPr>
          <w:rFonts w:hint="eastAsia" w:ascii="Times New Roman" w:hAnsi="Times New Roman" w:cs="Times New Roman"/>
          <w:b/>
          <w:bCs/>
          <w:sz w:val="24"/>
        </w:rPr>
        <w:t xml:space="preserve">Fig. S11 </w:t>
      </w:r>
      <w:r>
        <w:rPr>
          <w:rFonts w:hint="eastAsia" w:ascii="Times New Roman" w:hAnsi="Times New Roman" w:cs="Times New Roman"/>
          <w:sz w:val="24"/>
        </w:rPr>
        <w:t>The enrichment of fecal core metabolites.</w:t>
      </w:r>
      <w:r>
        <w:rPr>
          <w:rFonts w:hint="eastAsia" w:ascii="Times New Roman" w:hAnsi="Times New Roman" w:cs="Times New Roman"/>
          <w:b/>
          <w:bCs/>
          <w:sz w:val="24"/>
        </w:rPr>
        <w:t xml:space="preserve"> A </w:t>
      </w:r>
      <w:r>
        <w:rPr>
          <w:rFonts w:hint="eastAsia" w:ascii="Times New Roman" w:hAnsi="Times New Roman" w:cs="Times New Roman"/>
          <w:sz w:val="24"/>
        </w:rPr>
        <w:t>Metabolic pathway enrichment analysis of d</w:t>
      </w:r>
      <w:r>
        <w:rPr>
          <w:rFonts w:ascii="Times New Roman" w:hAnsi="Times New Roman" w:cs="Times New Roman"/>
          <w:sz w:val="24"/>
        </w:rPr>
        <w:t>ifferential core metabolites</w:t>
      </w:r>
      <w:r>
        <w:rPr>
          <w:rFonts w:hint="eastAsia" w:ascii="Times New Roman" w:hAnsi="Times New Roman" w:cs="Times New Roman"/>
          <w:sz w:val="24"/>
        </w:rPr>
        <w:t xml:space="preserve"> in the feces.</w:t>
      </w:r>
      <w:r>
        <w:rPr>
          <w:rFonts w:hint="eastAsia" w:ascii="Times New Roman" w:hAnsi="Times New Roman" w:cs="Times New Roman"/>
          <w:b/>
          <w:bCs/>
          <w:sz w:val="24"/>
        </w:rPr>
        <w:t xml:space="preserve"> B </w:t>
      </w:r>
      <w:r>
        <w:rPr>
          <w:rFonts w:hint="eastAsia" w:ascii="Times New Roman" w:hAnsi="Times New Roman"/>
          <w:sz w:val="24"/>
        </w:rPr>
        <w:t>The</w:t>
      </w:r>
      <w:r>
        <w:rPr>
          <w:rFonts w:ascii="Times New Roman" w:hAnsi="Times New Roman"/>
          <w:sz w:val="24"/>
        </w:rPr>
        <w:t xml:space="preserve"> pathway enrichment analysis of metabolites and its association network </w:t>
      </w:r>
      <w:r>
        <w:rPr>
          <w:rFonts w:hint="eastAsia" w:ascii="Times New Roman" w:hAnsi="Times New Roman"/>
          <w:sz w:val="24"/>
        </w:rPr>
        <w:t>in the feces</w:t>
      </w:r>
      <w:r>
        <w:rPr>
          <w:rFonts w:ascii="Times New Roman" w:hAnsi="Times New Roman"/>
          <w:sz w:val="24"/>
        </w:rPr>
        <w:t>.</w:t>
      </w:r>
      <w:r>
        <w:rPr>
          <w:rFonts w:hint="eastAsia" w:ascii="Times New Roman" w:hAnsi="Times New Roman"/>
          <w:sz w:val="24"/>
        </w:rPr>
        <w:t xml:space="preserve"> The major metabolic pathways are marked in orange nodes and the nodes of signature metabolites are marked in red (enriched in the EPG) or blue (enriched in the PPG) in the association network. </w:t>
      </w:r>
    </w:p>
    <w:p w14:paraId="26BFF0A0">
      <w:pPr>
        <w:rPr>
          <w:rFonts w:ascii="Times New Roman" w:hAnsi="Times New Roman"/>
          <w:sz w:val="24"/>
        </w:rPr>
      </w:pPr>
      <w:r>
        <w:rPr>
          <w:rFonts w:hint="eastAsia" w:ascii="Times New Roman" w:hAnsi="Times New Roman"/>
          <w:sz w:val="24"/>
        </w:rPr>
        <w:br w:type="page"/>
      </w:r>
    </w:p>
    <w:p w14:paraId="2C7EFDDC">
      <w:pPr>
        <w:widowControl/>
        <w:spacing w:line="480" w:lineRule="auto"/>
        <w:jc w:val="center"/>
        <w:rPr>
          <w:rFonts w:ascii="Times New Roman" w:hAnsi="Times New Roman" w:eastAsia="宋体"/>
          <w:sz w:val="24"/>
        </w:rPr>
      </w:pPr>
      <w:r>
        <w:rPr>
          <w:rFonts w:ascii="Times New Roman" w:hAnsi="Times New Roman"/>
          <w:b/>
          <w:bCs/>
          <w:sz w:val="24"/>
        </w:rPr>
        <w:t>Table S1</w:t>
      </w:r>
      <w:r>
        <w:rPr>
          <w:rFonts w:hint="eastAsia" w:ascii="Times New Roman" w:hAnsi="Times New Roman"/>
          <w:b/>
          <w:bCs/>
          <w:sz w:val="24"/>
        </w:rPr>
        <w:t>.</w:t>
      </w:r>
      <w:r>
        <w:rPr>
          <w:rFonts w:ascii="Times New Roman" w:hAnsi="Times New Roman"/>
          <w:b/>
          <w:bCs/>
          <w:sz w:val="24"/>
        </w:rPr>
        <w:t xml:space="preserve"> </w:t>
      </w:r>
      <w:r>
        <w:rPr>
          <w:rFonts w:hint="eastAsia" w:ascii="Times New Roman" w:hAnsi="Times New Roman"/>
          <w:sz w:val="24"/>
        </w:rPr>
        <w:t xml:space="preserve">Comparison of phenotypes of cows between the </w:t>
      </w:r>
      <w:r>
        <w:rPr>
          <w:rFonts w:ascii="Times New Roman" w:hAnsi="Times New Roman" w:eastAsia="宋体" w:cs="Times New Roman"/>
          <w:sz w:val="24"/>
          <w:lang w:bidi="ar"/>
        </w:rPr>
        <w:t>RUE1</w:t>
      </w:r>
      <w:r>
        <w:rPr>
          <w:rFonts w:hint="eastAsia" w:ascii="Times New Roman" w:hAnsi="Times New Roman" w:eastAsia="宋体" w:cs="Times New Roman"/>
          <w:sz w:val="24"/>
          <w:lang w:bidi="ar"/>
        </w:rPr>
        <w:t xml:space="preserve"> and </w:t>
      </w:r>
      <w:r>
        <w:rPr>
          <w:rFonts w:ascii="Times New Roman" w:hAnsi="Times New Roman" w:eastAsia="宋体" w:cs="Times New Roman"/>
          <w:sz w:val="24"/>
          <w:lang w:bidi="ar"/>
        </w:rPr>
        <w:t>RUE</w:t>
      </w:r>
      <w:r>
        <w:rPr>
          <w:rFonts w:hint="eastAsia" w:ascii="Times New Roman" w:hAnsi="Times New Roman" w:eastAsia="宋体" w:cs="Times New Roman"/>
          <w:sz w:val="24"/>
          <w:lang w:bidi="ar"/>
        </w:rPr>
        <w:t>2</w:t>
      </w:r>
    </w:p>
    <w:tbl>
      <w:tblPr>
        <w:tblStyle w:val="4"/>
        <w:tblW w:w="6975" w:type="dxa"/>
        <w:jc w:val="center"/>
        <w:tblLayout w:type="fixed"/>
        <w:tblCellMar>
          <w:top w:w="0" w:type="dxa"/>
          <w:left w:w="108" w:type="dxa"/>
          <w:bottom w:w="0" w:type="dxa"/>
          <w:right w:w="108" w:type="dxa"/>
        </w:tblCellMar>
      </w:tblPr>
      <w:tblGrid>
        <w:gridCol w:w="2770"/>
        <w:gridCol w:w="1095"/>
        <w:gridCol w:w="1041"/>
        <w:gridCol w:w="1080"/>
        <w:gridCol w:w="989"/>
      </w:tblGrid>
      <w:tr w14:paraId="323127E2">
        <w:tblPrEx>
          <w:tblCellMar>
            <w:top w:w="0" w:type="dxa"/>
            <w:left w:w="108" w:type="dxa"/>
            <w:bottom w:w="0" w:type="dxa"/>
            <w:right w:w="108" w:type="dxa"/>
          </w:tblCellMar>
        </w:tblPrEx>
        <w:trPr>
          <w:trHeight w:val="300" w:hRule="atLeast"/>
          <w:jc w:val="center"/>
        </w:trPr>
        <w:tc>
          <w:tcPr>
            <w:tcW w:w="2770" w:type="dxa"/>
            <w:vMerge w:val="restart"/>
            <w:tcBorders>
              <w:top w:val="single" w:color="000000" w:sz="4" w:space="0"/>
              <w:left w:val="nil"/>
              <w:bottom w:val="single" w:color="000000" w:sz="4" w:space="0"/>
              <w:right w:val="nil"/>
            </w:tcBorders>
            <w:shd w:val="clear" w:color="auto" w:fill="auto"/>
            <w:noWrap/>
            <w:vAlign w:val="center"/>
          </w:tcPr>
          <w:p w14:paraId="1EDDA6F2">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Items</w:t>
            </w:r>
          </w:p>
        </w:tc>
        <w:tc>
          <w:tcPr>
            <w:tcW w:w="2136" w:type="dxa"/>
            <w:gridSpan w:val="2"/>
            <w:tcBorders>
              <w:top w:val="single" w:color="000000" w:sz="4" w:space="0"/>
              <w:left w:val="nil"/>
              <w:bottom w:val="single" w:color="000000" w:sz="4" w:space="0"/>
              <w:right w:val="nil"/>
            </w:tcBorders>
            <w:shd w:val="clear" w:color="auto" w:fill="auto"/>
            <w:noWrap/>
            <w:vAlign w:val="center"/>
          </w:tcPr>
          <w:p w14:paraId="385A4EB8">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mean</w:t>
            </w:r>
          </w:p>
        </w:tc>
        <w:tc>
          <w:tcPr>
            <w:tcW w:w="1080" w:type="dxa"/>
            <w:vMerge w:val="restart"/>
            <w:tcBorders>
              <w:top w:val="single" w:color="000000" w:sz="4" w:space="0"/>
              <w:left w:val="nil"/>
              <w:bottom w:val="single" w:color="000000" w:sz="4" w:space="0"/>
              <w:right w:val="nil"/>
            </w:tcBorders>
            <w:shd w:val="clear" w:color="auto" w:fill="auto"/>
            <w:noWrap/>
            <w:vAlign w:val="center"/>
          </w:tcPr>
          <w:p w14:paraId="7B8ABEE5">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SEM</w:t>
            </w:r>
          </w:p>
        </w:tc>
        <w:tc>
          <w:tcPr>
            <w:tcW w:w="989" w:type="dxa"/>
            <w:vMerge w:val="restart"/>
            <w:tcBorders>
              <w:top w:val="single" w:color="000000" w:sz="4" w:space="0"/>
              <w:left w:val="nil"/>
              <w:bottom w:val="single" w:color="000000" w:sz="4" w:space="0"/>
              <w:right w:val="nil"/>
            </w:tcBorders>
            <w:shd w:val="clear" w:color="auto" w:fill="auto"/>
            <w:vAlign w:val="center"/>
          </w:tcPr>
          <w:p w14:paraId="14CA5BD1">
            <w:pPr>
              <w:widowControl/>
              <w:jc w:val="center"/>
              <w:textAlignment w:val="center"/>
              <w:rPr>
                <w:rFonts w:ascii="Times New Roman" w:hAnsi="Times New Roman" w:eastAsia="宋体" w:cs="Times New Roman"/>
                <w:b/>
                <w:bCs/>
                <w:i/>
                <w:iCs/>
                <w:color w:val="000000"/>
                <w:sz w:val="22"/>
                <w:szCs w:val="22"/>
              </w:rPr>
            </w:pPr>
            <w:r>
              <w:rPr>
                <w:rFonts w:hint="eastAsia" w:ascii="Times New Roman" w:hAnsi="Times New Roman" w:eastAsia="宋体" w:cs="Times New Roman"/>
                <w:b/>
                <w:bCs/>
                <w:i/>
                <w:iCs/>
                <w:color w:val="000000"/>
                <w:kern w:val="0"/>
                <w:sz w:val="22"/>
                <w:szCs w:val="22"/>
                <w:lang w:bidi="ar"/>
              </w:rPr>
              <w:t>P</w:t>
            </w:r>
          </w:p>
        </w:tc>
      </w:tr>
      <w:tr w14:paraId="21C7DE9D">
        <w:tblPrEx>
          <w:tblCellMar>
            <w:top w:w="0" w:type="dxa"/>
            <w:left w:w="108" w:type="dxa"/>
            <w:bottom w:w="0" w:type="dxa"/>
            <w:right w:w="108" w:type="dxa"/>
          </w:tblCellMar>
        </w:tblPrEx>
        <w:trPr>
          <w:trHeight w:val="300" w:hRule="atLeast"/>
          <w:jc w:val="center"/>
        </w:trPr>
        <w:tc>
          <w:tcPr>
            <w:tcW w:w="2770" w:type="dxa"/>
            <w:vMerge w:val="continue"/>
            <w:tcBorders>
              <w:top w:val="single" w:color="000000" w:sz="4" w:space="0"/>
              <w:left w:val="nil"/>
              <w:bottom w:val="single" w:color="000000" w:sz="4" w:space="0"/>
              <w:right w:val="nil"/>
            </w:tcBorders>
            <w:shd w:val="clear" w:color="auto" w:fill="auto"/>
            <w:noWrap/>
            <w:vAlign w:val="center"/>
          </w:tcPr>
          <w:p w14:paraId="22D3E378">
            <w:pPr>
              <w:jc w:val="center"/>
              <w:rPr>
                <w:rFonts w:ascii="Times New Roman" w:hAnsi="Times New Roman" w:eastAsia="宋体" w:cs="Times New Roman"/>
                <w:color w:val="000000"/>
                <w:sz w:val="22"/>
                <w:szCs w:val="22"/>
              </w:rPr>
            </w:pPr>
          </w:p>
        </w:tc>
        <w:tc>
          <w:tcPr>
            <w:tcW w:w="1095" w:type="dxa"/>
            <w:tcBorders>
              <w:top w:val="nil"/>
              <w:left w:val="nil"/>
              <w:bottom w:val="single" w:color="000000" w:sz="4" w:space="0"/>
              <w:right w:val="nil"/>
            </w:tcBorders>
            <w:shd w:val="clear" w:color="auto" w:fill="auto"/>
            <w:noWrap/>
            <w:vAlign w:val="center"/>
          </w:tcPr>
          <w:p w14:paraId="35CA2851">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sz w:val="24"/>
                <w:lang w:bidi="ar"/>
              </w:rPr>
              <w:t>RUE1</w:t>
            </w:r>
          </w:p>
        </w:tc>
        <w:tc>
          <w:tcPr>
            <w:tcW w:w="1041" w:type="dxa"/>
            <w:tcBorders>
              <w:top w:val="nil"/>
              <w:left w:val="nil"/>
              <w:bottom w:val="single" w:color="000000" w:sz="4" w:space="0"/>
              <w:right w:val="nil"/>
            </w:tcBorders>
            <w:shd w:val="clear" w:color="auto" w:fill="auto"/>
            <w:noWrap/>
            <w:vAlign w:val="center"/>
          </w:tcPr>
          <w:p w14:paraId="27798E55">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sz w:val="24"/>
                <w:lang w:bidi="ar"/>
              </w:rPr>
              <w:t>RUE</w:t>
            </w:r>
            <w:r>
              <w:rPr>
                <w:rFonts w:hint="eastAsia" w:ascii="Times New Roman" w:hAnsi="Times New Roman" w:eastAsia="宋体" w:cs="Times New Roman"/>
                <w:b/>
                <w:bCs/>
                <w:sz w:val="24"/>
                <w:lang w:bidi="ar"/>
              </w:rPr>
              <w:t>2</w:t>
            </w:r>
          </w:p>
        </w:tc>
        <w:tc>
          <w:tcPr>
            <w:tcW w:w="1080" w:type="dxa"/>
            <w:vMerge w:val="continue"/>
            <w:tcBorders>
              <w:top w:val="single" w:color="000000" w:sz="4" w:space="0"/>
              <w:left w:val="nil"/>
              <w:bottom w:val="single" w:color="000000" w:sz="4" w:space="0"/>
              <w:right w:val="nil"/>
            </w:tcBorders>
            <w:shd w:val="clear" w:color="auto" w:fill="auto"/>
            <w:noWrap/>
            <w:vAlign w:val="center"/>
          </w:tcPr>
          <w:p w14:paraId="7D5623B9">
            <w:pPr>
              <w:jc w:val="center"/>
              <w:rPr>
                <w:rFonts w:ascii="Times New Roman" w:hAnsi="Times New Roman" w:eastAsia="宋体" w:cs="Times New Roman"/>
                <w:color w:val="000000"/>
                <w:sz w:val="22"/>
                <w:szCs w:val="22"/>
              </w:rPr>
            </w:pPr>
          </w:p>
        </w:tc>
        <w:tc>
          <w:tcPr>
            <w:tcW w:w="989" w:type="dxa"/>
            <w:vMerge w:val="continue"/>
            <w:tcBorders>
              <w:top w:val="single" w:color="000000" w:sz="4" w:space="0"/>
              <w:left w:val="nil"/>
              <w:bottom w:val="single" w:color="000000" w:sz="4" w:space="0"/>
              <w:right w:val="nil"/>
            </w:tcBorders>
            <w:shd w:val="clear" w:color="auto" w:fill="auto"/>
            <w:vAlign w:val="center"/>
          </w:tcPr>
          <w:p w14:paraId="6CA57008">
            <w:pPr>
              <w:jc w:val="center"/>
              <w:rPr>
                <w:rFonts w:ascii="Times New Roman" w:hAnsi="Times New Roman" w:eastAsia="宋体" w:cs="Times New Roman"/>
                <w:i/>
                <w:iCs/>
                <w:color w:val="000000"/>
                <w:sz w:val="22"/>
                <w:szCs w:val="22"/>
              </w:rPr>
            </w:pPr>
          </w:p>
        </w:tc>
      </w:tr>
      <w:tr w14:paraId="1DF42F9F">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0BB402AF">
            <w:pPr>
              <w:widowControl/>
              <w:jc w:val="lef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kern w:val="0"/>
                <w:sz w:val="22"/>
                <w:szCs w:val="22"/>
                <w:lang w:bidi="ar"/>
              </w:rPr>
              <w:t>Performance</w:t>
            </w:r>
          </w:p>
        </w:tc>
        <w:tc>
          <w:tcPr>
            <w:tcW w:w="1095" w:type="dxa"/>
            <w:tcBorders>
              <w:top w:val="nil"/>
              <w:left w:val="nil"/>
              <w:bottom w:val="nil"/>
              <w:right w:val="nil"/>
            </w:tcBorders>
            <w:shd w:val="clear" w:color="auto" w:fill="auto"/>
            <w:noWrap/>
            <w:vAlign w:val="center"/>
          </w:tcPr>
          <w:p w14:paraId="13D7984B">
            <w:pPr>
              <w:rPr>
                <w:rFonts w:ascii="Times New Roman" w:hAnsi="Times New Roman" w:eastAsia="宋体" w:cs="Times New Roman"/>
                <w:color w:val="000000"/>
                <w:sz w:val="22"/>
                <w:szCs w:val="22"/>
              </w:rPr>
            </w:pPr>
          </w:p>
        </w:tc>
        <w:tc>
          <w:tcPr>
            <w:tcW w:w="1041" w:type="dxa"/>
            <w:tcBorders>
              <w:top w:val="nil"/>
              <w:left w:val="nil"/>
              <w:bottom w:val="nil"/>
              <w:right w:val="nil"/>
            </w:tcBorders>
            <w:shd w:val="clear" w:color="auto" w:fill="auto"/>
            <w:noWrap/>
            <w:vAlign w:val="center"/>
          </w:tcPr>
          <w:p w14:paraId="50FA28DF">
            <w:pPr>
              <w:rPr>
                <w:rFonts w:ascii="Times New Roman" w:hAnsi="Times New Roman" w:eastAsia="宋体" w:cs="Times New Roman"/>
                <w:color w:val="000000"/>
                <w:sz w:val="22"/>
                <w:szCs w:val="22"/>
              </w:rPr>
            </w:pPr>
          </w:p>
        </w:tc>
        <w:tc>
          <w:tcPr>
            <w:tcW w:w="1080" w:type="dxa"/>
            <w:tcBorders>
              <w:top w:val="nil"/>
              <w:left w:val="nil"/>
              <w:bottom w:val="nil"/>
              <w:right w:val="nil"/>
            </w:tcBorders>
            <w:shd w:val="clear" w:color="auto" w:fill="auto"/>
            <w:noWrap/>
            <w:vAlign w:val="center"/>
          </w:tcPr>
          <w:p w14:paraId="27FED29F">
            <w:pPr>
              <w:rPr>
                <w:rFonts w:ascii="Times New Roman" w:hAnsi="Times New Roman" w:eastAsia="宋体" w:cs="Times New Roman"/>
                <w:color w:val="000000"/>
                <w:sz w:val="22"/>
                <w:szCs w:val="22"/>
              </w:rPr>
            </w:pPr>
          </w:p>
        </w:tc>
        <w:tc>
          <w:tcPr>
            <w:tcW w:w="989" w:type="dxa"/>
            <w:tcBorders>
              <w:top w:val="nil"/>
              <w:left w:val="nil"/>
              <w:bottom w:val="nil"/>
              <w:right w:val="nil"/>
            </w:tcBorders>
            <w:shd w:val="clear" w:color="auto" w:fill="auto"/>
            <w:noWrap/>
            <w:vAlign w:val="center"/>
          </w:tcPr>
          <w:p w14:paraId="75E2EEE8">
            <w:pPr>
              <w:rPr>
                <w:rFonts w:ascii="Times New Roman" w:hAnsi="Times New Roman" w:eastAsia="宋体" w:cs="Times New Roman"/>
                <w:color w:val="000000"/>
                <w:sz w:val="22"/>
                <w:szCs w:val="22"/>
              </w:rPr>
            </w:pPr>
          </w:p>
        </w:tc>
      </w:tr>
      <w:tr w14:paraId="14A92DC6">
        <w:tblPrEx>
          <w:tblCellMar>
            <w:top w:w="0" w:type="dxa"/>
            <w:left w:w="108" w:type="dxa"/>
            <w:bottom w:w="0" w:type="dxa"/>
            <w:right w:w="108" w:type="dxa"/>
          </w:tblCellMar>
        </w:tblPrEx>
        <w:trPr>
          <w:trHeight w:val="285" w:hRule="atLeast"/>
          <w:jc w:val="center"/>
        </w:trPr>
        <w:tc>
          <w:tcPr>
            <w:tcW w:w="2770" w:type="dxa"/>
            <w:tcBorders>
              <w:top w:val="nil"/>
              <w:left w:val="nil"/>
              <w:bottom w:val="nil"/>
              <w:right w:val="nil"/>
            </w:tcBorders>
            <w:shd w:val="clear" w:color="auto" w:fill="auto"/>
            <w:noWrap/>
            <w:vAlign w:val="center"/>
          </w:tcPr>
          <w:p w14:paraId="3BD3AB9F">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305-day milk yield/kg</w:t>
            </w:r>
          </w:p>
        </w:tc>
        <w:tc>
          <w:tcPr>
            <w:tcW w:w="1095" w:type="dxa"/>
            <w:tcBorders>
              <w:top w:val="nil"/>
              <w:left w:val="nil"/>
              <w:bottom w:val="nil"/>
              <w:right w:val="nil"/>
            </w:tcBorders>
            <w:shd w:val="clear" w:color="auto" w:fill="auto"/>
            <w:noWrap/>
            <w:vAlign w:val="center"/>
          </w:tcPr>
          <w:p w14:paraId="426BC9D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10007.03 </w:t>
            </w:r>
          </w:p>
        </w:tc>
        <w:tc>
          <w:tcPr>
            <w:tcW w:w="1041" w:type="dxa"/>
            <w:tcBorders>
              <w:top w:val="nil"/>
              <w:left w:val="nil"/>
              <w:bottom w:val="nil"/>
              <w:right w:val="nil"/>
            </w:tcBorders>
            <w:shd w:val="clear" w:color="auto" w:fill="auto"/>
            <w:noWrap/>
            <w:vAlign w:val="center"/>
          </w:tcPr>
          <w:p w14:paraId="3C2AA667">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9505.68 </w:t>
            </w:r>
          </w:p>
        </w:tc>
        <w:tc>
          <w:tcPr>
            <w:tcW w:w="1080" w:type="dxa"/>
            <w:tcBorders>
              <w:top w:val="nil"/>
              <w:left w:val="nil"/>
              <w:bottom w:val="nil"/>
              <w:right w:val="nil"/>
            </w:tcBorders>
            <w:shd w:val="clear" w:color="auto" w:fill="auto"/>
            <w:noWrap/>
            <w:vAlign w:val="center"/>
          </w:tcPr>
          <w:p w14:paraId="4B3E95D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190.22 </w:t>
            </w:r>
          </w:p>
        </w:tc>
        <w:tc>
          <w:tcPr>
            <w:tcW w:w="989" w:type="dxa"/>
            <w:tcBorders>
              <w:top w:val="nil"/>
              <w:left w:val="nil"/>
              <w:bottom w:val="nil"/>
              <w:right w:val="nil"/>
            </w:tcBorders>
            <w:shd w:val="clear" w:color="auto" w:fill="auto"/>
            <w:noWrap/>
            <w:vAlign w:val="center"/>
          </w:tcPr>
          <w:p w14:paraId="3B06F31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0.047 </w:t>
            </w:r>
          </w:p>
        </w:tc>
      </w:tr>
      <w:tr w14:paraId="435AF0AA">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394DCC0A">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Yearly milk yield/kg </w:t>
            </w:r>
          </w:p>
        </w:tc>
        <w:tc>
          <w:tcPr>
            <w:tcW w:w="1095" w:type="dxa"/>
            <w:tcBorders>
              <w:top w:val="nil"/>
              <w:left w:val="nil"/>
              <w:bottom w:val="nil"/>
              <w:right w:val="nil"/>
            </w:tcBorders>
            <w:shd w:val="clear" w:color="auto" w:fill="auto"/>
            <w:noWrap/>
            <w:vAlign w:val="center"/>
          </w:tcPr>
          <w:p w14:paraId="78995D9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9485.23 </w:t>
            </w:r>
          </w:p>
        </w:tc>
        <w:tc>
          <w:tcPr>
            <w:tcW w:w="1041" w:type="dxa"/>
            <w:tcBorders>
              <w:top w:val="nil"/>
              <w:left w:val="nil"/>
              <w:bottom w:val="nil"/>
              <w:right w:val="nil"/>
            </w:tcBorders>
            <w:shd w:val="clear" w:color="auto" w:fill="auto"/>
            <w:noWrap/>
            <w:vAlign w:val="center"/>
          </w:tcPr>
          <w:p w14:paraId="2EA77DE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8998.86 </w:t>
            </w:r>
          </w:p>
        </w:tc>
        <w:tc>
          <w:tcPr>
            <w:tcW w:w="1080" w:type="dxa"/>
            <w:tcBorders>
              <w:top w:val="nil"/>
              <w:left w:val="nil"/>
              <w:bottom w:val="nil"/>
              <w:right w:val="nil"/>
            </w:tcBorders>
            <w:shd w:val="clear" w:color="auto" w:fill="auto"/>
            <w:noWrap/>
            <w:vAlign w:val="center"/>
          </w:tcPr>
          <w:p w14:paraId="6A952AD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129.35 </w:t>
            </w:r>
          </w:p>
        </w:tc>
        <w:tc>
          <w:tcPr>
            <w:tcW w:w="989" w:type="dxa"/>
            <w:tcBorders>
              <w:top w:val="nil"/>
              <w:left w:val="nil"/>
              <w:bottom w:val="nil"/>
              <w:right w:val="nil"/>
            </w:tcBorders>
            <w:shd w:val="clear" w:color="auto" w:fill="auto"/>
            <w:noWrap/>
            <w:vAlign w:val="center"/>
          </w:tcPr>
          <w:p w14:paraId="7798FE2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0.063 </w:t>
            </w:r>
          </w:p>
        </w:tc>
      </w:tr>
      <w:tr w14:paraId="44B59436">
        <w:tblPrEx>
          <w:tblCellMar>
            <w:top w:w="0" w:type="dxa"/>
            <w:left w:w="108" w:type="dxa"/>
            <w:bottom w:w="0" w:type="dxa"/>
            <w:right w:w="108" w:type="dxa"/>
          </w:tblCellMar>
        </w:tblPrEx>
        <w:trPr>
          <w:trHeight w:val="285" w:hRule="atLeast"/>
          <w:jc w:val="center"/>
        </w:trPr>
        <w:tc>
          <w:tcPr>
            <w:tcW w:w="2770" w:type="dxa"/>
            <w:tcBorders>
              <w:top w:val="nil"/>
              <w:left w:val="nil"/>
              <w:bottom w:val="nil"/>
              <w:right w:val="nil"/>
            </w:tcBorders>
            <w:shd w:val="clear" w:color="auto" w:fill="auto"/>
            <w:noWrap/>
            <w:vAlign w:val="center"/>
          </w:tcPr>
          <w:p w14:paraId="12CF8326">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Peak milk yield/kg</w:t>
            </w:r>
          </w:p>
        </w:tc>
        <w:tc>
          <w:tcPr>
            <w:tcW w:w="1095" w:type="dxa"/>
            <w:tcBorders>
              <w:top w:val="nil"/>
              <w:left w:val="nil"/>
              <w:bottom w:val="nil"/>
              <w:right w:val="nil"/>
            </w:tcBorders>
            <w:shd w:val="clear" w:color="auto" w:fill="auto"/>
            <w:noWrap/>
            <w:vAlign w:val="center"/>
          </w:tcPr>
          <w:p w14:paraId="3DE7170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46.72 </w:t>
            </w:r>
          </w:p>
        </w:tc>
        <w:tc>
          <w:tcPr>
            <w:tcW w:w="1041" w:type="dxa"/>
            <w:tcBorders>
              <w:top w:val="nil"/>
              <w:left w:val="nil"/>
              <w:bottom w:val="nil"/>
              <w:right w:val="nil"/>
            </w:tcBorders>
            <w:shd w:val="clear" w:color="auto" w:fill="auto"/>
            <w:noWrap/>
            <w:vAlign w:val="center"/>
          </w:tcPr>
          <w:p w14:paraId="656B59A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43.66 </w:t>
            </w:r>
          </w:p>
        </w:tc>
        <w:tc>
          <w:tcPr>
            <w:tcW w:w="1080" w:type="dxa"/>
            <w:tcBorders>
              <w:top w:val="nil"/>
              <w:left w:val="nil"/>
              <w:bottom w:val="nil"/>
              <w:right w:val="nil"/>
            </w:tcBorders>
            <w:shd w:val="clear" w:color="auto" w:fill="auto"/>
            <w:noWrap/>
            <w:vAlign w:val="center"/>
          </w:tcPr>
          <w:p w14:paraId="625B745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0.62 </w:t>
            </w:r>
          </w:p>
        </w:tc>
        <w:tc>
          <w:tcPr>
            <w:tcW w:w="989" w:type="dxa"/>
            <w:tcBorders>
              <w:top w:val="nil"/>
              <w:left w:val="nil"/>
              <w:bottom w:val="nil"/>
              <w:right w:val="nil"/>
            </w:tcBorders>
            <w:shd w:val="clear" w:color="auto" w:fill="auto"/>
            <w:noWrap/>
            <w:vAlign w:val="center"/>
          </w:tcPr>
          <w:p w14:paraId="698C416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0.015 </w:t>
            </w:r>
          </w:p>
        </w:tc>
      </w:tr>
      <w:tr w14:paraId="5D7AA573">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0503B144">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Peak days</w:t>
            </w:r>
          </w:p>
        </w:tc>
        <w:tc>
          <w:tcPr>
            <w:tcW w:w="1095" w:type="dxa"/>
            <w:tcBorders>
              <w:top w:val="nil"/>
              <w:left w:val="nil"/>
              <w:bottom w:val="nil"/>
              <w:right w:val="nil"/>
            </w:tcBorders>
            <w:shd w:val="clear" w:color="auto" w:fill="auto"/>
            <w:noWrap/>
            <w:vAlign w:val="center"/>
          </w:tcPr>
          <w:p w14:paraId="79B4226A">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55.36 </w:t>
            </w:r>
          </w:p>
        </w:tc>
        <w:tc>
          <w:tcPr>
            <w:tcW w:w="1041" w:type="dxa"/>
            <w:tcBorders>
              <w:top w:val="nil"/>
              <w:left w:val="nil"/>
              <w:bottom w:val="nil"/>
              <w:right w:val="nil"/>
            </w:tcBorders>
            <w:shd w:val="clear" w:color="auto" w:fill="auto"/>
            <w:noWrap/>
            <w:vAlign w:val="center"/>
          </w:tcPr>
          <w:p w14:paraId="0E993CD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57.26 </w:t>
            </w:r>
          </w:p>
        </w:tc>
        <w:tc>
          <w:tcPr>
            <w:tcW w:w="1080" w:type="dxa"/>
            <w:tcBorders>
              <w:top w:val="nil"/>
              <w:left w:val="nil"/>
              <w:bottom w:val="nil"/>
              <w:right w:val="nil"/>
            </w:tcBorders>
            <w:shd w:val="clear" w:color="auto" w:fill="auto"/>
            <w:noWrap/>
            <w:vAlign w:val="center"/>
          </w:tcPr>
          <w:p w14:paraId="27C0A39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1.57 </w:t>
            </w:r>
          </w:p>
        </w:tc>
        <w:tc>
          <w:tcPr>
            <w:tcW w:w="989" w:type="dxa"/>
            <w:tcBorders>
              <w:top w:val="nil"/>
              <w:left w:val="nil"/>
              <w:bottom w:val="nil"/>
              <w:right w:val="nil"/>
            </w:tcBorders>
            <w:shd w:val="clear" w:color="auto" w:fill="auto"/>
            <w:noWrap/>
            <w:vAlign w:val="center"/>
          </w:tcPr>
          <w:p w14:paraId="2451496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0.550 </w:t>
            </w:r>
          </w:p>
        </w:tc>
      </w:tr>
      <w:tr w14:paraId="55666829">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452A1839">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Average daily milk yield/kg</w:t>
            </w:r>
          </w:p>
        </w:tc>
        <w:tc>
          <w:tcPr>
            <w:tcW w:w="1095" w:type="dxa"/>
            <w:tcBorders>
              <w:top w:val="nil"/>
              <w:left w:val="nil"/>
              <w:bottom w:val="nil"/>
              <w:right w:val="nil"/>
            </w:tcBorders>
            <w:shd w:val="clear" w:color="auto" w:fill="auto"/>
            <w:noWrap/>
            <w:vAlign w:val="center"/>
          </w:tcPr>
          <w:p w14:paraId="7AF02EA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33.81 </w:t>
            </w:r>
          </w:p>
        </w:tc>
        <w:tc>
          <w:tcPr>
            <w:tcW w:w="1041" w:type="dxa"/>
            <w:tcBorders>
              <w:top w:val="nil"/>
              <w:left w:val="nil"/>
              <w:bottom w:val="nil"/>
              <w:right w:val="nil"/>
            </w:tcBorders>
            <w:shd w:val="clear" w:color="auto" w:fill="auto"/>
            <w:noWrap/>
            <w:vAlign w:val="center"/>
          </w:tcPr>
          <w:p w14:paraId="6B3B993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32.26 </w:t>
            </w:r>
          </w:p>
        </w:tc>
        <w:tc>
          <w:tcPr>
            <w:tcW w:w="1080" w:type="dxa"/>
            <w:tcBorders>
              <w:top w:val="nil"/>
              <w:left w:val="nil"/>
              <w:bottom w:val="nil"/>
              <w:right w:val="nil"/>
            </w:tcBorders>
            <w:shd w:val="clear" w:color="auto" w:fill="auto"/>
            <w:noWrap/>
            <w:vAlign w:val="center"/>
          </w:tcPr>
          <w:p w14:paraId="68726C5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0.42 </w:t>
            </w:r>
          </w:p>
        </w:tc>
        <w:tc>
          <w:tcPr>
            <w:tcW w:w="989" w:type="dxa"/>
            <w:tcBorders>
              <w:top w:val="nil"/>
              <w:left w:val="nil"/>
              <w:bottom w:val="nil"/>
              <w:right w:val="nil"/>
            </w:tcBorders>
            <w:shd w:val="clear" w:color="auto" w:fill="auto"/>
            <w:noWrap/>
            <w:vAlign w:val="center"/>
          </w:tcPr>
          <w:p w14:paraId="08B2FB7C">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0.071 </w:t>
            </w:r>
          </w:p>
        </w:tc>
      </w:tr>
      <w:tr w14:paraId="14F1B4AC">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54B6DBDD">
            <w:pPr>
              <w:widowControl/>
              <w:jc w:val="lef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kern w:val="0"/>
                <w:sz w:val="22"/>
                <w:szCs w:val="22"/>
                <w:lang w:bidi="ar"/>
              </w:rPr>
              <w:t>Individuals characteristics</w:t>
            </w:r>
          </w:p>
        </w:tc>
        <w:tc>
          <w:tcPr>
            <w:tcW w:w="1095" w:type="dxa"/>
            <w:tcBorders>
              <w:top w:val="nil"/>
              <w:left w:val="nil"/>
              <w:bottom w:val="nil"/>
              <w:right w:val="nil"/>
            </w:tcBorders>
            <w:shd w:val="clear" w:color="auto" w:fill="auto"/>
            <w:noWrap/>
            <w:vAlign w:val="center"/>
          </w:tcPr>
          <w:p w14:paraId="061D8781">
            <w:pPr>
              <w:rPr>
                <w:rFonts w:ascii="Times New Roman" w:hAnsi="Times New Roman" w:eastAsia="宋体" w:cs="Times New Roman"/>
                <w:color w:val="000000"/>
                <w:sz w:val="22"/>
                <w:szCs w:val="22"/>
              </w:rPr>
            </w:pPr>
          </w:p>
        </w:tc>
        <w:tc>
          <w:tcPr>
            <w:tcW w:w="1041" w:type="dxa"/>
            <w:tcBorders>
              <w:top w:val="nil"/>
              <w:left w:val="nil"/>
              <w:bottom w:val="nil"/>
              <w:right w:val="nil"/>
            </w:tcBorders>
            <w:shd w:val="clear" w:color="auto" w:fill="auto"/>
            <w:noWrap/>
            <w:vAlign w:val="center"/>
          </w:tcPr>
          <w:p w14:paraId="35E407A7">
            <w:pPr>
              <w:rPr>
                <w:rFonts w:ascii="Times New Roman" w:hAnsi="Times New Roman" w:eastAsia="宋体" w:cs="Times New Roman"/>
                <w:color w:val="000000"/>
                <w:sz w:val="22"/>
                <w:szCs w:val="22"/>
              </w:rPr>
            </w:pPr>
          </w:p>
        </w:tc>
        <w:tc>
          <w:tcPr>
            <w:tcW w:w="1080" w:type="dxa"/>
            <w:tcBorders>
              <w:top w:val="nil"/>
              <w:left w:val="nil"/>
              <w:bottom w:val="nil"/>
              <w:right w:val="nil"/>
            </w:tcBorders>
            <w:shd w:val="clear" w:color="auto" w:fill="auto"/>
            <w:noWrap/>
            <w:vAlign w:val="center"/>
          </w:tcPr>
          <w:p w14:paraId="08065675">
            <w:pPr>
              <w:rPr>
                <w:rFonts w:ascii="Times New Roman" w:hAnsi="Times New Roman" w:eastAsia="宋体" w:cs="Times New Roman"/>
                <w:color w:val="000000"/>
                <w:sz w:val="22"/>
                <w:szCs w:val="22"/>
              </w:rPr>
            </w:pPr>
          </w:p>
        </w:tc>
        <w:tc>
          <w:tcPr>
            <w:tcW w:w="989" w:type="dxa"/>
            <w:tcBorders>
              <w:top w:val="nil"/>
              <w:left w:val="nil"/>
              <w:bottom w:val="nil"/>
              <w:right w:val="nil"/>
            </w:tcBorders>
            <w:shd w:val="clear" w:color="auto" w:fill="auto"/>
            <w:noWrap/>
            <w:vAlign w:val="center"/>
          </w:tcPr>
          <w:p w14:paraId="762F703C">
            <w:pPr>
              <w:rPr>
                <w:rFonts w:ascii="Times New Roman" w:hAnsi="Times New Roman" w:eastAsia="宋体" w:cs="Times New Roman"/>
                <w:color w:val="000000"/>
                <w:sz w:val="22"/>
                <w:szCs w:val="22"/>
              </w:rPr>
            </w:pPr>
          </w:p>
        </w:tc>
      </w:tr>
      <w:tr w14:paraId="4503D3FE">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17ACDC2A">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Parity</w:t>
            </w:r>
          </w:p>
        </w:tc>
        <w:tc>
          <w:tcPr>
            <w:tcW w:w="1095" w:type="dxa"/>
            <w:tcBorders>
              <w:top w:val="nil"/>
              <w:left w:val="nil"/>
              <w:bottom w:val="nil"/>
              <w:right w:val="nil"/>
            </w:tcBorders>
            <w:shd w:val="clear" w:color="auto" w:fill="auto"/>
            <w:noWrap/>
            <w:vAlign w:val="center"/>
          </w:tcPr>
          <w:p w14:paraId="5D86FB2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1.86 </w:t>
            </w:r>
          </w:p>
        </w:tc>
        <w:tc>
          <w:tcPr>
            <w:tcW w:w="1041" w:type="dxa"/>
            <w:tcBorders>
              <w:top w:val="nil"/>
              <w:left w:val="nil"/>
              <w:bottom w:val="nil"/>
              <w:right w:val="nil"/>
            </w:tcBorders>
            <w:shd w:val="clear" w:color="auto" w:fill="auto"/>
            <w:noWrap/>
            <w:vAlign w:val="center"/>
          </w:tcPr>
          <w:p w14:paraId="1E5D83A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1.74 </w:t>
            </w:r>
          </w:p>
        </w:tc>
        <w:tc>
          <w:tcPr>
            <w:tcW w:w="1080" w:type="dxa"/>
            <w:tcBorders>
              <w:top w:val="nil"/>
              <w:left w:val="nil"/>
              <w:bottom w:val="nil"/>
              <w:right w:val="nil"/>
            </w:tcBorders>
            <w:shd w:val="clear" w:color="auto" w:fill="auto"/>
            <w:noWrap/>
            <w:vAlign w:val="center"/>
          </w:tcPr>
          <w:p w14:paraId="04903C8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0.05 </w:t>
            </w:r>
          </w:p>
        </w:tc>
        <w:tc>
          <w:tcPr>
            <w:tcW w:w="989" w:type="dxa"/>
            <w:tcBorders>
              <w:top w:val="nil"/>
              <w:left w:val="nil"/>
              <w:bottom w:val="nil"/>
              <w:right w:val="nil"/>
            </w:tcBorders>
            <w:shd w:val="clear" w:color="auto" w:fill="auto"/>
            <w:noWrap/>
            <w:vAlign w:val="center"/>
          </w:tcPr>
          <w:p w14:paraId="2C6F4DAE">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0.237 </w:t>
            </w:r>
          </w:p>
        </w:tc>
      </w:tr>
      <w:tr w14:paraId="049D9430">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3EE89190">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Gestation period</w:t>
            </w:r>
          </w:p>
        </w:tc>
        <w:tc>
          <w:tcPr>
            <w:tcW w:w="1095" w:type="dxa"/>
            <w:tcBorders>
              <w:top w:val="nil"/>
              <w:left w:val="nil"/>
              <w:bottom w:val="nil"/>
              <w:right w:val="nil"/>
            </w:tcBorders>
            <w:shd w:val="clear" w:color="auto" w:fill="auto"/>
            <w:noWrap/>
            <w:vAlign w:val="center"/>
          </w:tcPr>
          <w:p w14:paraId="7B25166E">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276.57 </w:t>
            </w:r>
          </w:p>
        </w:tc>
        <w:tc>
          <w:tcPr>
            <w:tcW w:w="1041" w:type="dxa"/>
            <w:tcBorders>
              <w:top w:val="nil"/>
              <w:left w:val="nil"/>
              <w:bottom w:val="nil"/>
              <w:right w:val="nil"/>
            </w:tcBorders>
            <w:shd w:val="clear" w:color="auto" w:fill="auto"/>
            <w:noWrap/>
            <w:vAlign w:val="center"/>
          </w:tcPr>
          <w:p w14:paraId="58DA60FC">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276.64 </w:t>
            </w:r>
          </w:p>
        </w:tc>
        <w:tc>
          <w:tcPr>
            <w:tcW w:w="1080" w:type="dxa"/>
            <w:tcBorders>
              <w:top w:val="nil"/>
              <w:left w:val="nil"/>
              <w:bottom w:val="nil"/>
              <w:right w:val="nil"/>
            </w:tcBorders>
            <w:shd w:val="clear" w:color="auto" w:fill="auto"/>
            <w:noWrap/>
            <w:vAlign w:val="center"/>
          </w:tcPr>
          <w:p w14:paraId="4CC79A7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0.29 </w:t>
            </w:r>
          </w:p>
        </w:tc>
        <w:tc>
          <w:tcPr>
            <w:tcW w:w="989" w:type="dxa"/>
            <w:tcBorders>
              <w:top w:val="nil"/>
              <w:left w:val="nil"/>
              <w:bottom w:val="nil"/>
              <w:right w:val="nil"/>
            </w:tcBorders>
            <w:shd w:val="clear" w:color="auto" w:fill="auto"/>
            <w:noWrap/>
            <w:vAlign w:val="center"/>
          </w:tcPr>
          <w:p w14:paraId="207D5E7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0.909 </w:t>
            </w:r>
          </w:p>
        </w:tc>
      </w:tr>
      <w:tr w14:paraId="0A83713F">
        <w:tblPrEx>
          <w:tblCellMar>
            <w:top w:w="0" w:type="dxa"/>
            <w:left w:w="108" w:type="dxa"/>
            <w:bottom w:w="0" w:type="dxa"/>
            <w:right w:w="108" w:type="dxa"/>
          </w:tblCellMar>
        </w:tblPrEx>
        <w:trPr>
          <w:trHeight w:val="300" w:hRule="atLeast"/>
          <w:jc w:val="center"/>
        </w:trPr>
        <w:tc>
          <w:tcPr>
            <w:tcW w:w="2770" w:type="dxa"/>
            <w:tcBorders>
              <w:top w:val="nil"/>
              <w:left w:val="nil"/>
              <w:bottom w:val="nil"/>
              <w:right w:val="nil"/>
            </w:tcBorders>
            <w:shd w:val="clear" w:color="auto" w:fill="auto"/>
            <w:noWrap/>
            <w:vAlign w:val="center"/>
          </w:tcPr>
          <w:p w14:paraId="2C4A953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Weight</w:t>
            </w:r>
          </w:p>
        </w:tc>
        <w:tc>
          <w:tcPr>
            <w:tcW w:w="1095" w:type="dxa"/>
            <w:tcBorders>
              <w:top w:val="nil"/>
              <w:left w:val="nil"/>
              <w:bottom w:val="nil"/>
              <w:right w:val="nil"/>
            </w:tcBorders>
            <w:shd w:val="clear" w:color="auto" w:fill="auto"/>
            <w:noWrap/>
            <w:vAlign w:val="center"/>
          </w:tcPr>
          <w:p w14:paraId="444AECB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748.38 </w:t>
            </w:r>
          </w:p>
        </w:tc>
        <w:tc>
          <w:tcPr>
            <w:tcW w:w="1041" w:type="dxa"/>
            <w:tcBorders>
              <w:top w:val="nil"/>
              <w:left w:val="nil"/>
              <w:bottom w:val="nil"/>
              <w:right w:val="nil"/>
            </w:tcBorders>
            <w:shd w:val="clear" w:color="auto" w:fill="auto"/>
            <w:noWrap/>
            <w:vAlign w:val="center"/>
          </w:tcPr>
          <w:p w14:paraId="0967255C">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728.28 </w:t>
            </w:r>
          </w:p>
        </w:tc>
        <w:tc>
          <w:tcPr>
            <w:tcW w:w="1080" w:type="dxa"/>
            <w:tcBorders>
              <w:top w:val="nil"/>
              <w:left w:val="nil"/>
              <w:bottom w:val="nil"/>
              <w:right w:val="nil"/>
            </w:tcBorders>
            <w:shd w:val="clear" w:color="auto" w:fill="auto"/>
            <w:noWrap/>
            <w:vAlign w:val="center"/>
          </w:tcPr>
          <w:p w14:paraId="5510F2D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4.68 </w:t>
            </w:r>
          </w:p>
        </w:tc>
        <w:tc>
          <w:tcPr>
            <w:tcW w:w="989" w:type="dxa"/>
            <w:tcBorders>
              <w:top w:val="nil"/>
              <w:left w:val="nil"/>
              <w:bottom w:val="nil"/>
              <w:right w:val="nil"/>
            </w:tcBorders>
            <w:shd w:val="clear" w:color="auto" w:fill="auto"/>
            <w:noWrap/>
            <w:vAlign w:val="center"/>
          </w:tcPr>
          <w:p w14:paraId="064119B2">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0.160 </w:t>
            </w:r>
          </w:p>
        </w:tc>
      </w:tr>
      <w:tr w14:paraId="10A000EF">
        <w:tblPrEx>
          <w:tblCellMar>
            <w:top w:w="0" w:type="dxa"/>
            <w:left w:w="108" w:type="dxa"/>
            <w:bottom w:w="0" w:type="dxa"/>
            <w:right w:w="108" w:type="dxa"/>
          </w:tblCellMar>
        </w:tblPrEx>
        <w:trPr>
          <w:trHeight w:val="300" w:hRule="atLeast"/>
          <w:jc w:val="center"/>
        </w:trPr>
        <w:tc>
          <w:tcPr>
            <w:tcW w:w="2770" w:type="dxa"/>
            <w:tcBorders>
              <w:top w:val="nil"/>
              <w:left w:val="nil"/>
              <w:bottom w:val="single" w:color="000000" w:sz="4" w:space="0"/>
              <w:right w:val="nil"/>
            </w:tcBorders>
            <w:shd w:val="clear" w:color="auto" w:fill="auto"/>
            <w:noWrap/>
            <w:vAlign w:val="center"/>
          </w:tcPr>
          <w:p w14:paraId="6F9C3E79">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Body condition score</w:t>
            </w:r>
          </w:p>
        </w:tc>
        <w:tc>
          <w:tcPr>
            <w:tcW w:w="1095" w:type="dxa"/>
            <w:tcBorders>
              <w:top w:val="nil"/>
              <w:left w:val="nil"/>
              <w:bottom w:val="single" w:color="000000" w:sz="4" w:space="0"/>
              <w:right w:val="nil"/>
            </w:tcBorders>
            <w:shd w:val="clear" w:color="auto" w:fill="auto"/>
            <w:noWrap/>
            <w:vAlign w:val="center"/>
          </w:tcPr>
          <w:p w14:paraId="581597D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3.36 </w:t>
            </w:r>
          </w:p>
        </w:tc>
        <w:tc>
          <w:tcPr>
            <w:tcW w:w="1041" w:type="dxa"/>
            <w:tcBorders>
              <w:top w:val="nil"/>
              <w:left w:val="nil"/>
              <w:bottom w:val="single" w:color="000000" w:sz="4" w:space="0"/>
              <w:right w:val="nil"/>
            </w:tcBorders>
            <w:shd w:val="clear" w:color="auto" w:fill="auto"/>
            <w:noWrap/>
            <w:vAlign w:val="center"/>
          </w:tcPr>
          <w:p w14:paraId="4F6E5AD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3.37 </w:t>
            </w:r>
          </w:p>
        </w:tc>
        <w:tc>
          <w:tcPr>
            <w:tcW w:w="1080" w:type="dxa"/>
            <w:tcBorders>
              <w:top w:val="nil"/>
              <w:left w:val="nil"/>
              <w:bottom w:val="single" w:color="000000" w:sz="4" w:space="0"/>
              <w:right w:val="nil"/>
            </w:tcBorders>
            <w:shd w:val="clear" w:color="auto" w:fill="auto"/>
            <w:noWrap/>
            <w:vAlign w:val="center"/>
          </w:tcPr>
          <w:p w14:paraId="579F8DC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0.02 </w:t>
            </w:r>
          </w:p>
        </w:tc>
        <w:tc>
          <w:tcPr>
            <w:tcW w:w="989" w:type="dxa"/>
            <w:tcBorders>
              <w:top w:val="nil"/>
              <w:left w:val="nil"/>
              <w:bottom w:val="single" w:color="000000" w:sz="4" w:space="0"/>
              <w:right w:val="nil"/>
            </w:tcBorders>
            <w:shd w:val="clear" w:color="auto" w:fill="auto"/>
            <w:noWrap/>
            <w:vAlign w:val="center"/>
          </w:tcPr>
          <w:p w14:paraId="1F0EAA17">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0.813 </w:t>
            </w:r>
          </w:p>
        </w:tc>
      </w:tr>
    </w:tbl>
    <w:p w14:paraId="65509CBA">
      <w:pPr>
        <w:rPr>
          <w:rFonts w:ascii="Times New Roman" w:hAnsi="Times New Roman"/>
          <w:sz w:val="24"/>
        </w:rPr>
      </w:pPr>
      <w:r>
        <w:rPr>
          <w:rFonts w:hint="eastAsia" w:ascii="Times New Roman" w:hAnsi="Times New Roman"/>
          <w:sz w:val="24"/>
        </w:rPr>
        <w:br w:type="page"/>
      </w:r>
    </w:p>
    <w:p w14:paraId="6099657C">
      <w:pPr>
        <w:widowControl/>
        <w:spacing w:line="480" w:lineRule="auto"/>
        <w:jc w:val="center"/>
        <w:rPr>
          <w:rFonts w:ascii="Times New Roman" w:hAnsi="Times New Roman" w:eastAsia="宋体" w:cs="Times New Roman"/>
          <w:sz w:val="24"/>
          <w:lang w:bidi="ar"/>
        </w:rPr>
      </w:pPr>
      <w:r>
        <w:rPr>
          <w:rFonts w:ascii="Times New Roman" w:hAnsi="Times New Roman"/>
          <w:b/>
          <w:bCs/>
          <w:sz w:val="24"/>
        </w:rPr>
        <w:t>Table S</w:t>
      </w:r>
      <w:r>
        <w:rPr>
          <w:rFonts w:hint="eastAsia" w:ascii="Times New Roman" w:hAnsi="Times New Roman"/>
          <w:b/>
          <w:bCs/>
          <w:sz w:val="24"/>
        </w:rPr>
        <w:t>2.</w:t>
      </w:r>
      <w:r>
        <w:rPr>
          <w:rFonts w:ascii="Times New Roman" w:hAnsi="Times New Roman"/>
          <w:b/>
          <w:bCs/>
          <w:sz w:val="24"/>
        </w:rPr>
        <w:t xml:space="preserve"> </w:t>
      </w:r>
      <w:r>
        <w:rPr>
          <w:rFonts w:hint="eastAsia" w:ascii="Times New Roman" w:hAnsi="Times New Roman"/>
          <w:sz w:val="24"/>
        </w:rPr>
        <w:t xml:space="preserve">Comparison of phenotypes of cows between the </w:t>
      </w:r>
      <w:r>
        <w:rPr>
          <w:rFonts w:hint="eastAsia" w:ascii="Times New Roman" w:hAnsi="Times New Roman" w:eastAsia="宋体" w:cs="Times New Roman"/>
          <w:sz w:val="24"/>
          <w:lang w:bidi="ar"/>
        </w:rPr>
        <w:t>G</w:t>
      </w:r>
      <w:r>
        <w:rPr>
          <w:rFonts w:ascii="Times New Roman" w:hAnsi="Times New Roman" w:eastAsia="宋体" w:cs="Times New Roman"/>
          <w:sz w:val="24"/>
          <w:lang w:bidi="ar"/>
        </w:rPr>
        <w:t>UE1</w:t>
      </w:r>
      <w:r>
        <w:rPr>
          <w:rFonts w:hint="eastAsia" w:ascii="Times New Roman" w:hAnsi="Times New Roman" w:eastAsia="宋体" w:cs="Times New Roman"/>
          <w:sz w:val="24"/>
          <w:lang w:bidi="ar"/>
        </w:rPr>
        <w:t xml:space="preserve"> and G</w:t>
      </w:r>
      <w:r>
        <w:rPr>
          <w:rFonts w:ascii="Times New Roman" w:hAnsi="Times New Roman" w:eastAsia="宋体" w:cs="Times New Roman"/>
          <w:sz w:val="24"/>
          <w:lang w:bidi="ar"/>
        </w:rPr>
        <w:t>UE</w:t>
      </w:r>
      <w:r>
        <w:rPr>
          <w:rFonts w:hint="eastAsia" w:ascii="Times New Roman" w:hAnsi="Times New Roman" w:eastAsia="宋体" w:cs="Times New Roman"/>
          <w:sz w:val="24"/>
          <w:lang w:bidi="ar"/>
        </w:rPr>
        <w:t>2</w:t>
      </w:r>
    </w:p>
    <w:tbl>
      <w:tblPr>
        <w:tblStyle w:val="4"/>
        <w:tblW w:w="7007" w:type="dxa"/>
        <w:jc w:val="center"/>
        <w:tblLayout w:type="fixed"/>
        <w:tblCellMar>
          <w:top w:w="0" w:type="dxa"/>
          <w:left w:w="108" w:type="dxa"/>
          <w:bottom w:w="0" w:type="dxa"/>
          <w:right w:w="108" w:type="dxa"/>
        </w:tblCellMar>
      </w:tblPr>
      <w:tblGrid>
        <w:gridCol w:w="2759"/>
        <w:gridCol w:w="1128"/>
        <w:gridCol w:w="945"/>
        <w:gridCol w:w="1125"/>
        <w:gridCol w:w="1050"/>
      </w:tblGrid>
      <w:tr w14:paraId="2D2909E7">
        <w:tblPrEx>
          <w:tblCellMar>
            <w:top w:w="0" w:type="dxa"/>
            <w:left w:w="108" w:type="dxa"/>
            <w:bottom w:w="0" w:type="dxa"/>
            <w:right w:w="108" w:type="dxa"/>
          </w:tblCellMar>
        </w:tblPrEx>
        <w:trPr>
          <w:trHeight w:val="300" w:hRule="atLeast"/>
          <w:jc w:val="center"/>
        </w:trPr>
        <w:tc>
          <w:tcPr>
            <w:tcW w:w="2759" w:type="dxa"/>
            <w:vMerge w:val="restart"/>
            <w:tcBorders>
              <w:top w:val="single" w:color="000000" w:sz="4" w:space="0"/>
              <w:left w:val="nil"/>
              <w:bottom w:val="single" w:color="000000" w:sz="4" w:space="0"/>
              <w:right w:val="nil"/>
            </w:tcBorders>
            <w:shd w:val="clear" w:color="auto" w:fill="auto"/>
            <w:noWrap/>
            <w:vAlign w:val="center"/>
          </w:tcPr>
          <w:p w14:paraId="77D71EAF">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Items</w:t>
            </w:r>
          </w:p>
        </w:tc>
        <w:tc>
          <w:tcPr>
            <w:tcW w:w="2073" w:type="dxa"/>
            <w:gridSpan w:val="2"/>
            <w:tcBorders>
              <w:top w:val="single" w:color="000000" w:sz="4" w:space="0"/>
              <w:left w:val="nil"/>
              <w:bottom w:val="single" w:color="000000" w:sz="4" w:space="0"/>
              <w:right w:val="nil"/>
            </w:tcBorders>
            <w:shd w:val="clear" w:color="auto" w:fill="auto"/>
            <w:noWrap/>
            <w:vAlign w:val="center"/>
          </w:tcPr>
          <w:p w14:paraId="12C11B36">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mean</w:t>
            </w:r>
          </w:p>
        </w:tc>
        <w:tc>
          <w:tcPr>
            <w:tcW w:w="1125" w:type="dxa"/>
            <w:vMerge w:val="restart"/>
            <w:tcBorders>
              <w:top w:val="single" w:color="000000" w:sz="4" w:space="0"/>
              <w:left w:val="nil"/>
              <w:bottom w:val="single" w:color="000000" w:sz="4" w:space="0"/>
              <w:right w:val="nil"/>
            </w:tcBorders>
            <w:shd w:val="clear" w:color="auto" w:fill="auto"/>
            <w:noWrap/>
            <w:vAlign w:val="center"/>
          </w:tcPr>
          <w:p w14:paraId="153D8F02">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SEM</w:t>
            </w:r>
          </w:p>
        </w:tc>
        <w:tc>
          <w:tcPr>
            <w:tcW w:w="1050" w:type="dxa"/>
            <w:vMerge w:val="restart"/>
            <w:tcBorders>
              <w:top w:val="single" w:color="000000" w:sz="4" w:space="0"/>
              <w:left w:val="nil"/>
              <w:bottom w:val="single" w:color="000000" w:sz="4" w:space="0"/>
              <w:right w:val="nil"/>
            </w:tcBorders>
            <w:shd w:val="clear" w:color="auto" w:fill="auto"/>
            <w:vAlign w:val="center"/>
          </w:tcPr>
          <w:p w14:paraId="75A3EF87">
            <w:pPr>
              <w:widowControl/>
              <w:jc w:val="center"/>
              <w:textAlignment w:val="center"/>
              <w:rPr>
                <w:rFonts w:ascii="Times New Roman" w:hAnsi="Times New Roman" w:eastAsia="宋体" w:cs="Times New Roman"/>
                <w:b/>
                <w:bCs/>
                <w:i/>
                <w:iCs/>
                <w:color w:val="000000"/>
                <w:sz w:val="22"/>
                <w:szCs w:val="22"/>
              </w:rPr>
            </w:pPr>
            <w:r>
              <w:rPr>
                <w:rFonts w:hint="eastAsia" w:ascii="Times New Roman" w:hAnsi="Times New Roman" w:eastAsia="宋体" w:cs="Times New Roman"/>
                <w:b/>
                <w:bCs/>
                <w:i/>
                <w:iCs/>
                <w:color w:val="000000"/>
                <w:kern w:val="0"/>
                <w:sz w:val="22"/>
                <w:szCs w:val="22"/>
                <w:lang w:bidi="ar"/>
              </w:rPr>
              <w:t>P</w:t>
            </w:r>
          </w:p>
        </w:tc>
      </w:tr>
      <w:tr w14:paraId="5F1CC03C">
        <w:tblPrEx>
          <w:tblCellMar>
            <w:top w:w="0" w:type="dxa"/>
            <w:left w:w="108" w:type="dxa"/>
            <w:bottom w:w="0" w:type="dxa"/>
            <w:right w:w="108" w:type="dxa"/>
          </w:tblCellMar>
        </w:tblPrEx>
        <w:trPr>
          <w:trHeight w:val="300" w:hRule="atLeast"/>
          <w:jc w:val="center"/>
        </w:trPr>
        <w:tc>
          <w:tcPr>
            <w:tcW w:w="2759" w:type="dxa"/>
            <w:vMerge w:val="continue"/>
            <w:tcBorders>
              <w:top w:val="single" w:color="000000" w:sz="4" w:space="0"/>
              <w:left w:val="nil"/>
              <w:bottom w:val="single" w:color="000000" w:sz="4" w:space="0"/>
              <w:right w:val="nil"/>
            </w:tcBorders>
            <w:shd w:val="clear" w:color="auto" w:fill="auto"/>
            <w:noWrap/>
            <w:vAlign w:val="center"/>
          </w:tcPr>
          <w:p w14:paraId="1A6DA023">
            <w:pPr>
              <w:jc w:val="center"/>
              <w:rPr>
                <w:rFonts w:ascii="Times New Roman" w:hAnsi="Times New Roman" w:eastAsia="宋体" w:cs="Times New Roman"/>
                <w:b/>
                <w:bCs/>
                <w:color w:val="000000"/>
                <w:sz w:val="22"/>
                <w:szCs w:val="22"/>
              </w:rPr>
            </w:pPr>
          </w:p>
        </w:tc>
        <w:tc>
          <w:tcPr>
            <w:tcW w:w="1128" w:type="dxa"/>
            <w:tcBorders>
              <w:top w:val="nil"/>
              <w:left w:val="nil"/>
              <w:bottom w:val="single" w:color="000000" w:sz="4" w:space="0"/>
              <w:right w:val="nil"/>
            </w:tcBorders>
            <w:shd w:val="clear" w:color="auto" w:fill="auto"/>
            <w:noWrap/>
            <w:vAlign w:val="center"/>
          </w:tcPr>
          <w:p w14:paraId="7AA5218C">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sz w:val="24"/>
                <w:lang w:bidi="ar"/>
              </w:rPr>
              <w:t>GUE1</w:t>
            </w:r>
          </w:p>
        </w:tc>
        <w:tc>
          <w:tcPr>
            <w:tcW w:w="945" w:type="dxa"/>
            <w:tcBorders>
              <w:top w:val="nil"/>
              <w:left w:val="nil"/>
              <w:bottom w:val="single" w:color="000000" w:sz="4" w:space="0"/>
              <w:right w:val="nil"/>
            </w:tcBorders>
            <w:shd w:val="clear" w:color="auto" w:fill="auto"/>
            <w:noWrap/>
            <w:vAlign w:val="center"/>
          </w:tcPr>
          <w:p w14:paraId="2C04F8F6">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sz w:val="24"/>
                <w:lang w:bidi="ar"/>
              </w:rPr>
              <w:t>GUE2</w:t>
            </w:r>
          </w:p>
        </w:tc>
        <w:tc>
          <w:tcPr>
            <w:tcW w:w="1125" w:type="dxa"/>
            <w:vMerge w:val="continue"/>
            <w:tcBorders>
              <w:top w:val="single" w:color="000000" w:sz="4" w:space="0"/>
              <w:left w:val="nil"/>
              <w:bottom w:val="single" w:color="000000" w:sz="4" w:space="0"/>
              <w:right w:val="nil"/>
            </w:tcBorders>
            <w:shd w:val="clear" w:color="auto" w:fill="auto"/>
            <w:noWrap/>
            <w:vAlign w:val="center"/>
          </w:tcPr>
          <w:p w14:paraId="55CFCE02">
            <w:pPr>
              <w:jc w:val="center"/>
              <w:rPr>
                <w:rFonts w:ascii="Times New Roman" w:hAnsi="Times New Roman" w:eastAsia="宋体" w:cs="Times New Roman"/>
                <w:color w:val="000000"/>
                <w:sz w:val="22"/>
                <w:szCs w:val="22"/>
              </w:rPr>
            </w:pPr>
          </w:p>
        </w:tc>
        <w:tc>
          <w:tcPr>
            <w:tcW w:w="1050" w:type="dxa"/>
            <w:vMerge w:val="continue"/>
            <w:tcBorders>
              <w:top w:val="single" w:color="000000" w:sz="4" w:space="0"/>
              <w:left w:val="nil"/>
              <w:bottom w:val="single" w:color="000000" w:sz="4" w:space="0"/>
              <w:right w:val="nil"/>
            </w:tcBorders>
            <w:shd w:val="clear" w:color="auto" w:fill="auto"/>
            <w:vAlign w:val="center"/>
          </w:tcPr>
          <w:p w14:paraId="201EF7FF">
            <w:pPr>
              <w:jc w:val="center"/>
              <w:rPr>
                <w:rFonts w:ascii="Times New Roman" w:hAnsi="Times New Roman" w:eastAsia="宋体" w:cs="Times New Roman"/>
                <w:i/>
                <w:iCs/>
                <w:color w:val="000000"/>
                <w:sz w:val="22"/>
                <w:szCs w:val="22"/>
              </w:rPr>
            </w:pPr>
          </w:p>
        </w:tc>
      </w:tr>
      <w:tr w14:paraId="2E7BC032">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6D07AC63">
            <w:pPr>
              <w:widowControl/>
              <w:jc w:val="lef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kern w:val="0"/>
                <w:sz w:val="22"/>
                <w:szCs w:val="22"/>
                <w:lang w:bidi="ar"/>
              </w:rPr>
              <w:t>Performance</w:t>
            </w:r>
          </w:p>
        </w:tc>
        <w:tc>
          <w:tcPr>
            <w:tcW w:w="1128" w:type="dxa"/>
            <w:tcBorders>
              <w:top w:val="nil"/>
              <w:left w:val="nil"/>
              <w:bottom w:val="nil"/>
              <w:right w:val="nil"/>
            </w:tcBorders>
            <w:shd w:val="clear" w:color="auto" w:fill="auto"/>
            <w:noWrap/>
            <w:vAlign w:val="center"/>
          </w:tcPr>
          <w:p w14:paraId="5A6D5610">
            <w:pPr>
              <w:rPr>
                <w:rFonts w:ascii="Times New Roman" w:hAnsi="Times New Roman" w:eastAsia="宋体" w:cs="Times New Roman"/>
                <w:color w:val="000000"/>
                <w:sz w:val="22"/>
                <w:szCs w:val="22"/>
              </w:rPr>
            </w:pPr>
          </w:p>
        </w:tc>
        <w:tc>
          <w:tcPr>
            <w:tcW w:w="945" w:type="dxa"/>
            <w:tcBorders>
              <w:top w:val="nil"/>
              <w:left w:val="nil"/>
              <w:bottom w:val="nil"/>
              <w:right w:val="nil"/>
            </w:tcBorders>
            <w:shd w:val="clear" w:color="auto" w:fill="auto"/>
            <w:noWrap/>
            <w:vAlign w:val="center"/>
          </w:tcPr>
          <w:p w14:paraId="2F8B86A5">
            <w:pPr>
              <w:rPr>
                <w:rFonts w:ascii="Times New Roman" w:hAnsi="Times New Roman" w:eastAsia="宋体" w:cs="Times New Roman"/>
                <w:color w:val="000000"/>
                <w:sz w:val="22"/>
                <w:szCs w:val="22"/>
              </w:rPr>
            </w:pPr>
          </w:p>
        </w:tc>
        <w:tc>
          <w:tcPr>
            <w:tcW w:w="1125" w:type="dxa"/>
            <w:tcBorders>
              <w:top w:val="nil"/>
              <w:left w:val="nil"/>
              <w:bottom w:val="nil"/>
              <w:right w:val="nil"/>
            </w:tcBorders>
            <w:shd w:val="clear" w:color="auto" w:fill="auto"/>
            <w:noWrap/>
            <w:vAlign w:val="center"/>
          </w:tcPr>
          <w:p w14:paraId="16B931D3">
            <w:pPr>
              <w:rPr>
                <w:rFonts w:ascii="Times New Roman" w:hAnsi="Times New Roman" w:eastAsia="宋体" w:cs="Times New Roman"/>
                <w:color w:val="000000"/>
                <w:sz w:val="22"/>
                <w:szCs w:val="22"/>
              </w:rPr>
            </w:pPr>
          </w:p>
        </w:tc>
        <w:tc>
          <w:tcPr>
            <w:tcW w:w="1050" w:type="dxa"/>
            <w:tcBorders>
              <w:top w:val="nil"/>
              <w:left w:val="nil"/>
              <w:bottom w:val="nil"/>
              <w:right w:val="nil"/>
            </w:tcBorders>
            <w:shd w:val="clear" w:color="auto" w:fill="auto"/>
            <w:noWrap/>
            <w:vAlign w:val="center"/>
          </w:tcPr>
          <w:p w14:paraId="59B922E0">
            <w:pPr>
              <w:rPr>
                <w:rFonts w:ascii="Times New Roman" w:hAnsi="Times New Roman" w:eastAsia="宋体" w:cs="Times New Roman"/>
                <w:color w:val="000000"/>
                <w:sz w:val="22"/>
                <w:szCs w:val="22"/>
              </w:rPr>
            </w:pPr>
          </w:p>
        </w:tc>
      </w:tr>
      <w:tr w14:paraId="594AB044">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5C890951">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305-day milk yield/kg</w:t>
            </w:r>
          </w:p>
        </w:tc>
        <w:tc>
          <w:tcPr>
            <w:tcW w:w="1128" w:type="dxa"/>
            <w:tcBorders>
              <w:top w:val="nil"/>
              <w:left w:val="nil"/>
              <w:bottom w:val="nil"/>
              <w:right w:val="nil"/>
            </w:tcBorders>
            <w:shd w:val="clear" w:color="auto" w:fill="auto"/>
            <w:noWrap/>
            <w:vAlign w:val="center"/>
          </w:tcPr>
          <w:p w14:paraId="1037496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9880.23 </w:t>
            </w:r>
          </w:p>
        </w:tc>
        <w:tc>
          <w:tcPr>
            <w:tcW w:w="945" w:type="dxa"/>
            <w:tcBorders>
              <w:top w:val="nil"/>
              <w:left w:val="nil"/>
              <w:bottom w:val="nil"/>
              <w:right w:val="nil"/>
            </w:tcBorders>
            <w:shd w:val="clear" w:color="auto" w:fill="auto"/>
            <w:noWrap/>
            <w:vAlign w:val="center"/>
          </w:tcPr>
          <w:p w14:paraId="34071017">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9579.63 </w:t>
            </w:r>
          </w:p>
        </w:tc>
        <w:tc>
          <w:tcPr>
            <w:tcW w:w="1125" w:type="dxa"/>
            <w:tcBorders>
              <w:top w:val="nil"/>
              <w:left w:val="nil"/>
              <w:bottom w:val="nil"/>
              <w:right w:val="nil"/>
            </w:tcBorders>
            <w:shd w:val="clear" w:color="auto" w:fill="auto"/>
            <w:noWrap/>
            <w:vAlign w:val="center"/>
          </w:tcPr>
          <w:p w14:paraId="0E0113E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114.02 </w:t>
            </w:r>
          </w:p>
        </w:tc>
        <w:tc>
          <w:tcPr>
            <w:tcW w:w="1050" w:type="dxa"/>
            <w:tcBorders>
              <w:top w:val="nil"/>
              <w:left w:val="nil"/>
              <w:bottom w:val="nil"/>
              <w:right w:val="nil"/>
            </w:tcBorders>
            <w:shd w:val="clear" w:color="auto" w:fill="auto"/>
            <w:noWrap/>
            <w:vAlign w:val="center"/>
          </w:tcPr>
          <w:p w14:paraId="5A646A3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0.228 </w:t>
            </w:r>
          </w:p>
        </w:tc>
      </w:tr>
      <w:tr w14:paraId="65E87633">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21591212">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Yearly milk yield/kg </w:t>
            </w:r>
          </w:p>
        </w:tc>
        <w:tc>
          <w:tcPr>
            <w:tcW w:w="1128" w:type="dxa"/>
            <w:tcBorders>
              <w:top w:val="nil"/>
              <w:left w:val="nil"/>
              <w:bottom w:val="nil"/>
              <w:right w:val="nil"/>
            </w:tcBorders>
            <w:shd w:val="clear" w:color="auto" w:fill="auto"/>
            <w:noWrap/>
            <w:vAlign w:val="center"/>
          </w:tcPr>
          <w:p w14:paraId="71170F8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9326.78 </w:t>
            </w:r>
          </w:p>
        </w:tc>
        <w:tc>
          <w:tcPr>
            <w:tcW w:w="945" w:type="dxa"/>
            <w:tcBorders>
              <w:top w:val="nil"/>
              <w:left w:val="nil"/>
              <w:bottom w:val="nil"/>
              <w:right w:val="nil"/>
            </w:tcBorders>
            <w:shd w:val="clear" w:color="auto" w:fill="auto"/>
            <w:noWrap/>
            <w:vAlign w:val="center"/>
          </w:tcPr>
          <w:p w14:paraId="1CBCC4AE">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9101.03 </w:t>
            </w:r>
          </w:p>
        </w:tc>
        <w:tc>
          <w:tcPr>
            <w:tcW w:w="1125" w:type="dxa"/>
            <w:tcBorders>
              <w:top w:val="nil"/>
              <w:left w:val="nil"/>
              <w:bottom w:val="nil"/>
              <w:right w:val="nil"/>
            </w:tcBorders>
            <w:shd w:val="clear" w:color="auto" w:fill="auto"/>
            <w:noWrap/>
            <w:vAlign w:val="center"/>
          </w:tcPr>
          <w:p w14:paraId="10D21810">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123.40 </w:t>
            </w:r>
          </w:p>
        </w:tc>
        <w:tc>
          <w:tcPr>
            <w:tcW w:w="1050" w:type="dxa"/>
            <w:tcBorders>
              <w:top w:val="nil"/>
              <w:left w:val="nil"/>
              <w:bottom w:val="nil"/>
              <w:right w:val="nil"/>
            </w:tcBorders>
            <w:shd w:val="clear" w:color="auto" w:fill="auto"/>
            <w:noWrap/>
            <w:vAlign w:val="center"/>
          </w:tcPr>
          <w:p w14:paraId="66F1D0E9">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0.384 </w:t>
            </w:r>
          </w:p>
        </w:tc>
      </w:tr>
      <w:tr w14:paraId="730DCDDC">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220B7086">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Peak milk yield/kg</w:t>
            </w:r>
          </w:p>
        </w:tc>
        <w:tc>
          <w:tcPr>
            <w:tcW w:w="1128" w:type="dxa"/>
            <w:tcBorders>
              <w:top w:val="nil"/>
              <w:left w:val="nil"/>
              <w:bottom w:val="nil"/>
              <w:right w:val="nil"/>
            </w:tcBorders>
            <w:shd w:val="clear" w:color="auto" w:fill="auto"/>
            <w:noWrap/>
            <w:vAlign w:val="center"/>
          </w:tcPr>
          <w:p w14:paraId="2BE8910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45.52 </w:t>
            </w:r>
          </w:p>
        </w:tc>
        <w:tc>
          <w:tcPr>
            <w:tcW w:w="945" w:type="dxa"/>
            <w:tcBorders>
              <w:top w:val="nil"/>
              <w:left w:val="nil"/>
              <w:bottom w:val="nil"/>
              <w:right w:val="nil"/>
            </w:tcBorders>
            <w:shd w:val="clear" w:color="auto" w:fill="auto"/>
            <w:noWrap/>
            <w:vAlign w:val="center"/>
          </w:tcPr>
          <w:p w14:paraId="1410BD4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44.47 </w:t>
            </w:r>
          </w:p>
        </w:tc>
        <w:tc>
          <w:tcPr>
            <w:tcW w:w="1125" w:type="dxa"/>
            <w:tcBorders>
              <w:top w:val="nil"/>
              <w:left w:val="nil"/>
              <w:bottom w:val="nil"/>
              <w:right w:val="nil"/>
            </w:tcBorders>
            <w:shd w:val="clear" w:color="auto" w:fill="auto"/>
            <w:noWrap/>
            <w:vAlign w:val="center"/>
          </w:tcPr>
          <w:p w14:paraId="6139BFF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0.62 </w:t>
            </w:r>
          </w:p>
        </w:tc>
        <w:tc>
          <w:tcPr>
            <w:tcW w:w="1050" w:type="dxa"/>
            <w:tcBorders>
              <w:top w:val="nil"/>
              <w:left w:val="nil"/>
              <w:bottom w:val="nil"/>
              <w:right w:val="nil"/>
            </w:tcBorders>
            <w:shd w:val="clear" w:color="auto" w:fill="auto"/>
            <w:noWrap/>
            <w:vAlign w:val="center"/>
          </w:tcPr>
          <w:p w14:paraId="7F86D7B2">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0.398 </w:t>
            </w:r>
          </w:p>
        </w:tc>
      </w:tr>
      <w:tr w14:paraId="21BB2381">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739F570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Peak days</w:t>
            </w:r>
          </w:p>
        </w:tc>
        <w:tc>
          <w:tcPr>
            <w:tcW w:w="1128" w:type="dxa"/>
            <w:tcBorders>
              <w:top w:val="nil"/>
              <w:left w:val="nil"/>
              <w:bottom w:val="nil"/>
              <w:right w:val="nil"/>
            </w:tcBorders>
            <w:shd w:val="clear" w:color="auto" w:fill="auto"/>
            <w:noWrap/>
            <w:vAlign w:val="center"/>
          </w:tcPr>
          <w:p w14:paraId="42DB576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56.83 </w:t>
            </w:r>
          </w:p>
        </w:tc>
        <w:tc>
          <w:tcPr>
            <w:tcW w:w="945" w:type="dxa"/>
            <w:tcBorders>
              <w:top w:val="nil"/>
              <w:left w:val="nil"/>
              <w:bottom w:val="nil"/>
              <w:right w:val="nil"/>
            </w:tcBorders>
            <w:shd w:val="clear" w:color="auto" w:fill="auto"/>
            <w:noWrap/>
            <w:vAlign w:val="center"/>
          </w:tcPr>
          <w:p w14:paraId="73B3ECFE">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56.14 </w:t>
            </w:r>
          </w:p>
        </w:tc>
        <w:tc>
          <w:tcPr>
            <w:tcW w:w="1125" w:type="dxa"/>
            <w:tcBorders>
              <w:top w:val="nil"/>
              <w:left w:val="nil"/>
              <w:bottom w:val="nil"/>
              <w:right w:val="nil"/>
            </w:tcBorders>
            <w:shd w:val="clear" w:color="auto" w:fill="auto"/>
            <w:noWrap/>
            <w:vAlign w:val="center"/>
          </w:tcPr>
          <w:p w14:paraId="5897B46C">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2.19 </w:t>
            </w:r>
          </w:p>
        </w:tc>
        <w:tc>
          <w:tcPr>
            <w:tcW w:w="1050" w:type="dxa"/>
            <w:tcBorders>
              <w:top w:val="nil"/>
              <w:left w:val="nil"/>
              <w:bottom w:val="nil"/>
              <w:right w:val="nil"/>
            </w:tcBorders>
            <w:shd w:val="clear" w:color="auto" w:fill="auto"/>
            <w:noWrap/>
            <w:vAlign w:val="center"/>
          </w:tcPr>
          <w:p w14:paraId="4EF17FA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0.829 </w:t>
            </w:r>
          </w:p>
        </w:tc>
      </w:tr>
      <w:tr w14:paraId="0E5CEBCA">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234DCCAE">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Average daily milk yield/kg</w:t>
            </w:r>
          </w:p>
        </w:tc>
        <w:tc>
          <w:tcPr>
            <w:tcW w:w="1128" w:type="dxa"/>
            <w:tcBorders>
              <w:top w:val="nil"/>
              <w:left w:val="nil"/>
              <w:bottom w:val="nil"/>
              <w:right w:val="nil"/>
            </w:tcBorders>
            <w:shd w:val="clear" w:color="auto" w:fill="auto"/>
            <w:noWrap/>
            <w:vAlign w:val="center"/>
          </w:tcPr>
          <w:p w14:paraId="7AB1E74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33.46 </w:t>
            </w:r>
          </w:p>
        </w:tc>
        <w:tc>
          <w:tcPr>
            <w:tcW w:w="945" w:type="dxa"/>
            <w:tcBorders>
              <w:top w:val="nil"/>
              <w:left w:val="nil"/>
              <w:bottom w:val="nil"/>
              <w:right w:val="nil"/>
            </w:tcBorders>
            <w:shd w:val="clear" w:color="auto" w:fill="auto"/>
            <w:noWrap/>
            <w:vAlign w:val="center"/>
          </w:tcPr>
          <w:p w14:paraId="1601A3B9">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32.45 </w:t>
            </w:r>
          </w:p>
        </w:tc>
        <w:tc>
          <w:tcPr>
            <w:tcW w:w="1125" w:type="dxa"/>
            <w:tcBorders>
              <w:top w:val="nil"/>
              <w:left w:val="nil"/>
              <w:bottom w:val="nil"/>
              <w:right w:val="nil"/>
            </w:tcBorders>
            <w:shd w:val="clear" w:color="auto" w:fill="auto"/>
            <w:noWrap/>
            <w:vAlign w:val="center"/>
          </w:tcPr>
          <w:p w14:paraId="57F2B477">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0.42 </w:t>
            </w:r>
          </w:p>
        </w:tc>
        <w:tc>
          <w:tcPr>
            <w:tcW w:w="1050" w:type="dxa"/>
            <w:tcBorders>
              <w:top w:val="nil"/>
              <w:left w:val="nil"/>
              <w:bottom w:val="nil"/>
              <w:right w:val="nil"/>
            </w:tcBorders>
            <w:shd w:val="clear" w:color="auto" w:fill="auto"/>
            <w:noWrap/>
            <w:vAlign w:val="center"/>
          </w:tcPr>
          <w:p w14:paraId="1502254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0.234 </w:t>
            </w:r>
          </w:p>
        </w:tc>
      </w:tr>
      <w:tr w14:paraId="61DF8733">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1DCE5371">
            <w:pPr>
              <w:widowControl/>
              <w:jc w:val="lef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kern w:val="0"/>
                <w:sz w:val="22"/>
                <w:szCs w:val="22"/>
                <w:lang w:bidi="ar"/>
              </w:rPr>
              <w:t>Individuals characteristics</w:t>
            </w:r>
          </w:p>
        </w:tc>
        <w:tc>
          <w:tcPr>
            <w:tcW w:w="1128" w:type="dxa"/>
            <w:tcBorders>
              <w:top w:val="nil"/>
              <w:left w:val="nil"/>
              <w:bottom w:val="nil"/>
              <w:right w:val="nil"/>
            </w:tcBorders>
            <w:shd w:val="clear" w:color="auto" w:fill="auto"/>
            <w:noWrap/>
            <w:vAlign w:val="center"/>
          </w:tcPr>
          <w:p w14:paraId="0F63CC3A">
            <w:pPr>
              <w:rPr>
                <w:rFonts w:ascii="Times New Roman" w:hAnsi="Times New Roman" w:eastAsia="宋体" w:cs="Times New Roman"/>
                <w:color w:val="000000"/>
                <w:sz w:val="22"/>
                <w:szCs w:val="22"/>
              </w:rPr>
            </w:pPr>
          </w:p>
        </w:tc>
        <w:tc>
          <w:tcPr>
            <w:tcW w:w="945" w:type="dxa"/>
            <w:tcBorders>
              <w:top w:val="nil"/>
              <w:left w:val="nil"/>
              <w:bottom w:val="nil"/>
              <w:right w:val="nil"/>
            </w:tcBorders>
            <w:shd w:val="clear" w:color="auto" w:fill="auto"/>
            <w:noWrap/>
            <w:vAlign w:val="center"/>
          </w:tcPr>
          <w:p w14:paraId="029E8D10">
            <w:pPr>
              <w:rPr>
                <w:rFonts w:ascii="Times New Roman" w:hAnsi="Times New Roman" w:eastAsia="宋体" w:cs="Times New Roman"/>
                <w:color w:val="000000"/>
                <w:sz w:val="22"/>
                <w:szCs w:val="22"/>
              </w:rPr>
            </w:pPr>
          </w:p>
        </w:tc>
        <w:tc>
          <w:tcPr>
            <w:tcW w:w="1125" w:type="dxa"/>
            <w:tcBorders>
              <w:top w:val="nil"/>
              <w:left w:val="nil"/>
              <w:bottom w:val="nil"/>
              <w:right w:val="nil"/>
            </w:tcBorders>
            <w:shd w:val="clear" w:color="auto" w:fill="auto"/>
            <w:noWrap/>
            <w:vAlign w:val="center"/>
          </w:tcPr>
          <w:p w14:paraId="179656F0">
            <w:pPr>
              <w:rPr>
                <w:rFonts w:ascii="Times New Roman" w:hAnsi="Times New Roman" w:eastAsia="宋体" w:cs="Times New Roman"/>
                <w:color w:val="000000"/>
                <w:sz w:val="22"/>
                <w:szCs w:val="22"/>
              </w:rPr>
            </w:pPr>
          </w:p>
        </w:tc>
        <w:tc>
          <w:tcPr>
            <w:tcW w:w="1050" w:type="dxa"/>
            <w:tcBorders>
              <w:top w:val="nil"/>
              <w:left w:val="nil"/>
              <w:bottom w:val="nil"/>
              <w:right w:val="nil"/>
            </w:tcBorders>
            <w:shd w:val="clear" w:color="auto" w:fill="auto"/>
            <w:noWrap/>
            <w:vAlign w:val="center"/>
          </w:tcPr>
          <w:p w14:paraId="7D91EA89">
            <w:pPr>
              <w:rPr>
                <w:rFonts w:ascii="Times New Roman" w:hAnsi="Times New Roman" w:eastAsia="宋体" w:cs="Times New Roman"/>
                <w:color w:val="000000"/>
                <w:sz w:val="22"/>
                <w:szCs w:val="22"/>
              </w:rPr>
            </w:pPr>
          </w:p>
        </w:tc>
      </w:tr>
      <w:tr w14:paraId="3BEB91A9">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57528C10">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Parity</w:t>
            </w:r>
          </w:p>
        </w:tc>
        <w:tc>
          <w:tcPr>
            <w:tcW w:w="1128" w:type="dxa"/>
            <w:tcBorders>
              <w:top w:val="nil"/>
              <w:left w:val="nil"/>
              <w:bottom w:val="nil"/>
              <w:right w:val="nil"/>
            </w:tcBorders>
            <w:shd w:val="clear" w:color="auto" w:fill="auto"/>
            <w:noWrap/>
            <w:vAlign w:val="center"/>
          </w:tcPr>
          <w:p w14:paraId="14D4282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1.73 </w:t>
            </w:r>
          </w:p>
        </w:tc>
        <w:tc>
          <w:tcPr>
            <w:tcW w:w="945" w:type="dxa"/>
            <w:tcBorders>
              <w:top w:val="nil"/>
              <w:left w:val="nil"/>
              <w:bottom w:val="nil"/>
              <w:right w:val="nil"/>
            </w:tcBorders>
            <w:shd w:val="clear" w:color="auto" w:fill="auto"/>
            <w:noWrap/>
            <w:vAlign w:val="center"/>
          </w:tcPr>
          <w:p w14:paraId="2A15B1BE">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1.84 </w:t>
            </w:r>
          </w:p>
        </w:tc>
        <w:tc>
          <w:tcPr>
            <w:tcW w:w="1125" w:type="dxa"/>
            <w:tcBorders>
              <w:top w:val="nil"/>
              <w:left w:val="nil"/>
              <w:bottom w:val="nil"/>
              <w:right w:val="nil"/>
            </w:tcBorders>
            <w:shd w:val="clear" w:color="auto" w:fill="auto"/>
            <w:noWrap/>
            <w:vAlign w:val="center"/>
          </w:tcPr>
          <w:p w14:paraId="1D50A1B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0.05 </w:t>
            </w:r>
          </w:p>
        </w:tc>
        <w:tc>
          <w:tcPr>
            <w:tcW w:w="1050" w:type="dxa"/>
            <w:tcBorders>
              <w:top w:val="nil"/>
              <w:left w:val="nil"/>
              <w:bottom w:val="nil"/>
              <w:right w:val="nil"/>
            </w:tcBorders>
            <w:shd w:val="clear" w:color="auto" w:fill="auto"/>
            <w:noWrap/>
            <w:vAlign w:val="center"/>
          </w:tcPr>
          <w:p w14:paraId="39598FB9">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0.294 </w:t>
            </w:r>
          </w:p>
        </w:tc>
      </w:tr>
      <w:tr w14:paraId="1C89375C">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573FD7F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Gestation period</w:t>
            </w:r>
          </w:p>
        </w:tc>
        <w:tc>
          <w:tcPr>
            <w:tcW w:w="1128" w:type="dxa"/>
            <w:tcBorders>
              <w:top w:val="nil"/>
              <w:left w:val="nil"/>
              <w:bottom w:val="nil"/>
              <w:right w:val="nil"/>
            </w:tcBorders>
            <w:shd w:val="clear" w:color="auto" w:fill="auto"/>
            <w:noWrap/>
            <w:vAlign w:val="center"/>
          </w:tcPr>
          <w:p w14:paraId="474DC559">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276.75 </w:t>
            </w:r>
          </w:p>
        </w:tc>
        <w:tc>
          <w:tcPr>
            <w:tcW w:w="945" w:type="dxa"/>
            <w:tcBorders>
              <w:top w:val="nil"/>
              <w:left w:val="nil"/>
              <w:bottom w:val="nil"/>
              <w:right w:val="nil"/>
            </w:tcBorders>
            <w:shd w:val="clear" w:color="auto" w:fill="auto"/>
            <w:noWrap/>
            <w:vAlign w:val="center"/>
          </w:tcPr>
          <w:p w14:paraId="0D98C94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276.40 </w:t>
            </w:r>
          </w:p>
        </w:tc>
        <w:tc>
          <w:tcPr>
            <w:tcW w:w="1125" w:type="dxa"/>
            <w:tcBorders>
              <w:top w:val="nil"/>
              <w:left w:val="nil"/>
              <w:bottom w:val="nil"/>
              <w:right w:val="nil"/>
            </w:tcBorders>
            <w:shd w:val="clear" w:color="auto" w:fill="auto"/>
            <w:noWrap/>
            <w:vAlign w:val="center"/>
          </w:tcPr>
          <w:p w14:paraId="396DF8B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0.25 </w:t>
            </w:r>
          </w:p>
        </w:tc>
        <w:tc>
          <w:tcPr>
            <w:tcW w:w="1050" w:type="dxa"/>
            <w:tcBorders>
              <w:top w:val="nil"/>
              <w:left w:val="nil"/>
              <w:bottom w:val="nil"/>
              <w:right w:val="nil"/>
            </w:tcBorders>
            <w:shd w:val="clear" w:color="auto" w:fill="auto"/>
            <w:noWrap/>
            <w:vAlign w:val="center"/>
          </w:tcPr>
          <w:p w14:paraId="4AEA609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0.580 </w:t>
            </w:r>
          </w:p>
        </w:tc>
      </w:tr>
      <w:tr w14:paraId="1F050A82">
        <w:tblPrEx>
          <w:tblCellMar>
            <w:top w:w="0" w:type="dxa"/>
            <w:left w:w="108" w:type="dxa"/>
            <w:bottom w:w="0" w:type="dxa"/>
            <w:right w:w="108" w:type="dxa"/>
          </w:tblCellMar>
        </w:tblPrEx>
        <w:trPr>
          <w:trHeight w:val="300" w:hRule="atLeast"/>
          <w:jc w:val="center"/>
        </w:trPr>
        <w:tc>
          <w:tcPr>
            <w:tcW w:w="2759" w:type="dxa"/>
            <w:tcBorders>
              <w:top w:val="nil"/>
              <w:left w:val="nil"/>
              <w:bottom w:val="nil"/>
              <w:right w:val="nil"/>
            </w:tcBorders>
            <w:shd w:val="clear" w:color="auto" w:fill="auto"/>
            <w:noWrap/>
            <w:vAlign w:val="center"/>
          </w:tcPr>
          <w:p w14:paraId="571D9378">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Weight</w:t>
            </w:r>
          </w:p>
        </w:tc>
        <w:tc>
          <w:tcPr>
            <w:tcW w:w="1128" w:type="dxa"/>
            <w:tcBorders>
              <w:top w:val="nil"/>
              <w:left w:val="nil"/>
              <w:bottom w:val="nil"/>
              <w:right w:val="nil"/>
            </w:tcBorders>
            <w:shd w:val="clear" w:color="auto" w:fill="auto"/>
            <w:noWrap/>
            <w:vAlign w:val="center"/>
          </w:tcPr>
          <w:p w14:paraId="24AF54A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739.73 </w:t>
            </w:r>
          </w:p>
        </w:tc>
        <w:tc>
          <w:tcPr>
            <w:tcW w:w="945" w:type="dxa"/>
            <w:tcBorders>
              <w:top w:val="nil"/>
              <w:left w:val="nil"/>
              <w:bottom w:val="nil"/>
              <w:right w:val="nil"/>
            </w:tcBorders>
            <w:shd w:val="clear" w:color="auto" w:fill="auto"/>
            <w:noWrap/>
            <w:vAlign w:val="center"/>
          </w:tcPr>
          <w:p w14:paraId="754EB639">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736.33 </w:t>
            </w:r>
          </w:p>
        </w:tc>
        <w:tc>
          <w:tcPr>
            <w:tcW w:w="1125" w:type="dxa"/>
            <w:tcBorders>
              <w:top w:val="nil"/>
              <w:left w:val="nil"/>
              <w:bottom w:val="nil"/>
              <w:right w:val="nil"/>
            </w:tcBorders>
            <w:shd w:val="clear" w:color="auto" w:fill="auto"/>
            <w:noWrap/>
            <w:vAlign w:val="center"/>
          </w:tcPr>
          <w:p w14:paraId="67B18DB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4.79 </w:t>
            </w:r>
          </w:p>
        </w:tc>
        <w:tc>
          <w:tcPr>
            <w:tcW w:w="1050" w:type="dxa"/>
            <w:tcBorders>
              <w:top w:val="nil"/>
              <w:left w:val="nil"/>
              <w:bottom w:val="nil"/>
              <w:right w:val="nil"/>
            </w:tcBorders>
            <w:shd w:val="clear" w:color="auto" w:fill="auto"/>
            <w:noWrap/>
            <w:vAlign w:val="center"/>
          </w:tcPr>
          <w:p w14:paraId="2196534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0.725 </w:t>
            </w:r>
          </w:p>
        </w:tc>
      </w:tr>
      <w:tr w14:paraId="6F91BE58">
        <w:tblPrEx>
          <w:tblCellMar>
            <w:top w:w="0" w:type="dxa"/>
            <w:left w:w="108" w:type="dxa"/>
            <w:bottom w:w="0" w:type="dxa"/>
            <w:right w:w="108" w:type="dxa"/>
          </w:tblCellMar>
        </w:tblPrEx>
        <w:trPr>
          <w:trHeight w:val="300" w:hRule="atLeast"/>
          <w:jc w:val="center"/>
        </w:trPr>
        <w:tc>
          <w:tcPr>
            <w:tcW w:w="2759" w:type="dxa"/>
            <w:tcBorders>
              <w:top w:val="nil"/>
              <w:left w:val="nil"/>
              <w:bottom w:val="single" w:color="000000" w:sz="4" w:space="0"/>
              <w:right w:val="nil"/>
            </w:tcBorders>
            <w:shd w:val="clear" w:color="auto" w:fill="auto"/>
            <w:noWrap/>
            <w:vAlign w:val="center"/>
          </w:tcPr>
          <w:p w14:paraId="1F70D68D">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Body condition score</w:t>
            </w:r>
          </w:p>
        </w:tc>
        <w:tc>
          <w:tcPr>
            <w:tcW w:w="1128" w:type="dxa"/>
            <w:tcBorders>
              <w:top w:val="nil"/>
              <w:left w:val="nil"/>
              <w:bottom w:val="single" w:color="000000" w:sz="4" w:space="0"/>
              <w:right w:val="nil"/>
            </w:tcBorders>
            <w:shd w:val="clear" w:color="auto" w:fill="auto"/>
            <w:noWrap/>
            <w:vAlign w:val="center"/>
          </w:tcPr>
          <w:p w14:paraId="46E390FA">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3.36 </w:t>
            </w:r>
          </w:p>
        </w:tc>
        <w:tc>
          <w:tcPr>
            <w:tcW w:w="945" w:type="dxa"/>
            <w:tcBorders>
              <w:top w:val="nil"/>
              <w:left w:val="nil"/>
              <w:bottom w:val="single" w:color="000000" w:sz="4" w:space="0"/>
              <w:right w:val="nil"/>
            </w:tcBorders>
            <w:shd w:val="clear" w:color="auto" w:fill="auto"/>
            <w:noWrap/>
            <w:vAlign w:val="center"/>
          </w:tcPr>
          <w:p w14:paraId="233D91A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3.37 </w:t>
            </w:r>
          </w:p>
        </w:tc>
        <w:tc>
          <w:tcPr>
            <w:tcW w:w="1125" w:type="dxa"/>
            <w:tcBorders>
              <w:top w:val="nil"/>
              <w:left w:val="nil"/>
              <w:bottom w:val="single" w:color="000000" w:sz="4" w:space="0"/>
              <w:right w:val="nil"/>
            </w:tcBorders>
            <w:shd w:val="clear" w:color="auto" w:fill="auto"/>
            <w:noWrap/>
            <w:vAlign w:val="center"/>
          </w:tcPr>
          <w:p w14:paraId="0C0A5EE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0.02 </w:t>
            </w:r>
          </w:p>
        </w:tc>
        <w:tc>
          <w:tcPr>
            <w:tcW w:w="1050" w:type="dxa"/>
            <w:tcBorders>
              <w:top w:val="nil"/>
              <w:left w:val="nil"/>
              <w:bottom w:val="single" w:color="000000" w:sz="4" w:space="0"/>
              <w:right w:val="nil"/>
            </w:tcBorders>
            <w:shd w:val="clear" w:color="auto" w:fill="auto"/>
            <w:noWrap/>
            <w:vAlign w:val="center"/>
          </w:tcPr>
          <w:p w14:paraId="04E8BC70">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0.789 </w:t>
            </w:r>
          </w:p>
        </w:tc>
      </w:tr>
    </w:tbl>
    <w:p w14:paraId="454035DF">
      <w:pPr>
        <w:rPr>
          <w:rFonts w:ascii="Times New Roman" w:hAnsi="Times New Roman" w:eastAsia="宋体" w:cs="Times New Roman"/>
          <w:sz w:val="24"/>
          <w:lang w:bidi="ar"/>
        </w:rPr>
      </w:pPr>
      <w:r>
        <w:rPr>
          <w:rFonts w:ascii="Times New Roman" w:hAnsi="Times New Roman" w:eastAsia="宋体" w:cs="Times New Roman"/>
          <w:sz w:val="24"/>
          <w:lang w:bidi="ar"/>
        </w:rPr>
        <w:br w:type="page"/>
      </w:r>
    </w:p>
    <w:p w14:paraId="4B5F8840">
      <w:pPr>
        <w:widowControl/>
        <w:spacing w:line="480" w:lineRule="auto"/>
        <w:jc w:val="center"/>
        <w:rPr>
          <w:rFonts w:ascii="Times New Roman" w:hAnsi="Times New Roman" w:eastAsia="宋体" w:cs="Times New Roman"/>
          <w:sz w:val="24"/>
          <w:lang w:bidi="ar"/>
        </w:rPr>
      </w:pPr>
      <w:r>
        <w:rPr>
          <w:rFonts w:ascii="Times New Roman" w:hAnsi="Times New Roman"/>
          <w:b/>
          <w:bCs/>
          <w:sz w:val="24"/>
        </w:rPr>
        <w:t>Table S</w:t>
      </w:r>
      <w:r>
        <w:rPr>
          <w:rFonts w:hint="eastAsia" w:ascii="Times New Roman" w:hAnsi="Times New Roman"/>
          <w:b/>
          <w:bCs/>
          <w:sz w:val="24"/>
        </w:rPr>
        <w:t>3.</w:t>
      </w:r>
      <w:r>
        <w:rPr>
          <w:rFonts w:ascii="Times New Roman" w:hAnsi="Times New Roman"/>
          <w:b/>
          <w:bCs/>
          <w:sz w:val="24"/>
        </w:rPr>
        <w:t xml:space="preserve"> </w:t>
      </w:r>
      <w:r>
        <w:rPr>
          <w:rFonts w:hint="eastAsia" w:ascii="Times New Roman" w:hAnsi="Times New Roman"/>
          <w:sz w:val="24"/>
        </w:rPr>
        <w:t xml:space="preserve">Comparison of phenotypes of cows between the </w:t>
      </w:r>
      <w:r>
        <w:rPr>
          <w:rFonts w:hint="eastAsia" w:ascii="Times New Roman" w:hAnsi="Times New Roman" w:eastAsia="宋体" w:cs="Times New Roman"/>
          <w:sz w:val="24"/>
          <w:lang w:bidi="ar"/>
        </w:rPr>
        <w:t>EPG and PPG</w:t>
      </w:r>
    </w:p>
    <w:tbl>
      <w:tblPr>
        <w:tblStyle w:val="4"/>
        <w:tblW w:w="7427" w:type="dxa"/>
        <w:jc w:val="center"/>
        <w:tblLayout w:type="autofit"/>
        <w:tblCellMar>
          <w:top w:w="0" w:type="dxa"/>
          <w:left w:w="108" w:type="dxa"/>
          <w:bottom w:w="0" w:type="dxa"/>
          <w:right w:w="108" w:type="dxa"/>
        </w:tblCellMar>
      </w:tblPr>
      <w:tblGrid>
        <w:gridCol w:w="2940"/>
        <w:gridCol w:w="1395"/>
        <w:gridCol w:w="1395"/>
        <w:gridCol w:w="1080"/>
        <w:gridCol w:w="711"/>
      </w:tblGrid>
      <w:tr w14:paraId="2C0B54D5">
        <w:tblPrEx>
          <w:tblCellMar>
            <w:top w:w="0" w:type="dxa"/>
            <w:left w:w="108" w:type="dxa"/>
            <w:bottom w:w="0" w:type="dxa"/>
            <w:right w:w="108" w:type="dxa"/>
          </w:tblCellMar>
        </w:tblPrEx>
        <w:trPr>
          <w:trHeight w:val="300" w:hRule="atLeast"/>
          <w:jc w:val="center"/>
        </w:trPr>
        <w:tc>
          <w:tcPr>
            <w:tcW w:w="2940" w:type="dxa"/>
            <w:vMerge w:val="restart"/>
            <w:tcBorders>
              <w:top w:val="single" w:color="000000" w:sz="4" w:space="0"/>
              <w:left w:val="nil"/>
              <w:bottom w:val="single" w:color="000000" w:sz="4" w:space="0"/>
              <w:right w:val="nil"/>
            </w:tcBorders>
            <w:shd w:val="clear" w:color="auto" w:fill="auto"/>
            <w:noWrap/>
            <w:vAlign w:val="center"/>
          </w:tcPr>
          <w:p w14:paraId="2AFAC9BB">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Items</w:t>
            </w:r>
          </w:p>
        </w:tc>
        <w:tc>
          <w:tcPr>
            <w:tcW w:w="2696" w:type="dxa"/>
            <w:gridSpan w:val="2"/>
            <w:tcBorders>
              <w:top w:val="single" w:color="000000" w:sz="4" w:space="0"/>
              <w:left w:val="nil"/>
              <w:bottom w:val="single" w:color="000000" w:sz="4" w:space="0"/>
              <w:right w:val="nil"/>
            </w:tcBorders>
            <w:shd w:val="clear" w:color="auto" w:fill="auto"/>
            <w:noWrap/>
            <w:vAlign w:val="center"/>
          </w:tcPr>
          <w:p w14:paraId="7219D389">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mean</w:t>
            </w:r>
          </w:p>
        </w:tc>
        <w:tc>
          <w:tcPr>
            <w:tcW w:w="1080" w:type="dxa"/>
            <w:vMerge w:val="restart"/>
            <w:tcBorders>
              <w:top w:val="single" w:color="000000" w:sz="4" w:space="0"/>
              <w:left w:val="nil"/>
              <w:bottom w:val="single" w:color="000000" w:sz="4" w:space="0"/>
              <w:right w:val="nil"/>
            </w:tcBorders>
            <w:shd w:val="clear" w:color="auto" w:fill="auto"/>
            <w:noWrap/>
            <w:vAlign w:val="center"/>
          </w:tcPr>
          <w:p w14:paraId="63D52F58">
            <w:pPr>
              <w:widowControl/>
              <w:jc w:val="center"/>
              <w:textAlignment w:val="center"/>
              <w:rPr>
                <w:rFonts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SEM</w:t>
            </w:r>
          </w:p>
        </w:tc>
        <w:tc>
          <w:tcPr>
            <w:tcW w:w="711" w:type="dxa"/>
            <w:vMerge w:val="restart"/>
            <w:tcBorders>
              <w:top w:val="single" w:color="000000" w:sz="4" w:space="0"/>
              <w:left w:val="nil"/>
              <w:bottom w:val="single" w:color="000000" w:sz="4" w:space="0"/>
              <w:right w:val="nil"/>
            </w:tcBorders>
            <w:shd w:val="clear" w:color="auto" w:fill="auto"/>
            <w:vAlign w:val="center"/>
          </w:tcPr>
          <w:p w14:paraId="0486377C">
            <w:pPr>
              <w:widowControl/>
              <w:jc w:val="center"/>
              <w:textAlignment w:val="center"/>
              <w:rPr>
                <w:rFonts w:ascii="Times New Roman" w:hAnsi="Times New Roman" w:eastAsia="宋体" w:cs="Times New Roman"/>
                <w:b/>
                <w:bCs/>
                <w:i/>
                <w:iCs/>
                <w:color w:val="000000"/>
                <w:sz w:val="22"/>
                <w:szCs w:val="22"/>
              </w:rPr>
            </w:pPr>
            <w:r>
              <w:rPr>
                <w:rFonts w:hint="eastAsia" w:ascii="Times New Roman" w:hAnsi="Times New Roman" w:eastAsia="宋体" w:cs="Times New Roman"/>
                <w:b/>
                <w:bCs/>
                <w:i/>
                <w:iCs/>
                <w:color w:val="000000"/>
                <w:kern w:val="0"/>
                <w:sz w:val="22"/>
                <w:szCs w:val="22"/>
                <w:lang w:bidi="ar"/>
              </w:rPr>
              <w:t>P</w:t>
            </w:r>
          </w:p>
        </w:tc>
      </w:tr>
      <w:tr w14:paraId="0C20E404">
        <w:tblPrEx>
          <w:tblCellMar>
            <w:top w:w="0" w:type="dxa"/>
            <w:left w:w="108" w:type="dxa"/>
            <w:bottom w:w="0" w:type="dxa"/>
            <w:right w:w="108" w:type="dxa"/>
          </w:tblCellMar>
        </w:tblPrEx>
        <w:trPr>
          <w:trHeight w:val="300" w:hRule="atLeast"/>
          <w:jc w:val="center"/>
        </w:trPr>
        <w:tc>
          <w:tcPr>
            <w:tcW w:w="2940" w:type="dxa"/>
            <w:vMerge w:val="continue"/>
            <w:tcBorders>
              <w:top w:val="single" w:color="000000" w:sz="4" w:space="0"/>
              <w:left w:val="nil"/>
              <w:bottom w:val="single" w:color="000000" w:sz="4" w:space="0"/>
              <w:right w:val="nil"/>
            </w:tcBorders>
            <w:shd w:val="clear" w:color="auto" w:fill="auto"/>
            <w:noWrap/>
            <w:vAlign w:val="center"/>
          </w:tcPr>
          <w:p w14:paraId="49C23F7A">
            <w:pPr>
              <w:jc w:val="center"/>
              <w:rPr>
                <w:rFonts w:ascii="Times New Roman" w:hAnsi="Times New Roman" w:eastAsia="宋体" w:cs="Times New Roman"/>
                <w:color w:val="000000"/>
                <w:sz w:val="22"/>
                <w:szCs w:val="22"/>
              </w:rPr>
            </w:pPr>
          </w:p>
        </w:tc>
        <w:tc>
          <w:tcPr>
            <w:tcW w:w="0" w:type="auto"/>
            <w:tcBorders>
              <w:top w:val="nil"/>
              <w:left w:val="nil"/>
              <w:bottom w:val="single" w:color="000000" w:sz="4" w:space="0"/>
              <w:right w:val="nil"/>
            </w:tcBorders>
            <w:shd w:val="clear" w:color="auto" w:fill="auto"/>
            <w:noWrap/>
            <w:vAlign w:val="center"/>
          </w:tcPr>
          <w:p w14:paraId="3C0A0BD4">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szCs w:val="21"/>
                <w:lang w:bidi="ar"/>
              </w:rPr>
              <w:t>RUE1-</w:t>
            </w:r>
            <w:r>
              <w:rPr>
                <w:rFonts w:hint="eastAsia" w:ascii="Times New Roman" w:hAnsi="Times New Roman" w:eastAsia="宋体" w:cs="Times New Roman"/>
                <w:b/>
                <w:bCs/>
                <w:szCs w:val="21"/>
                <w:lang w:bidi="ar"/>
              </w:rPr>
              <w:t>G</w:t>
            </w:r>
            <w:r>
              <w:rPr>
                <w:rFonts w:ascii="Times New Roman" w:hAnsi="Times New Roman" w:eastAsia="宋体" w:cs="Times New Roman"/>
                <w:b/>
                <w:bCs/>
                <w:szCs w:val="21"/>
                <w:lang w:bidi="ar"/>
              </w:rPr>
              <w:t>UE1</w:t>
            </w:r>
          </w:p>
        </w:tc>
        <w:tc>
          <w:tcPr>
            <w:tcW w:w="0" w:type="auto"/>
            <w:tcBorders>
              <w:top w:val="nil"/>
              <w:left w:val="nil"/>
              <w:bottom w:val="single" w:color="000000" w:sz="4" w:space="0"/>
              <w:right w:val="nil"/>
            </w:tcBorders>
            <w:shd w:val="clear" w:color="auto" w:fill="auto"/>
            <w:noWrap/>
            <w:vAlign w:val="center"/>
          </w:tcPr>
          <w:p w14:paraId="68749C0E">
            <w:pPr>
              <w:widowControl/>
              <w:jc w:val="center"/>
              <w:textAlignment w:val="center"/>
              <w:rPr>
                <w:rFonts w:ascii="Times New Roman" w:hAnsi="Times New Roman" w:eastAsia="宋体" w:cs="Times New Roman"/>
                <w:b/>
                <w:bCs/>
                <w:color w:val="000000"/>
                <w:sz w:val="22"/>
                <w:szCs w:val="22"/>
              </w:rPr>
            </w:pPr>
            <w:r>
              <w:rPr>
                <w:rFonts w:ascii="Times New Roman" w:hAnsi="Times New Roman" w:eastAsia="宋体" w:cs="Times New Roman"/>
                <w:b/>
                <w:bCs/>
                <w:szCs w:val="21"/>
                <w:lang w:bidi="ar"/>
              </w:rPr>
              <w:t>RUE1-</w:t>
            </w:r>
            <w:r>
              <w:rPr>
                <w:rFonts w:hint="eastAsia" w:ascii="Times New Roman" w:hAnsi="Times New Roman" w:eastAsia="宋体" w:cs="Times New Roman"/>
                <w:b/>
                <w:bCs/>
                <w:szCs w:val="21"/>
                <w:lang w:bidi="ar"/>
              </w:rPr>
              <w:t>G</w:t>
            </w:r>
            <w:r>
              <w:rPr>
                <w:rFonts w:ascii="Times New Roman" w:hAnsi="Times New Roman" w:eastAsia="宋体" w:cs="Times New Roman"/>
                <w:b/>
                <w:bCs/>
                <w:szCs w:val="21"/>
                <w:lang w:bidi="ar"/>
              </w:rPr>
              <w:t>UE1</w:t>
            </w:r>
          </w:p>
        </w:tc>
        <w:tc>
          <w:tcPr>
            <w:tcW w:w="1080" w:type="dxa"/>
            <w:vMerge w:val="continue"/>
            <w:tcBorders>
              <w:top w:val="single" w:color="000000" w:sz="4" w:space="0"/>
              <w:left w:val="nil"/>
              <w:bottom w:val="single" w:color="000000" w:sz="4" w:space="0"/>
              <w:right w:val="nil"/>
            </w:tcBorders>
            <w:shd w:val="clear" w:color="auto" w:fill="auto"/>
            <w:noWrap/>
            <w:vAlign w:val="center"/>
          </w:tcPr>
          <w:p w14:paraId="5C93AF55">
            <w:pPr>
              <w:jc w:val="center"/>
              <w:rPr>
                <w:rFonts w:ascii="Times New Roman" w:hAnsi="Times New Roman" w:eastAsia="宋体" w:cs="Times New Roman"/>
                <w:color w:val="000000"/>
                <w:sz w:val="22"/>
                <w:szCs w:val="22"/>
              </w:rPr>
            </w:pPr>
          </w:p>
        </w:tc>
        <w:tc>
          <w:tcPr>
            <w:tcW w:w="711" w:type="dxa"/>
            <w:vMerge w:val="continue"/>
            <w:tcBorders>
              <w:top w:val="single" w:color="000000" w:sz="4" w:space="0"/>
              <w:left w:val="nil"/>
              <w:bottom w:val="single" w:color="000000" w:sz="4" w:space="0"/>
              <w:right w:val="nil"/>
            </w:tcBorders>
            <w:shd w:val="clear" w:color="auto" w:fill="auto"/>
            <w:vAlign w:val="center"/>
          </w:tcPr>
          <w:p w14:paraId="28BA3F73">
            <w:pPr>
              <w:jc w:val="center"/>
              <w:rPr>
                <w:rFonts w:ascii="Times New Roman" w:hAnsi="Times New Roman" w:eastAsia="宋体" w:cs="Times New Roman"/>
                <w:i/>
                <w:iCs/>
                <w:color w:val="000000"/>
                <w:sz w:val="22"/>
                <w:szCs w:val="22"/>
              </w:rPr>
            </w:pPr>
          </w:p>
        </w:tc>
      </w:tr>
      <w:tr w14:paraId="7FD74532">
        <w:tblPrEx>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64D81AA2">
            <w:pPr>
              <w:widowControl/>
              <w:jc w:val="lef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kern w:val="0"/>
                <w:sz w:val="22"/>
                <w:szCs w:val="22"/>
                <w:lang w:bidi="ar"/>
              </w:rPr>
              <w:t>Performance</w:t>
            </w:r>
          </w:p>
        </w:tc>
        <w:tc>
          <w:tcPr>
            <w:tcW w:w="0" w:type="auto"/>
            <w:tcBorders>
              <w:top w:val="nil"/>
              <w:left w:val="nil"/>
              <w:bottom w:val="nil"/>
              <w:right w:val="nil"/>
            </w:tcBorders>
            <w:shd w:val="clear" w:color="auto" w:fill="auto"/>
            <w:noWrap/>
            <w:vAlign w:val="center"/>
          </w:tcPr>
          <w:p w14:paraId="5182A6FF">
            <w:pPr>
              <w:rPr>
                <w:rFonts w:ascii="Times New Roman" w:hAnsi="Times New Roman" w:eastAsia="宋体" w:cs="Times New Roman"/>
                <w:color w:val="000000"/>
                <w:sz w:val="22"/>
                <w:szCs w:val="22"/>
              </w:rPr>
            </w:pPr>
          </w:p>
        </w:tc>
        <w:tc>
          <w:tcPr>
            <w:tcW w:w="0" w:type="auto"/>
            <w:tcBorders>
              <w:top w:val="nil"/>
              <w:left w:val="nil"/>
              <w:bottom w:val="nil"/>
              <w:right w:val="nil"/>
            </w:tcBorders>
            <w:shd w:val="clear" w:color="auto" w:fill="auto"/>
            <w:noWrap/>
            <w:vAlign w:val="center"/>
          </w:tcPr>
          <w:p w14:paraId="1C4D5EEE">
            <w:pPr>
              <w:rPr>
                <w:rFonts w:ascii="Times New Roman" w:hAnsi="Times New Roman" w:eastAsia="宋体" w:cs="Times New Roman"/>
                <w:color w:val="000000"/>
                <w:sz w:val="22"/>
                <w:szCs w:val="22"/>
              </w:rPr>
            </w:pPr>
          </w:p>
        </w:tc>
        <w:tc>
          <w:tcPr>
            <w:tcW w:w="0" w:type="auto"/>
            <w:tcBorders>
              <w:top w:val="nil"/>
              <w:left w:val="nil"/>
              <w:bottom w:val="nil"/>
              <w:right w:val="nil"/>
            </w:tcBorders>
            <w:shd w:val="clear" w:color="auto" w:fill="auto"/>
            <w:noWrap/>
            <w:vAlign w:val="center"/>
          </w:tcPr>
          <w:p w14:paraId="5F3F7F37">
            <w:pPr>
              <w:rPr>
                <w:rFonts w:ascii="Times New Roman" w:hAnsi="Times New Roman" w:eastAsia="宋体" w:cs="Times New Roman"/>
                <w:color w:val="000000"/>
                <w:sz w:val="22"/>
                <w:szCs w:val="22"/>
              </w:rPr>
            </w:pPr>
          </w:p>
        </w:tc>
        <w:tc>
          <w:tcPr>
            <w:tcW w:w="0" w:type="auto"/>
            <w:tcBorders>
              <w:top w:val="nil"/>
              <w:left w:val="nil"/>
              <w:bottom w:val="nil"/>
              <w:right w:val="nil"/>
            </w:tcBorders>
            <w:shd w:val="clear" w:color="auto" w:fill="auto"/>
            <w:noWrap/>
            <w:vAlign w:val="center"/>
          </w:tcPr>
          <w:p w14:paraId="22004802">
            <w:pPr>
              <w:rPr>
                <w:rFonts w:ascii="Times New Roman" w:hAnsi="Times New Roman" w:eastAsia="宋体" w:cs="Times New Roman"/>
                <w:color w:val="000000"/>
                <w:sz w:val="22"/>
                <w:szCs w:val="22"/>
              </w:rPr>
            </w:pPr>
          </w:p>
        </w:tc>
      </w:tr>
      <w:tr w14:paraId="4A98D1BD">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14:paraId="00869284">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305-day milk yield/kg</w:t>
            </w:r>
          </w:p>
        </w:tc>
        <w:tc>
          <w:tcPr>
            <w:tcW w:w="0" w:type="auto"/>
            <w:tcBorders>
              <w:top w:val="nil"/>
              <w:left w:val="nil"/>
              <w:bottom w:val="nil"/>
              <w:right w:val="nil"/>
            </w:tcBorders>
            <w:shd w:val="clear" w:color="auto" w:fill="auto"/>
            <w:noWrap/>
            <w:vAlign w:val="center"/>
          </w:tcPr>
          <w:p w14:paraId="45AF9577">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10935.28 </w:t>
            </w:r>
          </w:p>
        </w:tc>
        <w:tc>
          <w:tcPr>
            <w:tcW w:w="0" w:type="auto"/>
            <w:tcBorders>
              <w:top w:val="nil"/>
              <w:left w:val="nil"/>
              <w:bottom w:val="nil"/>
              <w:right w:val="nil"/>
            </w:tcBorders>
            <w:shd w:val="clear" w:color="auto" w:fill="auto"/>
            <w:noWrap/>
            <w:vAlign w:val="center"/>
          </w:tcPr>
          <w:p w14:paraId="7C05C2F4">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9592.41 </w:t>
            </w:r>
          </w:p>
        </w:tc>
        <w:tc>
          <w:tcPr>
            <w:tcW w:w="0" w:type="auto"/>
            <w:tcBorders>
              <w:top w:val="nil"/>
              <w:left w:val="nil"/>
              <w:bottom w:val="nil"/>
              <w:right w:val="nil"/>
            </w:tcBorders>
            <w:shd w:val="clear" w:color="auto" w:fill="auto"/>
            <w:noWrap/>
            <w:vAlign w:val="center"/>
          </w:tcPr>
          <w:p w14:paraId="04151650">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146.98 </w:t>
            </w:r>
          </w:p>
        </w:tc>
        <w:tc>
          <w:tcPr>
            <w:tcW w:w="0" w:type="auto"/>
            <w:tcBorders>
              <w:top w:val="nil"/>
              <w:left w:val="nil"/>
              <w:bottom w:val="nil"/>
              <w:right w:val="nil"/>
            </w:tcBorders>
            <w:shd w:val="clear" w:color="auto" w:fill="auto"/>
            <w:noWrap/>
            <w:vAlign w:val="center"/>
          </w:tcPr>
          <w:p w14:paraId="38059E5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0.000 </w:t>
            </w:r>
          </w:p>
        </w:tc>
      </w:tr>
      <w:tr w14:paraId="3D0A2D69">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14:paraId="63B320D7">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Yearly milk yield/kg </w:t>
            </w:r>
          </w:p>
        </w:tc>
        <w:tc>
          <w:tcPr>
            <w:tcW w:w="0" w:type="auto"/>
            <w:tcBorders>
              <w:top w:val="nil"/>
              <w:left w:val="nil"/>
              <w:bottom w:val="nil"/>
              <w:right w:val="nil"/>
            </w:tcBorders>
            <w:shd w:val="clear" w:color="auto" w:fill="auto"/>
            <w:noWrap/>
            <w:vAlign w:val="center"/>
          </w:tcPr>
          <w:p w14:paraId="69FFC87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10378.47 </w:t>
            </w:r>
          </w:p>
        </w:tc>
        <w:tc>
          <w:tcPr>
            <w:tcW w:w="0" w:type="auto"/>
            <w:tcBorders>
              <w:top w:val="nil"/>
              <w:left w:val="nil"/>
              <w:bottom w:val="nil"/>
              <w:right w:val="nil"/>
            </w:tcBorders>
            <w:shd w:val="clear" w:color="auto" w:fill="auto"/>
            <w:noWrap/>
            <w:vAlign w:val="center"/>
          </w:tcPr>
          <w:p w14:paraId="14BB9BA9">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9130.58 </w:t>
            </w:r>
          </w:p>
        </w:tc>
        <w:tc>
          <w:tcPr>
            <w:tcW w:w="0" w:type="auto"/>
            <w:tcBorders>
              <w:top w:val="nil"/>
              <w:left w:val="nil"/>
              <w:bottom w:val="nil"/>
              <w:right w:val="nil"/>
            </w:tcBorders>
            <w:shd w:val="clear" w:color="auto" w:fill="auto"/>
            <w:noWrap/>
            <w:vAlign w:val="center"/>
          </w:tcPr>
          <w:p w14:paraId="7C4F6EF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223.32 </w:t>
            </w:r>
          </w:p>
        </w:tc>
        <w:tc>
          <w:tcPr>
            <w:tcW w:w="0" w:type="auto"/>
            <w:tcBorders>
              <w:top w:val="nil"/>
              <w:left w:val="nil"/>
              <w:bottom w:val="nil"/>
              <w:right w:val="nil"/>
            </w:tcBorders>
            <w:shd w:val="clear" w:color="auto" w:fill="auto"/>
            <w:noWrap/>
            <w:vAlign w:val="center"/>
          </w:tcPr>
          <w:p w14:paraId="0E61125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0.003 </w:t>
            </w:r>
          </w:p>
        </w:tc>
      </w:tr>
      <w:tr w14:paraId="449343F8">
        <w:tblPrEx>
          <w:tblCellMar>
            <w:top w:w="0" w:type="dxa"/>
            <w:left w:w="108" w:type="dxa"/>
            <w:bottom w:w="0" w:type="dxa"/>
            <w:right w:w="108" w:type="dxa"/>
          </w:tblCellMar>
        </w:tblPrEx>
        <w:trPr>
          <w:trHeight w:val="297" w:hRule="atLeast"/>
          <w:jc w:val="center"/>
        </w:trPr>
        <w:tc>
          <w:tcPr>
            <w:tcW w:w="0" w:type="auto"/>
            <w:tcBorders>
              <w:top w:val="nil"/>
              <w:left w:val="nil"/>
              <w:bottom w:val="nil"/>
              <w:right w:val="nil"/>
            </w:tcBorders>
            <w:shd w:val="clear" w:color="auto" w:fill="auto"/>
            <w:noWrap/>
            <w:vAlign w:val="center"/>
          </w:tcPr>
          <w:p w14:paraId="4A7CF4C1">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Peak milk yield/kg</w:t>
            </w:r>
          </w:p>
        </w:tc>
        <w:tc>
          <w:tcPr>
            <w:tcW w:w="0" w:type="auto"/>
            <w:tcBorders>
              <w:top w:val="nil"/>
              <w:left w:val="nil"/>
              <w:bottom w:val="nil"/>
              <w:right w:val="nil"/>
            </w:tcBorders>
            <w:shd w:val="clear" w:color="auto" w:fill="auto"/>
            <w:noWrap/>
            <w:vAlign w:val="center"/>
          </w:tcPr>
          <w:p w14:paraId="36C6614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49.77 </w:t>
            </w:r>
          </w:p>
        </w:tc>
        <w:tc>
          <w:tcPr>
            <w:tcW w:w="0" w:type="auto"/>
            <w:tcBorders>
              <w:top w:val="nil"/>
              <w:left w:val="nil"/>
              <w:bottom w:val="nil"/>
              <w:right w:val="nil"/>
            </w:tcBorders>
            <w:shd w:val="clear" w:color="auto" w:fill="auto"/>
            <w:noWrap/>
            <w:vAlign w:val="center"/>
          </w:tcPr>
          <w:p w14:paraId="738E1650">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45.78 </w:t>
            </w:r>
          </w:p>
        </w:tc>
        <w:tc>
          <w:tcPr>
            <w:tcW w:w="0" w:type="auto"/>
            <w:tcBorders>
              <w:top w:val="nil"/>
              <w:left w:val="nil"/>
              <w:bottom w:val="nil"/>
              <w:right w:val="nil"/>
            </w:tcBorders>
            <w:shd w:val="clear" w:color="auto" w:fill="auto"/>
            <w:noWrap/>
            <w:vAlign w:val="center"/>
          </w:tcPr>
          <w:p w14:paraId="2CFAE62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1.42 </w:t>
            </w:r>
          </w:p>
        </w:tc>
        <w:tc>
          <w:tcPr>
            <w:tcW w:w="0" w:type="auto"/>
            <w:tcBorders>
              <w:top w:val="nil"/>
              <w:left w:val="nil"/>
              <w:bottom w:val="nil"/>
              <w:right w:val="nil"/>
            </w:tcBorders>
            <w:shd w:val="clear" w:color="auto" w:fill="auto"/>
            <w:noWrap/>
            <w:vAlign w:val="center"/>
          </w:tcPr>
          <w:p w14:paraId="305B95EC">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0.164 </w:t>
            </w:r>
          </w:p>
        </w:tc>
      </w:tr>
      <w:tr w14:paraId="75891E03">
        <w:tblPrEx>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60A354A3">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Peak days</w:t>
            </w:r>
          </w:p>
        </w:tc>
        <w:tc>
          <w:tcPr>
            <w:tcW w:w="0" w:type="auto"/>
            <w:tcBorders>
              <w:top w:val="nil"/>
              <w:left w:val="nil"/>
              <w:bottom w:val="nil"/>
              <w:right w:val="nil"/>
            </w:tcBorders>
            <w:shd w:val="clear" w:color="auto" w:fill="auto"/>
            <w:noWrap/>
            <w:vAlign w:val="center"/>
          </w:tcPr>
          <w:p w14:paraId="74F2DF5B">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58.71 </w:t>
            </w:r>
          </w:p>
        </w:tc>
        <w:tc>
          <w:tcPr>
            <w:tcW w:w="0" w:type="auto"/>
            <w:tcBorders>
              <w:top w:val="nil"/>
              <w:left w:val="nil"/>
              <w:bottom w:val="nil"/>
              <w:right w:val="nil"/>
            </w:tcBorders>
            <w:shd w:val="clear" w:color="auto" w:fill="auto"/>
            <w:noWrap/>
            <w:vAlign w:val="center"/>
          </w:tcPr>
          <w:p w14:paraId="246FA6B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61.64 </w:t>
            </w:r>
          </w:p>
        </w:tc>
        <w:tc>
          <w:tcPr>
            <w:tcW w:w="0" w:type="auto"/>
            <w:tcBorders>
              <w:top w:val="nil"/>
              <w:left w:val="nil"/>
              <w:bottom w:val="nil"/>
              <w:right w:val="nil"/>
            </w:tcBorders>
            <w:shd w:val="clear" w:color="auto" w:fill="auto"/>
            <w:noWrap/>
            <w:vAlign w:val="center"/>
          </w:tcPr>
          <w:p w14:paraId="6A5B694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5.86 </w:t>
            </w:r>
          </w:p>
        </w:tc>
        <w:tc>
          <w:tcPr>
            <w:tcW w:w="0" w:type="auto"/>
            <w:tcBorders>
              <w:top w:val="nil"/>
              <w:left w:val="nil"/>
              <w:bottom w:val="nil"/>
              <w:right w:val="nil"/>
            </w:tcBorders>
            <w:shd w:val="clear" w:color="auto" w:fill="auto"/>
            <w:noWrap/>
            <w:vAlign w:val="center"/>
          </w:tcPr>
          <w:p w14:paraId="4FE3E9B1">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0.808 </w:t>
            </w:r>
          </w:p>
        </w:tc>
      </w:tr>
      <w:tr w14:paraId="0240AAC8">
        <w:tblPrEx>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14:paraId="28515CD1">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Average daily milk yield/kg</w:t>
            </w:r>
          </w:p>
        </w:tc>
        <w:tc>
          <w:tcPr>
            <w:tcW w:w="0" w:type="auto"/>
            <w:tcBorders>
              <w:top w:val="nil"/>
              <w:left w:val="nil"/>
              <w:bottom w:val="nil"/>
              <w:right w:val="nil"/>
            </w:tcBorders>
            <w:shd w:val="clear" w:color="auto" w:fill="auto"/>
            <w:noWrap/>
            <w:vAlign w:val="center"/>
          </w:tcPr>
          <w:p w14:paraId="54627DF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36.93 </w:t>
            </w:r>
          </w:p>
        </w:tc>
        <w:tc>
          <w:tcPr>
            <w:tcW w:w="0" w:type="auto"/>
            <w:tcBorders>
              <w:top w:val="nil"/>
              <w:left w:val="nil"/>
              <w:bottom w:val="nil"/>
              <w:right w:val="nil"/>
            </w:tcBorders>
            <w:shd w:val="clear" w:color="auto" w:fill="auto"/>
            <w:noWrap/>
            <w:vAlign w:val="center"/>
          </w:tcPr>
          <w:p w14:paraId="6188385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32.48 </w:t>
            </w:r>
          </w:p>
        </w:tc>
        <w:tc>
          <w:tcPr>
            <w:tcW w:w="0" w:type="auto"/>
            <w:tcBorders>
              <w:top w:val="nil"/>
              <w:left w:val="nil"/>
              <w:bottom w:val="nil"/>
              <w:right w:val="nil"/>
            </w:tcBorders>
            <w:shd w:val="clear" w:color="auto" w:fill="auto"/>
            <w:noWrap/>
            <w:vAlign w:val="center"/>
          </w:tcPr>
          <w:p w14:paraId="41E71F60">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0.55 </w:t>
            </w:r>
          </w:p>
        </w:tc>
        <w:tc>
          <w:tcPr>
            <w:tcW w:w="0" w:type="auto"/>
            <w:tcBorders>
              <w:top w:val="nil"/>
              <w:left w:val="nil"/>
              <w:bottom w:val="nil"/>
              <w:right w:val="nil"/>
            </w:tcBorders>
            <w:shd w:val="clear" w:color="auto" w:fill="auto"/>
            <w:noWrap/>
            <w:vAlign w:val="center"/>
          </w:tcPr>
          <w:p w14:paraId="5AAB8CAD">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0.000 </w:t>
            </w:r>
          </w:p>
        </w:tc>
      </w:tr>
      <w:tr w14:paraId="4C666D9D">
        <w:tblPrEx>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05E47DA5">
            <w:pPr>
              <w:widowControl/>
              <w:jc w:val="lef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kern w:val="0"/>
                <w:sz w:val="22"/>
                <w:szCs w:val="22"/>
                <w:lang w:bidi="ar"/>
              </w:rPr>
              <w:t>Individual characteristics</w:t>
            </w:r>
          </w:p>
        </w:tc>
        <w:tc>
          <w:tcPr>
            <w:tcW w:w="0" w:type="auto"/>
            <w:tcBorders>
              <w:top w:val="nil"/>
              <w:left w:val="nil"/>
              <w:bottom w:val="nil"/>
              <w:right w:val="nil"/>
            </w:tcBorders>
            <w:shd w:val="clear" w:color="auto" w:fill="auto"/>
            <w:noWrap/>
            <w:vAlign w:val="center"/>
          </w:tcPr>
          <w:p w14:paraId="29B4E542">
            <w:pPr>
              <w:rPr>
                <w:rFonts w:ascii="Times New Roman" w:hAnsi="Times New Roman" w:eastAsia="宋体" w:cs="Times New Roman"/>
                <w:color w:val="000000"/>
                <w:sz w:val="22"/>
                <w:szCs w:val="22"/>
              </w:rPr>
            </w:pPr>
          </w:p>
        </w:tc>
        <w:tc>
          <w:tcPr>
            <w:tcW w:w="0" w:type="auto"/>
            <w:tcBorders>
              <w:top w:val="nil"/>
              <w:left w:val="nil"/>
              <w:bottom w:val="nil"/>
              <w:right w:val="nil"/>
            </w:tcBorders>
            <w:shd w:val="clear" w:color="auto" w:fill="auto"/>
            <w:noWrap/>
            <w:vAlign w:val="center"/>
          </w:tcPr>
          <w:p w14:paraId="1BCBD5EF">
            <w:pPr>
              <w:rPr>
                <w:rFonts w:ascii="Times New Roman" w:hAnsi="Times New Roman" w:eastAsia="宋体" w:cs="Times New Roman"/>
                <w:color w:val="000000"/>
                <w:sz w:val="22"/>
                <w:szCs w:val="22"/>
              </w:rPr>
            </w:pPr>
          </w:p>
        </w:tc>
        <w:tc>
          <w:tcPr>
            <w:tcW w:w="0" w:type="auto"/>
            <w:tcBorders>
              <w:top w:val="nil"/>
              <w:left w:val="nil"/>
              <w:bottom w:val="nil"/>
              <w:right w:val="nil"/>
            </w:tcBorders>
            <w:shd w:val="clear" w:color="auto" w:fill="auto"/>
            <w:noWrap/>
            <w:vAlign w:val="center"/>
          </w:tcPr>
          <w:p w14:paraId="75DAE88E">
            <w:pPr>
              <w:rPr>
                <w:rFonts w:ascii="Times New Roman" w:hAnsi="Times New Roman" w:eastAsia="宋体" w:cs="Times New Roman"/>
                <w:color w:val="000000"/>
                <w:sz w:val="22"/>
                <w:szCs w:val="22"/>
              </w:rPr>
            </w:pPr>
          </w:p>
        </w:tc>
        <w:tc>
          <w:tcPr>
            <w:tcW w:w="0" w:type="auto"/>
            <w:tcBorders>
              <w:top w:val="nil"/>
              <w:left w:val="nil"/>
              <w:bottom w:val="nil"/>
              <w:right w:val="nil"/>
            </w:tcBorders>
            <w:shd w:val="clear" w:color="auto" w:fill="auto"/>
            <w:noWrap/>
            <w:vAlign w:val="center"/>
          </w:tcPr>
          <w:p w14:paraId="6A189704">
            <w:pPr>
              <w:rPr>
                <w:rFonts w:ascii="Times New Roman" w:hAnsi="Times New Roman" w:eastAsia="宋体" w:cs="Times New Roman"/>
                <w:color w:val="000000"/>
                <w:sz w:val="22"/>
                <w:szCs w:val="22"/>
              </w:rPr>
            </w:pPr>
          </w:p>
        </w:tc>
      </w:tr>
      <w:tr w14:paraId="2A465E22">
        <w:tblPrEx>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1087EEDD">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Parity</w:t>
            </w:r>
          </w:p>
        </w:tc>
        <w:tc>
          <w:tcPr>
            <w:tcW w:w="0" w:type="auto"/>
            <w:tcBorders>
              <w:top w:val="nil"/>
              <w:left w:val="nil"/>
              <w:bottom w:val="nil"/>
              <w:right w:val="nil"/>
            </w:tcBorders>
            <w:shd w:val="clear" w:color="auto" w:fill="auto"/>
            <w:noWrap/>
            <w:vAlign w:val="center"/>
          </w:tcPr>
          <w:p w14:paraId="49E34B0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2.21 </w:t>
            </w:r>
          </w:p>
        </w:tc>
        <w:tc>
          <w:tcPr>
            <w:tcW w:w="0" w:type="auto"/>
            <w:tcBorders>
              <w:top w:val="nil"/>
              <w:left w:val="nil"/>
              <w:bottom w:val="nil"/>
              <w:right w:val="nil"/>
            </w:tcBorders>
            <w:shd w:val="clear" w:color="auto" w:fill="auto"/>
            <w:noWrap/>
            <w:vAlign w:val="center"/>
          </w:tcPr>
          <w:p w14:paraId="2FC34FD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2.00 </w:t>
            </w:r>
          </w:p>
        </w:tc>
        <w:tc>
          <w:tcPr>
            <w:tcW w:w="0" w:type="auto"/>
            <w:tcBorders>
              <w:top w:val="nil"/>
              <w:left w:val="nil"/>
              <w:bottom w:val="nil"/>
              <w:right w:val="nil"/>
            </w:tcBorders>
            <w:shd w:val="clear" w:color="auto" w:fill="auto"/>
            <w:noWrap/>
            <w:vAlign w:val="center"/>
          </w:tcPr>
          <w:p w14:paraId="72DA0F2A">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0.17 </w:t>
            </w:r>
          </w:p>
        </w:tc>
        <w:tc>
          <w:tcPr>
            <w:tcW w:w="0" w:type="auto"/>
            <w:tcBorders>
              <w:top w:val="nil"/>
              <w:left w:val="nil"/>
              <w:bottom w:val="nil"/>
              <w:right w:val="nil"/>
            </w:tcBorders>
            <w:shd w:val="clear" w:color="auto" w:fill="auto"/>
            <w:noWrap/>
            <w:vAlign w:val="center"/>
          </w:tcPr>
          <w:p w14:paraId="3284C35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0.546 </w:t>
            </w:r>
          </w:p>
        </w:tc>
      </w:tr>
      <w:tr w14:paraId="25951F17">
        <w:tblPrEx>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6896186A">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Gestation period</w:t>
            </w:r>
          </w:p>
        </w:tc>
        <w:tc>
          <w:tcPr>
            <w:tcW w:w="0" w:type="auto"/>
            <w:tcBorders>
              <w:top w:val="nil"/>
              <w:left w:val="nil"/>
              <w:bottom w:val="nil"/>
              <w:right w:val="nil"/>
            </w:tcBorders>
            <w:shd w:val="clear" w:color="auto" w:fill="auto"/>
            <w:noWrap/>
            <w:vAlign w:val="center"/>
          </w:tcPr>
          <w:p w14:paraId="6133811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275.93 </w:t>
            </w:r>
          </w:p>
        </w:tc>
        <w:tc>
          <w:tcPr>
            <w:tcW w:w="0" w:type="auto"/>
            <w:tcBorders>
              <w:top w:val="nil"/>
              <w:left w:val="nil"/>
              <w:bottom w:val="nil"/>
              <w:right w:val="nil"/>
            </w:tcBorders>
            <w:shd w:val="clear" w:color="auto" w:fill="auto"/>
            <w:noWrap/>
            <w:vAlign w:val="center"/>
          </w:tcPr>
          <w:p w14:paraId="0FEBF60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273.79 </w:t>
            </w:r>
          </w:p>
        </w:tc>
        <w:tc>
          <w:tcPr>
            <w:tcW w:w="0" w:type="auto"/>
            <w:tcBorders>
              <w:top w:val="nil"/>
              <w:left w:val="nil"/>
              <w:bottom w:val="nil"/>
              <w:right w:val="nil"/>
            </w:tcBorders>
            <w:shd w:val="clear" w:color="auto" w:fill="auto"/>
            <w:noWrap/>
            <w:vAlign w:val="center"/>
          </w:tcPr>
          <w:p w14:paraId="6A49ED2A">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0.71 </w:t>
            </w:r>
          </w:p>
        </w:tc>
        <w:tc>
          <w:tcPr>
            <w:tcW w:w="0" w:type="auto"/>
            <w:tcBorders>
              <w:top w:val="nil"/>
              <w:left w:val="nil"/>
              <w:bottom w:val="nil"/>
              <w:right w:val="nil"/>
            </w:tcBorders>
            <w:shd w:val="clear" w:color="auto" w:fill="auto"/>
            <w:noWrap/>
            <w:vAlign w:val="center"/>
          </w:tcPr>
          <w:p w14:paraId="311C4BCF">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0.136 </w:t>
            </w:r>
          </w:p>
        </w:tc>
      </w:tr>
      <w:tr w14:paraId="4E227941">
        <w:tblPrEx>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64D6757E">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Weight</w:t>
            </w:r>
          </w:p>
        </w:tc>
        <w:tc>
          <w:tcPr>
            <w:tcW w:w="0" w:type="auto"/>
            <w:tcBorders>
              <w:top w:val="nil"/>
              <w:left w:val="nil"/>
              <w:bottom w:val="nil"/>
              <w:right w:val="nil"/>
            </w:tcBorders>
            <w:shd w:val="clear" w:color="auto" w:fill="auto"/>
            <w:noWrap/>
            <w:vAlign w:val="center"/>
          </w:tcPr>
          <w:p w14:paraId="12664F33">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759.29 </w:t>
            </w:r>
          </w:p>
        </w:tc>
        <w:tc>
          <w:tcPr>
            <w:tcW w:w="0" w:type="auto"/>
            <w:tcBorders>
              <w:top w:val="nil"/>
              <w:left w:val="nil"/>
              <w:bottom w:val="nil"/>
              <w:right w:val="nil"/>
            </w:tcBorders>
            <w:shd w:val="clear" w:color="auto" w:fill="auto"/>
            <w:noWrap/>
            <w:vAlign w:val="center"/>
          </w:tcPr>
          <w:p w14:paraId="79F904A2">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721.46 </w:t>
            </w:r>
          </w:p>
        </w:tc>
        <w:tc>
          <w:tcPr>
            <w:tcW w:w="0" w:type="auto"/>
            <w:tcBorders>
              <w:top w:val="nil"/>
              <w:left w:val="nil"/>
              <w:bottom w:val="nil"/>
              <w:right w:val="nil"/>
            </w:tcBorders>
            <w:shd w:val="clear" w:color="auto" w:fill="auto"/>
            <w:noWrap/>
            <w:vAlign w:val="center"/>
          </w:tcPr>
          <w:p w14:paraId="6133A207">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17.79 </w:t>
            </w:r>
          </w:p>
        </w:tc>
        <w:tc>
          <w:tcPr>
            <w:tcW w:w="0" w:type="auto"/>
            <w:tcBorders>
              <w:top w:val="nil"/>
              <w:left w:val="nil"/>
              <w:bottom w:val="nil"/>
              <w:right w:val="nil"/>
            </w:tcBorders>
            <w:shd w:val="clear" w:color="auto" w:fill="auto"/>
            <w:noWrap/>
            <w:vAlign w:val="center"/>
          </w:tcPr>
          <w:p w14:paraId="14DBC508">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0.296 </w:t>
            </w:r>
          </w:p>
        </w:tc>
      </w:tr>
      <w:tr w14:paraId="712114AD">
        <w:tblPrEx>
          <w:tblCellMar>
            <w:top w:w="0" w:type="dxa"/>
            <w:left w:w="108" w:type="dxa"/>
            <w:bottom w:w="0" w:type="dxa"/>
            <w:right w:w="108" w:type="dxa"/>
          </w:tblCellMar>
        </w:tblPrEx>
        <w:trPr>
          <w:trHeight w:val="300" w:hRule="atLeast"/>
          <w:jc w:val="center"/>
        </w:trPr>
        <w:tc>
          <w:tcPr>
            <w:tcW w:w="0" w:type="auto"/>
            <w:tcBorders>
              <w:top w:val="nil"/>
              <w:left w:val="nil"/>
              <w:bottom w:val="single" w:color="auto" w:sz="4" w:space="0"/>
              <w:right w:val="nil"/>
            </w:tcBorders>
            <w:shd w:val="clear" w:color="auto" w:fill="auto"/>
            <w:noWrap/>
            <w:vAlign w:val="center"/>
          </w:tcPr>
          <w:p w14:paraId="1B92990B">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Body condition score</w:t>
            </w:r>
          </w:p>
        </w:tc>
        <w:tc>
          <w:tcPr>
            <w:tcW w:w="0" w:type="auto"/>
            <w:tcBorders>
              <w:top w:val="nil"/>
              <w:left w:val="nil"/>
              <w:bottom w:val="single" w:color="auto" w:sz="4" w:space="0"/>
              <w:right w:val="nil"/>
            </w:tcBorders>
            <w:shd w:val="clear" w:color="auto" w:fill="auto"/>
            <w:noWrap/>
            <w:vAlign w:val="center"/>
          </w:tcPr>
          <w:p w14:paraId="6205FA1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3.36 </w:t>
            </w:r>
          </w:p>
        </w:tc>
        <w:tc>
          <w:tcPr>
            <w:tcW w:w="0" w:type="auto"/>
            <w:tcBorders>
              <w:top w:val="nil"/>
              <w:left w:val="nil"/>
              <w:bottom w:val="single" w:color="auto" w:sz="4" w:space="0"/>
              <w:right w:val="nil"/>
            </w:tcBorders>
            <w:shd w:val="clear" w:color="auto" w:fill="auto"/>
            <w:noWrap/>
            <w:vAlign w:val="center"/>
          </w:tcPr>
          <w:p w14:paraId="1A57F596">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3.32 </w:t>
            </w:r>
          </w:p>
        </w:tc>
        <w:tc>
          <w:tcPr>
            <w:tcW w:w="0" w:type="auto"/>
            <w:tcBorders>
              <w:top w:val="nil"/>
              <w:left w:val="nil"/>
              <w:bottom w:val="single" w:color="auto" w:sz="4" w:space="0"/>
              <w:right w:val="nil"/>
            </w:tcBorders>
            <w:shd w:val="clear" w:color="auto" w:fill="auto"/>
            <w:noWrap/>
            <w:vAlign w:val="center"/>
          </w:tcPr>
          <w:p w14:paraId="3B753BEE">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0.08 </w:t>
            </w:r>
          </w:p>
        </w:tc>
        <w:tc>
          <w:tcPr>
            <w:tcW w:w="0" w:type="auto"/>
            <w:tcBorders>
              <w:top w:val="nil"/>
              <w:left w:val="nil"/>
              <w:bottom w:val="single" w:color="auto" w:sz="4" w:space="0"/>
              <w:right w:val="nil"/>
            </w:tcBorders>
            <w:shd w:val="clear" w:color="auto" w:fill="auto"/>
            <w:noWrap/>
            <w:vAlign w:val="center"/>
          </w:tcPr>
          <w:p w14:paraId="1B88FB65">
            <w:pPr>
              <w:widowControl/>
              <w:jc w:val="right"/>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 xml:space="preserve">0.825 </w:t>
            </w:r>
          </w:p>
        </w:tc>
      </w:tr>
    </w:tbl>
    <w:p w14:paraId="1D231986">
      <w:pPr>
        <w:widowControl/>
        <w:spacing w:line="480" w:lineRule="auto"/>
        <w:jc w:val="center"/>
        <w:rPr>
          <w:rFonts w:ascii="Times New Roman" w:hAnsi="Times New Roman" w:eastAsia="宋体" w:cs="Times New Roman"/>
          <w:sz w:val="24"/>
          <w:lang w:bidi="ar"/>
        </w:rPr>
      </w:pPr>
    </w:p>
    <w:p w14:paraId="6696FA13">
      <w:pPr>
        <w:widowControl/>
        <w:spacing w:line="480" w:lineRule="auto"/>
        <w:jc w:val="center"/>
        <w:rPr>
          <w:rFonts w:ascii="Times New Roman" w:hAnsi="Times New Roman" w:eastAsia="宋体" w:cs="Times New Roman"/>
          <w:sz w:val="24"/>
          <w:lang w:bidi="ar"/>
        </w:rPr>
      </w:pPr>
    </w:p>
    <w:p w14:paraId="4904A748">
      <w:pPr>
        <w:widowControl/>
        <w:spacing w:line="480" w:lineRule="auto"/>
        <w:jc w:val="center"/>
        <w:rPr>
          <w:rFonts w:ascii="Times New Roman" w:hAnsi="Times New Roman"/>
          <w:sz w:val="24"/>
        </w:rPr>
      </w:pPr>
    </w:p>
    <w:p w14:paraId="52926313">
      <w:pPr>
        <w:widowControl/>
        <w:spacing w:line="480" w:lineRule="auto"/>
        <w:jc w:val="center"/>
        <w:rPr>
          <w:rFonts w:ascii="Times New Roman" w:hAnsi="Times New Roman"/>
          <w:sz w:val="24"/>
        </w:rPr>
      </w:pPr>
    </w:p>
    <w:p w14:paraId="54EFBBA6">
      <w:pPr>
        <w:rPr>
          <w:rFonts w:ascii="Times New Roman" w:hAnsi="Times New Roman"/>
          <w:sz w:val="24"/>
        </w:rPr>
      </w:pPr>
    </w:p>
    <w:p w14:paraId="0BFEB0CA">
      <w:pPr>
        <w:rPr>
          <w:rFonts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hNDA5MmZiMzlhNzdiZTRkNDQ2NzRlNjI5MDc1NTcifQ=="/>
  </w:docVars>
  <w:rsids>
    <w:rsidRoot w:val="00283A42"/>
    <w:rsid w:val="000C28EA"/>
    <w:rsid w:val="000C537D"/>
    <w:rsid w:val="000E2787"/>
    <w:rsid w:val="001D6D07"/>
    <w:rsid w:val="00283A42"/>
    <w:rsid w:val="002B2A86"/>
    <w:rsid w:val="00326658"/>
    <w:rsid w:val="00363A4B"/>
    <w:rsid w:val="005715DA"/>
    <w:rsid w:val="006421E3"/>
    <w:rsid w:val="006672D8"/>
    <w:rsid w:val="00716CBF"/>
    <w:rsid w:val="0072235D"/>
    <w:rsid w:val="00810CB0"/>
    <w:rsid w:val="0088303F"/>
    <w:rsid w:val="009652C2"/>
    <w:rsid w:val="0098242B"/>
    <w:rsid w:val="00A67730"/>
    <w:rsid w:val="00B81834"/>
    <w:rsid w:val="00BD254A"/>
    <w:rsid w:val="00C96E67"/>
    <w:rsid w:val="00D000A1"/>
    <w:rsid w:val="00D371A9"/>
    <w:rsid w:val="00D936A9"/>
    <w:rsid w:val="00E36B16"/>
    <w:rsid w:val="00E742B1"/>
    <w:rsid w:val="10EC5C5A"/>
    <w:rsid w:val="13A1494F"/>
    <w:rsid w:val="19361B9F"/>
    <w:rsid w:val="1A3366A8"/>
    <w:rsid w:val="24E255F5"/>
    <w:rsid w:val="25A241B9"/>
    <w:rsid w:val="28EA427E"/>
    <w:rsid w:val="2AE85C4E"/>
    <w:rsid w:val="2DF857E7"/>
    <w:rsid w:val="2EDF0852"/>
    <w:rsid w:val="33B977C6"/>
    <w:rsid w:val="3DFD118A"/>
    <w:rsid w:val="42A54003"/>
    <w:rsid w:val="443F0EC2"/>
    <w:rsid w:val="44E04F7A"/>
    <w:rsid w:val="45DB181E"/>
    <w:rsid w:val="48E66140"/>
    <w:rsid w:val="4AD25976"/>
    <w:rsid w:val="4C152E18"/>
    <w:rsid w:val="4CE022BA"/>
    <w:rsid w:val="565607A7"/>
    <w:rsid w:val="58101925"/>
    <w:rsid w:val="68921772"/>
    <w:rsid w:val="6BC61EDB"/>
    <w:rsid w:val="6C55178D"/>
    <w:rsid w:val="71C22409"/>
    <w:rsid w:val="7CC53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741</Words>
  <Characters>3810</Characters>
  <Lines>33</Lines>
  <Paragraphs>9</Paragraphs>
  <TotalTime>3</TotalTime>
  <ScaleCrop>false</ScaleCrop>
  <LinksUpToDate>false</LinksUpToDate>
  <CharactersWithSpaces>4490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2023-12-19T06:39:00Z</dcterms:created>
  <dc:creator>z1164</dc:creator>
  <cp:lastModifiedBy>源稚生</cp:lastModifiedBy>
  <dcterms:modified xsi:type="dcterms:W3CDTF">2024-08-08T07:05:37Z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FB57BA448CC74AECA574244DE477ECC2_12</vt:lpwstr>
  </property>
</Properties>
</file>