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0EC5F" w14:textId="7772CC4D" w:rsidR="007D2598" w:rsidRPr="00402EB1" w:rsidRDefault="00402EB1" w:rsidP="00402E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M1: </w:t>
      </w:r>
      <w:bookmarkStart w:id="0" w:name="OLE_LINK35"/>
      <w:r w:rsidR="007D2598" w:rsidRPr="00402EB1">
        <w:rPr>
          <w:rFonts w:ascii="Times New Roman" w:hAnsi="Times New Roman" w:cs="Times New Roman"/>
          <w:b/>
          <w:bCs/>
          <w:sz w:val="24"/>
          <w:szCs w:val="24"/>
        </w:rPr>
        <w:t>liver tissue sections preparation, fixation and serum sealing in immunofluorescence</w:t>
      </w:r>
    </w:p>
    <w:bookmarkEnd w:id="0"/>
    <w:p w14:paraId="58875315" w14:textId="15B87273" w:rsidR="00AC493C" w:rsidRDefault="008C2C64" w:rsidP="006E62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2C64">
        <w:rPr>
          <w:rFonts w:ascii="Times New Roman" w:hAnsi="Times New Roman" w:cs="Times New Roman"/>
          <w:color w:val="0070C0"/>
          <w:sz w:val="24"/>
          <w:szCs w:val="24"/>
        </w:rPr>
        <w:t xml:space="preserve">The liver samples from the three groups were all conducted </w:t>
      </w:r>
      <w:r w:rsidRPr="008C2C64">
        <w:rPr>
          <w:rFonts w:ascii="Times New Roman" w:hAnsi="Times New Roman" w:cs="Times New Roman"/>
          <w:color w:val="0070C0"/>
          <w:sz w:val="24"/>
          <w:szCs w:val="24"/>
        </w:rPr>
        <w:t>immunofluorescence</w:t>
      </w:r>
      <w:r w:rsidRPr="008C2C64">
        <w:rPr>
          <w:rFonts w:ascii="Times New Roman" w:hAnsi="Times New Roman" w:cs="Times New Roman"/>
          <w:color w:val="0070C0"/>
          <w:sz w:val="24"/>
          <w:szCs w:val="24"/>
        </w:rPr>
        <w:t xml:space="preserve"> analysis (n = 5).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62C7" w:rsidRPr="006E62C7">
        <w:rPr>
          <w:rFonts w:ascii="Times New Roman" w:hAnsi="Times New Roman" w:cs="Times New Roman"/>
          <w:sz w:val="24"/>
          <w:szCs w:val="24"/>
        </w:rPr>
        <w:t xml:space="preserve">The liver paraffin sections were dewaxed and immersed in citrate buffer (pH = 6.0).  After being incubated in a microwave for 20 min, the slices were placed in 3% hydrogen peroxide and incubated for 25 min at room temperature in the dark.  Subsequently, the slides were placed in PBS (pH = 7.4), washed on a decolorizing shake-table (HY-5) (Cheng </w:t>
      </w:r>
      <w:proofErr w:type="spellStart"/>
      <w:r w:rsidR="006E62C7" w:rsidRPr="006E62C7">
        <w:rPr>
          <w:rFonts w:ascii="Times New Roman" w:hAnsi="Times New Roman" w:cs="Times New Roman"/>
          <w:sz w:val="24"/>
          <w:szCs w:val="24"/>
        </w:rPr>
        <w:t>Jie</w:t>
      </w:r>
      <w:proofErr w:type="spellEnd"/>
      <w:r w:rsidR="006E62C7" w:rsidRPr="006E62C7">
        <w:rPr>
          <w:rFonts w:ascii="Times New Roman" w:hAnsi="Times New Roman" w:cs="Times New Roman"/>
          <w:sz w:val="24"/>
          <w:szCs w:val="24"/>
        </w:rPr>
        <w:t xml:space="preserve"> Instrument Equipment Co., Ltd., Shanghai, China), and sealed with 3% bovine serum albumin (</w:t>
      </w:r>
      <w:proofErr w:type="spellStart"/>
      <w:r w:rsidR="006E62C7" w:rsidRPr="006E62C7">
        <w:rPr>
          <w:rFonts w:ascii="Times New Roman" w:hAnsi="Times New Roman" w:cs="Times New Roman"/>
          <w:sz w:val="24"/>
          <w:szCs w:val="24"/>
        </w:rPr>
        <w:t>Sercicebio</w:t>
      </w:r>
      <w:proofErr w:type="spellEnd"/>
      <w:r w:rsidR="006E62C7" w:rsidRPr="006E62C7">
        <w:rPr>
          <w:rFonts w:ascii="Times New Roman" w:hAnsi="Times New Roman" w:cs="Times New Roman"/>
          <w:sz w:val="24"/>
          <w:szCs w:val="24"/>
        </w:rPr>
        <w:t>, Hubei, China) at ambient temperature for more than 30 min. After incubation with primary and secondary antibodies, FITC-</w:t>
      </w:r>
      <w:proofErr w:type="spellStart"/>
      <w:r w:rsidR="006E62C7" w:rsidRPr="006E62C7">
        <w:rPr>
          <w:rFonts w:ascii="Times New Roman" w:hAnsi="Times New Roman" w:cs="Times New Roman"/>
          <w:sz w:val="24"/>
          <w:szCs w:val="24"/>
        </w:rPr>
        <w:t>tyramide</w:t>
      </w:r>
      <w:proofErr w:type="spellEnd"/>
      <w:r w:rsidR="006E62C7" w:rsidRPr="006E62C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E62C7" w:rsidRPr="006E62C7">
        <w:rPr>
          <w:rFonts w:ascii="Times New Roman" w:hAnsi="Times New Roman" w:cs="Times New Roman"/>
          <w:sz w:val="24"/>
          <w:szCs w:val="24"/>
        </w:rPr>
        <w:t>Servicebio</w:t>
      </w:r>
      <w:proofErr w:type="spellEnd"/>
      <w:r w:rsidR="006E62C7" w:rsidRPr="006E6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62C7" w:rsidRPr="006E62C7">
        <w:rPr>
          <w:rFonts w:ascii="Times New Roman" w:hAnsi="Times New Roman" w:cs="Times New Roman"/>
          <w:sz w:val="24"/>
          <w:szCs w:val="24"/>
        </w:rPr>
        <w:t>Huhan</w:t>
      </w:r>
      <w:proofErr w:type="spellEnd"/>
      <w:r w:rsidR="006E62C7" w:rsidRPr="006E62C7">
        <w:rPr>
          <w:rFonts w:ascii="Times New Roman" w:hAnsi="Times New Roman" w:cs="Times New Roman"/>
          <w:sz w:val="24"/>
          <w:szCs w:val="24"/>
        </w:rPr>
        <w:t>, China) was added, and the slides were washed with PBS 3 times.  The liver slices were immersed in citrate buffer (pH = 6.0) and microwaved under high heat for 10 min</w:t>
      </w:r>
      <w:r w:rsidR="006E62C7">
        <w:rPr>
          <w:rFonts w:ascii="Times New Roman" w:hAnsi="Times New Roman" w:cs="Times New Roman"/>
          <w:sz w:val="24"/>
          <w:szCs w:val="24"/>
        </w:rPr>
        <w:t xml:space="preserve">, and then </w:t>
      </w:r>
      <w:r w:rsidR="006E62C7" w:rsidRPr="006E62C7">
        <w:rPr>
          <w:rFonts w:ascii="Times New Roman" w:hAnsi="Times New Roman" w:cs="Times New Roman"/>
          <w:sz w:val="24"/>
          <w:szCs w:val="24"/>
        </w:rPr>
        <w:t>coo</w:t>
      </w:r>
      <w:r w:rsidR="006E62C7">
        <w:rPr>
          <w:rFonts w:ascii="Times New Roman" w:hAnsi="Times New Roman" w:cs="Times New Roman"/>
          <w:sz w:val="24"/>
          <w:szCs w:val="24"/>
        </w:rPr>
        <w:t xml:space="preserve">led </w:t>
      </w:r>
      <w:r w:rsidR="006E62C7" w:rsidRPr="006E62C7">
        <w:rPr>
          <w:rFonts w:ascii="Times New Roman" w:hAnsi="Times New Roman" w:cs="Times New Roman"/>
          <w:sz w:val="24"/>
          <w:szCs w:val="24"/>
        </w:rPr>
        <w:t>with PBS</w:t>
      </w:r>
      <w:r w:rsidR="006E62C7">
        <w:rPr>
          <w:rFonts w:ascii="Times New Roman" w:hAnsi="Times New Roman" w:cs="Times New Roman"/>
          <w:sz w:val="24"/>
          <w:szCs w:val="24"/>
        </w:rPr>
        <w:t>.</w:t>
      </w:r>
    </w:p>
    <w:p w14:paraId="55718424" w14:textId="0A5AB219" w:rsidR="00AC493C" w:rsidRPr="00402EB1" w:rsidRDefault="00402EB1" w:rsidP="00402E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63805086"/>
      <w:r>
        <w:rPr>
          <w:rFonts w:ascii="Times New Roman" w:hAnsi="Times New Roman" w:cs="Times New Roman"/>
          <w:b/>
          <w:bCs/>
          <w:sz w:val="24"/>
          <w:szCs w:val="24"/>
        </w:rPr>
        <w:t xml:space="preserve">M2: </w:t>
      </w:r>
      <w:r w:rsidR="00AC493C" w:rsidRPr="00402EB1">
        <w:rPr>
          <w:rFonts w:ascii="Times New Roman" w:hAnsi="Times New Roman" w:cs="Times New Roman"/>
          <w:b/>
          <w:bCs/>
          <w:sz w:val="24"/>
          <w:szCs w:val="24"/>
        </w:rPr>
        <w:t>Preparation of bile acid standard and sample pretreatment</w:t>
      </w:r>
      <w:bookmarkEnd w:id="1"/>
      <w:r w:rsidR="00AC493C" w:rsidRPr="00402EB1">
        <w:rPr>
          <w:rFonts w:ascii="Times New Roman" w:hAnsi="Times New Roman" w:cs="Times New Roman"/>
          <w:b/>
          <w:bCs/>
          <w:sz w:val="24"/>
          <w:szCs w:val="24"/>
        </w:rPr>
        <w:t xml:space="preserve"> in targeted bile acid metabolites</w:t>
      </w:r>
    </w:p>
    <w:p w14:paraId="2A394DE1" w14:textId="25C63033" w:rsidR="00AC493C" w:rsidRDefault="00AC493C" w:rsidP="006E62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493C">
        <w:rPr>
          <w:rFonts w:ascii="Times New Roman" w:hAnsi="Times New Roman" w:cs="Times New Roman"/>
          <w:sz w:val="24"/>
          <w:szCs w:val="24"/>
        </w:rPr>
        <w:t xml:space="preserve">The bile acid standard liquid was prepared as follows: the proper amount of 47 kinds of bile acids was accurately weighed, and used for the stock solution prepared using methanol. The stock solution was then diluted with 50% acetonitrile to prepare a standard solution. The 25 mg liver sample, 25 mg ileum content and 100 </w:t>
      </w:r>
      <w:proofErr w:type="spellStart"/>
      <w:r w:rsidRPr="00AC493C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AC493C">
        <w:rPr>
          <w:rFonts w:ascii="Times New Roman" w:hAnsi="Times New Roman" w:cs="Times New Roman"/>
          <w:sz w:val="24"/>
          <w:szCs w:val="24"/>
        </w:rPr>
        <w:t xml:space="preserve"> serum sample were accurately weighed. The liver and ileum samples were ground by a freezing grinder at -10°C and 50 Hz for 6 min. The samples were ultrasonically extracted at low temperature for 30 min (5°C, 40 </w:t>
      </w:r>
      <w:proofErr w:type="spellStart"/>
      <w:r w:rsidRPr="00AC493C">
        <w:rPr>
          <w:rFonts w:ascii="Times New Roman" w:hAnsi="Times New Roman" w:cs="Times New Roman"/>
          <w:sz w:val="24"/>
          <w:szCs w:val="24"/>
        </w:rPr>
        <w:t>KHz</w:t>
      </w:r>
      <w:proofErr w:type="spellEnd"/>
      <w:r w:rsidRPr="00AC493C">
        <w:rPr>
          <w:rFonts w:ascii="Times New Roman" w:hAnsi="Times New Roman" w:cs="Times New Roman"/>
          <w:sz w:val="24"/>
          <w:szCs w:val="24"/>
        </w:rPr>
        <w:t xml:space="preserve">) and subsequently centrifuged at </w:t>
      </w:r>
      <w:r w:rsidRPr="00AC493C">
        <w:rPr>
          <w:rFonts w:ascii="Times New Roman" w:hAnsi="Times New Roman" w:cs="Times New Roman"/>
          <w:sz w:val="24"/>
          <w:szCs w:val="24"/>
        </w:rPr>
        <w:lastRenderedPageBreak/>
        <w:t xml:space="preserve">4°C and 13,000 </w:t>
      </w:r>
      <w:proofErr w:type="spellStart"/>
      <w:r w:rsidRPr="00AC493C">
        <w:rPr>
          <w:rFonts w:ascii="Times New Roman" w:hAnsi="Times New Roman" w:cs="Times New Roman"/>
          <w:sz w:val="24"/>
          <w:szCs w:val="24"/>
        </w:rPr>
        <w:t>rcf</w:t>
      </w:r>
      <w:proofErr w:type="spellEnd"/>
      <w:r w:rsidRPr="00AC493C">
        <w:rPr>
          <w:rFonts w:ascii="Times New Roman" w:hAnsi="Times New Roman" w:cs="Times New Roman"/>
          <w:sz w:val="24"/>
          <w:szCs w:val="24"/>
        </w:rPr>
        <w:t xml:space="preserve"> for 15 min. The supernatant was blown dry with nitrogen, and 100 </w:t>
      </w:r>
      <w:proofErr w:type="spellStart"/>
      <w:r w:rsidRPr="00AC493C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AC493C">
        <w:rPr>
          <w:rFonts w:ascii="Times New Roman" w:hAnsi="Times New Roman" w:cs="Times New Roman"/>
          <w:sz w:val="24"/>
          <w:szCs w:val="24"/>
        </w:rPr>
        <w:t xml:space="preserve"> of 50% acetonitrile water was added for resolution, followed by low-temperature ultrasonic extraction for 30 min (5°C, 40 kHz). The supernatant was subjected to LC-MS/MS analysis after centrifugation at 4°C and 13,000 </w:t>
      </w:r>
      <w:proofErr w:type="spellStart"/>
      <w:r w:rsidRPr="00AC493C">
        <w:rPr>
          <w:rFonts w:ascii="Times New Roman" w:hAnsi="Times New Roman" w:cs="Times New Roman"/>
          <w:sz w:val="24"/>
          <w:szCs w:val="24"/>
        </w:rPr>
        <w:t>rcf</w:t>
      </w:r>
      <w:proofErr w:type="spellEnd"/>
      <w:r w:rsidRPr="00AC493C">
        <w:rPr>
          <w:rFonts w:ascii="Times New Roman" w:hAnsi="Times New Roman" w:cs="Times New Roman"/>
          <w:sz w:val="24"/>
          <w:szCs w:val="24"/>
        </w:rPr>
        <w:t xml:space="preserve"> for 15 min.  </w:t>
      </w:r>
    </w:p>
    <w:p w14:paraId="317C38C1" w14:textId="4AA3824A" w:rsidR="008B08E0" w:rsidRPr="00402EB1" w:rsidRDefault="008B08E0" w:rsidP="008B08E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63816479"/>
      <w:r>
        <w:rPr>
          <w:rFonts w:ascii="Times New Roman" w:hAnsi="Times New Roman" w:cs="Times New Roman"/>
          <w:b/>
          <w:bCs/>
          <w:sz w:val="24"/>
          <w:szCs w:val="24"/>
        </w:rPr>
        <w:t xml:space="preserve">M3: </w:t>
      </w:r>
      <w:r w:rsidRPr="00402EB1">
        <w:rPr>
          <w:rFonts w:ascii="Times New Roman" w:hAnsi="Times New Roman" w:cs="Times New Roman"/>
          <w:b/>
          <w:bCs/>
          <w:sz w:val="24"/>
          <w:szCs w:val="24"/>
        </w:rPr>
        <w:t>Real-time quantitative PCR</w:t>
      </w:r>
    </w:p>
    <w:bookmarkEnd w:id="2"/>
    <w:p w14:paraId="059A126B" w14:textId="596BA3CE" w:rsidR="008B08E0" w:rsidRDefault="008B08E0" w:rsidP="008B08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2766">
        <w:rPr>
          <w:rFonts w:ascii="Times New Roman" w:hAnsi="Times New Roman" w:cs="Times New Roman"/>
          <w:sz w:val="24"/>
          <w:szCs w:val="24"/>
        </w:rPr>
        <w:t xml:space="preserve">Real-time quantitative PCR was conducted using Power SYBR® Green PCR Master Mix (Roche, Basel, Switzerland) to verify the significantly differently expressed genes identified from RNA-seq. The primers were designed using Primer Premier 6.0 and Beacon designer 7.8 software and are shown in </w:t>
      </w:r>
      <w:r w:rsidRPr="00FD31F4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BE3DD2" w:rsidRPr="00FD31F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B01F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A2766">
        <w:rPr>
          <w:rFonts w:ascii="Times New Roman" w:hAnsi="Times New Roman" w:cs="Times New Roman"/>
          <w:sz w:val="24"/>
          <w:szCs w:val="24"/>
        </w:rPr>
        <w:t xml:space="preserve">. The 20-μl reaction mixture consisted of 1 </w:t>
      </w:r>
      <w:proofErr w:type="spellStart"/>
      <w:r w:rsidRPr="001A2766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1A2766">
        <w:rPr>
          <w:rFonts w:ascii="Times New Roman" w:hAnsi="Times New Roman" w:cs="Times New Roman"/>
          <w:sz w:val="24"/>
          <w:szCs w:val="24"/>
        </w:rPr>
        <w:t xml:space="preserve"> of cDNA, 0.5 </w:t>
      </w:r>
      <w:proofErr w:type="spellStart"/>
      <w:r w:rsidRPr="001A2766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1A2766">
        <w:rPr>
          <w:rFonts w:ascii="Times New Roman" w:hAnsi="Times New Roman" w:cs="Times New Roman"/>
          <w:sz w:val="24"/>
          <w:szCs w:val="24"/>
        </w:rPr>
        <w:t xml:space="preserve"> of forward primer, 0.5 </w:t>
      </w:r>
      <w:proofErr w:type="spellStart"/>
      <w:r w:rsidRPr="001A2766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1A2766">
        <w:rPr>
          <w:rFonts w:ascii="Times New Roman" w:hAnsi="Times New Roman" w:cs="Times New Roman"/>
          <w:sz w:val="24"/>
          <w:szCs w:val="24"/>
        </w:rPr>
        <w:t xml:space="preserve"> of reverse primer, 10 </w:t>
      </w:r>
      <w:proofErr w:type="spellStart"/>
      <w:r w:rsidRPr="001A2766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1A2766">
        <w:rPr>
          <w:rFonts w:ascii="Times New Roman" w:hAnsi="Times New Roman" w:cs="Times New Roman"/>
          <w:sz w:val="24"/>
          <w:szCs w:val="24"/>
        </w:rPr>
        <w:t xml:space="preserve"> of Power SYBR® Green PCR Master Mix, and 8 </w:t>
      </w:r>
      <w:proofErr w:type="spellStart"/>
      <w:r w:rsidRPr="001A2766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1A2766">
        <w:rPr>
          <w:rFonts w:ascii="Times New Roman" w:hAnsi="Times New Roman" w:cs="Times New Roman"/>
          <w:sz w:val="24"/>
          <w:szCs w:val="24"/>
        </w:rPr>
        <w:t xml:space="preserve"> of enzyme-free water.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2766">
        <w:rPr>
          <w:rFonts w:ascii="Times New Roman" w:hAnsi="Times New Roman" w:cs="Times New Roman"/>
          <w:sz w:val="24"/>
          <w:szCs w:val="24"/>
        </w:rPr>
        <w:t>PCR was performed as follows: 95°C for 1 min, 95°C for 15 s, 62°C for 25 s, and 72°C for 30 s, followed by 40 cycles of 55°C and 95°C.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2766">
        <w:rPr>
          <w:rFonts w:ascii="Times New Roman" w:hAnsi="Times New Roman" w:cs="Times New Roman"/>
          <w:sz w:val="24"/>
          <w:szCs w:val="24"/>
        </w:rPr>
        <w:t xml:space="preserve">The analysis of each sample was repeated 3 times, and the relative expression level of each gene was statistically </w:t>
      </w:r>
      <w:r w:rsidR="00CA1321" w:rsidRPr="001A2766">
        <w:rPr>
          <w:rFonts w:ascii="Times New Roman" w:hAnsi="Times New Roman" w:cs="Times New Roman"/>
          <w:sz w:val="24"/>
          <w:szCs w:val="24"/>
        </w:rPr>
        <w:t>analyzed</w:t>
      </w:r>
      <w:r w:rsidRPr="001A2766">
        <w:rPr>
          <w:rFonts w:ascii="Times New Roman" w:hAnsi="Times New Roman" w:cs="Times New Roman"/>
          <w:sz w:val="24"/>
          <w:szCs w:val="24"/>
        </w:rPr>
        <w:t xml:space="preserve"> via the 2-</w:t>
      </w:r>
      <w:r w:rsidRPr="001A2766">
        <w:rPr>
          <w:rFonts w:ascii="宋体" w:eastAsia="宋体" w:hAnsi="宋体" w:cs="宋体" w:hint="eastAsia"/>
          <w:sz w:val="24"/>
          <w:szCs w:val="24"/>
        </w:rPr>
        <w:t>△△</w:t>
      </w:r>
      <w:r w:rsidRPr="001A2766">
        <w:rPr>
          <w:rFonts w:ascii="Times New Roman" w:hAnsi="Times New Roman" w:cs="Times New Roman"/>
          <w:sz w:val="24"/>
          <w:szCs w:val="24"/>
        </w:rPr>
        <w:t xml:space="preserve">Ct method. The difference in gene expression level was </w:t>
      </w:r>
      <w:r w:rsidR="00CA1321" w:rsidRPr="001A2766">
        <w:rPr>
          <w:rFonts w:ascii="Times New Roman" w:hAnsi="Times New Roman" w:cs="Times New Roman"/>
          <w:sz w:val="24"/>
          <w:szCs w:val="24"/>
        </w:rPr>
        <w:t>analyzed</w:t>
      </w:r>
      <w:r w:rsidRPr="001A2766">
        <w:rPr>
          <w:rFonts w:ascii="Times New Roman" w:hAnsi="Times New Roman" w:cs="Times New Roman"/>
          <w:sz w:val="24"/>
          <w:szCs w:val="24"/>
        </w:rPr>
        <w:t xml:space="preserve"> using one-way ANOVA combined with the LSD multiple comparison test via SPSS Statistics (version 22.0, Chicago, USA). ***, </w:t>
      </w:r>
      <w:r w:rsidRPr="00402EB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1A2766">
        <w:rPr>
          <w:rFonts w:ascii="Times New Roman" w:hAnsi="Times New Roman" w:cs="Times New Roman"/>
          <w:sz w:val="24"/>
          <w:szCs w:val="24"/>
        </w:rPr>
        <w:t xml:space="preserve"> &lt; 0.001; **, 0.001&lt; </w:t>
      </w:r>
      <w:r w:rsidRPr="00402EB1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1A2766">
        <w:rPr>
          <w:rFonts w:ascii="Times New Roman" w:hAnsi="Times New Roman" w:cs="Times New Roman"/>
          <w:sz w:val="24"/>
          <w:szCs w:val="24"/>
        </w:rPr>
        <w:t xml:space="preserve">&lt; 0.01; *, 0.01 ≤ </w:t>
      </w:r>
      <w:r w:rsidRPr="00402EB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1A2766">
        <w:rPr>
          <w:rFonts w:ascii="Times New Roman" w:hAnsi="Times New Roman" w:cs="Times New Roman"/>
          <w:sz w:val="24"/>
          <w:szCs w:val="24"/>
        </w:rPr>
        <w:t xml:space="preserve"> ≤ 0.05.</w:t>
      </w:r>
    </w:p>
    <w:p w14:paraId="24AA77EA" w14:textId="50F27714" w:rsidR="002E2C8A" w:rsidRPr="00402EB1" w:rsidRDefault="00402EB1" w:rsidP="00402E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8B08E0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E2C8A" w:rsidRPr="00402EB1">
        <w:rPr>
          <w:rFonts w:ascii="Times New Roman" w:hAnsi="Times New Roman" w:cs="Times New Roman"/>
          <w:b/>
          <w:bCs/>
          <w:sz w:val="24"/>
          <w:szCs w:val="24"/>
        </w:rPr>
        <w:t>The pre-treatment of liver tissue in liver single-nuclei RNA sequencing</w:t>
      </w:r>
    </w:p>
    <w:p w14:paraId="3BB979A4" w14:textId="39879514" w:rsidR="002E2C8A" w:rsidRDefault="002E2C8A" w:rsidP="006E62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2C8A">
        <w:rPr>
          <w:rFonts w:ascii="Times New Roman" w:hAnsi="Times New Roman" w:cs="Times New Roman"/>
          <w:sz w:val="24"/>
          <w:szCs w:val="24"/>
        </w:rPr>
        <w:t xml:space="preserve">Frozen </w:t>
      </w:r>
      <w:r>
        <w:rPr>
          <w:rFonts w:ascii="Times New Roman" w:hAnsi="Times New Roman" w:cs="Times New Roman"/>
          <w:sz w:val="24"/>
          <w:szCs w:val="24"/>
        </w:rPr>
        <w:t xml:space="preserve">liver </w:t>
      </w:r>
      <w:r w:rsidRPr="002E2C8A">
        <w:rPr>
          <w:rFonts w:ascii="Times New Roman" w:hAnsi="Times New Roman" w:cs="Times New Roman"/>
          <w:sz w:val="24"/>
          <w:szCs w:val="24"/>
        </w:rPr>
        <w:t xml:space="preserve">tissue samples were cut into pieces &lt;0.5 cm and homogenized using a glass Dounce tissue grinder (Sigma, cat. no. D8938). The tissue was homogenized 25 times with pestle A and 25 times with pestle B in 2 ml of ice-cold nuclei EZ lysis buffer. The sample was then incubated on ice for 5 min, with an additional 3 ml of cold EZ lysis </w:t>
      </w:r>
      <w:r w:rsidRPr="002E2C8A">
        <w:rPr>
          <w:rFonts w:ascii="Times New Roman" w:hAnsi="Times New Roman" w:cs="Times New Roman"/>
          <w:sz w:val="24"/>
          <w:szCs w:val="24"/>
        </w:rPr>
        <w:lastRenderedPageBreak/>
        <w:t>buffer. Nuclei were centrifuged at 500g for 5 min at 4 C, washed with 5 ml ice-cold EZ lysis buffer and incubated on ice for 5 min. After centrifugation, the nucleus pellet was washed with 5 ml nuclei suspension buffer (NSB; consisting of 1 PBS, 0.01% BSA and 0.1% RNase inhibitor (</w:t>
      </w:r>
      <w:proofErr w:type="spellStart"/>
      <w:r w:rsidRPr="002E2C8A">
        <w:rPr>
          <w:rFonts w:ascii="Times New Roman" w:hAnsi="Times New Roman" w:cs="Times New Roman"/>
          <w:sz w:val="24"/>
          <w:szCs w:val="24"/>
        </w:rPr>
        <w:t>Clontech</w:t>
      </w:r>
      <w:proofErr w:type="spellEnd"/>
      <w:r w:rsidRPr="002E2C8A">
        <w:rPr>
          <w:rFonts w:ascii="Times New Roman" w:hAnsi="Times New Roman" w:cs="Times New Roman"/>
          <w:sz w:val="24"/>
          <w:szCs w:val="24"/>
        </w:rPr>
        <w:t xml:space="preserve">, cat. no. 2313A)). Isolated nuclei were resuspended in 2 ml NSB, filtered through a 35 </w:t>
      </w:r>
      <w:proofErr w:type="spellStart"/>
      <w:r w:rsidRPr="002E2C8A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2E2C8A">
        <w:rPr>
          <w:rFonts w:ascii="Times New Roman" w:hAnsi="Times New Roman" w:cs="Times New Roman"/>
          <w:sz w:val="24"/>
          <w:szCs w:val="24"/>
        </w:rPr>
        <w:t xml:space="preserve"> cell strainer (Corning-Falcon, cat. no. 352235) and counted. A final concentration of 1,000 nuclei per </w:t>
      </w:r>
      <w:proofErr w:type="spellStart"/>
      <w:r w:rsidRPr="002E2C8A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2E2C8A">
        <w:rPr>
          <w:rFonts w:ascii="Times New Roman" w:hAnsi="Times New Roman" w:cs="Times New Roman"/>
          <w:sz w:val="24"/>
          <w:szCs w:val="24"/>
        </w:rPr>
        <w:t xml:space="preserve"> was used for loading on a 10x channel.</w:t>
      </w:r>
    </w:p>
    <w:p w14:paraId="1E2D45FC" w14:textId="4AB59077" w:rsidR="00042E1D" w:rsidRPr="00402EB1" w:rsidRDefault="00402EB1" w:rsidP="00402E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63813644"/>
      <w:r>
        <w:rPr>
          <w:rFonts w:ascii="Times New Roman" w:hAnsi="Times New Roman" w:cs="Times New Roman"/>
          <w:b/>
          <w:bCs/>
          <w:sz w:val="24"/>
          <w:szCs w:val="24"/>
        </w:rPr>
        <w:t xml:space="preserve">M5: </w:t>
      </w:r>
      <w:r w:rsidR="00042E1D" w:rsidRPr="00402EB1">
        <w:rPr>
          <w:rFonts w:ascii="Times New Roman" w:hAnsi="Times New Roman" w:cs="Times New Roman"/>
          <w:b/>
          <w:bCs/>
          <w:sz w:val="24"/>
          <w:szCs w:val="24"/>
        </w:rPr>
        <w:t>Murine NASH model establishment</w:t>
      </w:r>
    </w:p>
    <w:bookmarkEnd w:id="3"/>
    <w:p w14:paraId="4C4D2CB0" w14:textId="0292379C" w:rsidR="004727AE" w:rsidRPr="00D14C22" w:rsidRDefault="000A392F" w:rsidP="00333B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mice trial design is shown in </w:t>
      </w:r>
      <w:r w:rsidRPr="000A392F">
        <w:rPr>
          <w:rFonts w:ascii="Times New Roman" w:hAnsi="Times New Roman" w:cs="Times New Roman"/>
          <w:b/>
          <w:bCs/>
          <w:sz w:val="24"/>
          <w:szCs w:val="24"/>
        </w:rPr>
        <w:t>Fig.1</w:t>
      </w:r>
      <w:r w:rsidR="00FD31F4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42E1D" w:rsidRPr="00042E1D">
        <w:rPr>
          <w:rFonts w:ascii="Times New Roman" w:hAnsi="Times New Roman" w:cs="Times New Roman"/>
          <w:sz w:val="24"/>
          <w:szCs w:val="24"/>
        </w:rPr>
        <w:t xml:space="preserve">A total of 35 SPF female C57BL/6J mice (7 weeks old, 21 ± 2 g) were obtained from the Animal Production Base of Hangzhou Medical College. All mice had access to food and water ad libitum for 1 week. The diet composition and nutritive value are shown in </w:t>
      </w:r>
      <w:r w:rsidR="00042E1D" w:rsidRPr="00FD31F4">
        <w:rPr>
          <w:rFonts w:ascii="Times New Roman" w:hAnsi="Times New Roman" w:cs="Times New Roman"/>
          <w:b/>
          <w:bCs/>
          <w:sz w:val="24"/>
          <w:szCs w:val="24"/>
        </w:rPr>
        <w:t>Table S3</w:t>
      </w:r>
      <w:r w:rsidR="005B01F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42E1D" w:rsidRPr="00042E1D">
        <w:rPr>
          <w:rFonts w:ascii="Times New Roman" w:hAnsi="Times New Roman" w:cs="Times New Roman"/>
          <w:sz w:val="24"/>
          <w:szCs w:val="24"/>
        </w:rPr>
        <w:t xml:space="preserve">. Seven mice were randomly selected as a healthy control group and fed a common diet. The other mice were fed a high-fat diet for </w:t>
      </w:r>
      <w:r w:rsidR="00194F8B">
        <w:rPr>
          <w:rFonts w:ascii="Times New Roman" w:hAnsi="Times New Roman" w:cs="Times New Roman"/>
          <w:sz w:val="24"/>
          <w:szCs w:val="24"/>
        </w:rPr>
        <w:t>16</w:t>
      </w:r>
      <w:r w:rsidR="00042E1D" w:rsidRPr="00042E1D">
        <w:rPr>
          <w:rFonts w:ascii="Times New Roman" w:hAnsi="Times New Roman" w:cs="Times New Roman"/>
          <w:sz w:val="24"/>
          <w:szCs w:val="24"/>
        </w:rPr>
        <w:t xml:space="preserve"> weeks.</w:t>
      </w:r>
    </w:p>
    <w:sectPr w:rsidR="004727AE" w:rsidRPr="00D14C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95CBE" w14:textId="77777777" w:rsidR="00FD421D" w:rsidRDefault="00FD421D" w:rsidP="00AC493C">
      <w:r>
        <w:separator/>
      </w:r>
    </w:p>
  </w:endnote>
  <w:endnote w:type="continuationSeparator" w:id="0">
    <w:p w14:paraId="29738A4E" w14:textId="77777777" w:rsidR="00FD421D" w:rsidRDefault="00FD421D" w:rsidP="00AC4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02836" w14:textId="77777777" w:rsidR="00FD421D" w:rsidRDefault="00FD421D" w:rsidP="00AC493C">
      <w:r>
        <w:separator/>
      </w:r>
    </w:p>
  </w:footnote>
  <w:footnote w:type="continuationSeparator" w:id="0">
    <w:p w14:paraId="2027D1B5" w14:textId="77777777" w:rsidR="00FD421D" w:rsidRDefault="00FD421D" w:rsidP="00AC4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77757"/>
    <w:multiLevelType w:val="hybridMultilevel"/>
    <w:tmpl w:val="B8F63D02"/>
    <w:lvl w:ilvl="0" w:tplc="B32C40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3110931"/>
    <w:multiLevelType w:val="hybridMultilevel"/>
    <w:tmpl w:val="1C3EB570"/>
    <w:lvl w:ilvl="0" w:tplc="AC62B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A5240AC"/>
    <w:multiLevelType w:val="hybridMultilevel"/>
    <w:tmpl w:val="8468F0CA"/>
    <w:lvl w:ilvl="0" w:tplc="948C2AD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4223321"/>
    <w:multiLevelType w:val="hybridMultilevel"/>
    <w:tmpl w:val="7DB864DA"/>
    <w:lvl w:ilvl="0" w:tplc="259EA9CA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98"/>
    <w:rsid w:val="00020D3F"/>
    <w:rsid w:val="00042E1D"/>
    <w:rsid w:val="000A392F"/>
    <w:rsid w:val="000E246C"/>
    <w:rsid w:val="0012642F"/>
    <w:rsid w:val="0013745A"/>
    <w:rsid w:val="001679A9"/>
    <w:rsid w:val="00194F8B"/>
    <w:rsid w:val="001A2766"/>
    <w:rsid w:val="001B09F6"/>
    <w:rsid w:val="001B2A7A"/>
    <w:rsid w:val="0024354F"/>
    <w:rsid w:val="00264C3B"/>
    <w:rsid w:val="002E2C8A"/>
    <w:rsid w:val="00333B9D"/>
    <w:rsid w:val="003C44A8"/>
    <w:rsid w:val="003C616D"/>
    <w:rsid w:val="00402EB1"/>
    <w:rsid w:val="004727AE"/>
    <w:rsid w:val="004B4C7B"/>
    <w:rsid w:val="00523200"/>
    <w:rsid w:val="005B01FE"/>
    <w:rsid w:val="006065C1"/>
    <w:rsid w:val="006135AA"/>
    <w:rsid w:val="00615917"/>
    <w:rsid w:val="006E62C7"/>
    <w:rsid w:val="006F53C6"/>
    <w:rsid w:val="007B07D4"/>
    <w:rsid w:val="007D2598"/>
    <w:rsid w:val="00834AF4"/>
    <w:rsid w:val="00876182"/>
    <w:rsid w:val="008B08E0"/>
    <w:rsid w:val="008C2C64"/>
    <w:rsid w:val="00A7176B"/>
    <w:rsid w:val="00A749AE"/>
    <w:rsid w:val="00AC493C"/>
    <w:rsid w:val="00B02C50"/>
    <w:rsid w:val="00BE3DD2"/>
    <w:rsid w:val="00CA1321"/>
    <w:rsid w:val="00D14C22"/>
    <w:rsid w:val="00DD3E49"/>
    <w:rsid w:val="00EC6813"/>
    <w:rsid w:val="00FD31F4"/>
    <w:rsid w:val="00FD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F46A71"/>
  <w14:defaultImageDpi w14:val="32767"/>
  <w15:chartTrackingRefBased/>
  <w15:docId w15:val="{9252CB7A-6563-41DE-9E49-5C0F6D382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598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AC49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C493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C49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C493C"/>
    <w:rPr>
      <w:sz w:val="18"/>
      <w:szCs w:val="18"/>
    </w:rPr>
  </w:style>
  <w:style w:type="character" w:styleId="a8">
    <w:name w:val="annotation reference"/>
    <w:basedOn w:val="a0"/>
    <w:uiPriority w:val="99"/>
    <w:rsid w:val="00333B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悦 汪</dc:creator>
  <cp:keywords/>
  <dc:description/>
  <cp:lastModifiedBy>悦 汪</cp:lastModifiedBy>
  <cp:revision>20</cp:revision>
  <dcterms:created xsi:type="dcterms:W3CDTF">2024-04-12T05:18:00Z</dcterms:created>
  <dcterms:modified xsi:type="dcterms:W3CDTF">2024-10-06T23:52:00Z</dcterms:modified>
</cp:coreProperties>
</file>