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0BDE6" w14:textId="77777777" w:rsidR="005E2527" w:rsidRDefault="00000000">
      <w:pPr>
        <w:spacing w:before="240" w:after="240" w:line="48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Transgressive Hybrids as Hopeful Holobionts</w:t>
      </w:r>
    </w:p>
    <w:p w14:paraId="139213B9" w14:textId="77777777" w:rsidR="005E2527" w:rsidRDefault="00000000">
      <w:pPr>
        <w:spacing w:line="48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Additional file 9: </w:t>
      </w:r>
      <w:r>
        <w:rPr>
          <w:rFonts w:ascii="Times New Roman" w:eastAsia="Times New Roman" w:hAnsi="Times New Roman" w:cs="Times New Roman"/>
          <w:b/>
          <w:i/>
          <w:sz w:val="28"/>
          <w:szCs w:val="28"/>
        </w:rPr>
        <w:t xml:space="preserve">Aspidoscelis </w:t>
      </w:r>
      <w:r>
        <w:rPr>
          <w:rFonts w:ascii="Times New Roman" w:eastAsia="Times New Roman" w:hAnsi="Times New Roman" w:cs="Times New Roman"/>
          <w:b/>
          <w:sz w:val="28"/>
          <w:szCs w:val="28"/>
        </w:rPr>
        <w:t>Habitat Niches</w:t>
      </w:r>
    </w:p>
    <w:p w14:paraId="660B5AB9" w14:textId="77777777"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rPr>
        <w:t xml:space="preserve">Several pieces of information suggest that </w:t>
      </w:r>
      <w:r>
        <w:rPr>
          <w:rFonts w:ascii="Times New Roman" w:eastAsia="Times New Roman" w:hAnsi="Times New Roman" w:cs="Times New Roman"/>
          <w:i/>
        </w:rPr>
        <w:t>A. neomexicanus</w:t>
      </w:r>
      <w:r>
        <w:rPr>
          <w:rFonts w:ascii="Times New Roman" w:eastAsia="Times New Roman" w:hAnsi="Times New Roman" w:cs="Times New Roman"/>
        </w:rPr>
        <w:t xml:space="preserve"> has a broader habitat niche (including novel habitat classes) from its progenitor species. First, in a study from the same general region of New Mexico where our research occurred, Axtell</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found that </w:t>
      </w:r>
      <w:r>
        <w:rPr>
          <w:rFonts w:ascii="Times New Roman" w:eastAsia="Times New Roman" w:hAnsi="Times New Roman" w:cs="Times New Roman"/>
          <w:i/>
        </w:rPr>
        <w:t>A. neomexicanus</w:t>
      </w:r>
      <w:r>
        <w:rPr>
          <w:rFonts w:ascii="Times New Roman" w:eastAsia="Times New Roman" w:hAnsi="Times New Roman" w:cs="Times New Roman"/>
        </w:rPr>
        <w:t xml:space="preserve"> was distributed across the entire habitat gradient that he studied, ranging from juniper grasslands in the West to pinon juniper forests in the East. By contrast, </w:t>
      </w:r>
      <w:r>
        <w:rPr>
          <w:rFonts w:ascii="Times New Roman" w:eastAsia="Times New Roman" w:hAnsi="Times New Roman" w:cs="Times New Roman"/>
          <w:i/>
        </w:rPr>
        <w:t xml:space="preserve">A. </w:t>
      </w:r>
      <w:proofErr w:type="spellStart"/>
      <w:r>
        <w:rPr>
          <w:rFonts w:ascii="Times New Roman" w:eastAsia="Times New Roman" w:hAnsi="Times New Roman" w:cs="Times New Roman"/>
          <w:i/>
        </w:rPr>
        <w:t>inornatus</w:t>
      </w:r>
      <w:proofErr w:type="spellEnd"/>
      <w:r>
        <w:rPr>
          <w:rFonts w:ascii="Times New Roman" w:eastAsia="Times New Roman" w:hAnsi="Times New Roman" w:cs="Times New Roman"/>
        </w:rPr>
        <w:t xml:space="preserve"> was missing from the middle of the gradient that bisects the Rio Grande. Overall, this resulted in </w:t>
      </w:r>
      <w:r>
        <w:rPr>
          <w:rFonts w:ascii="Times New Roman" w:eastAsia="Times New Roman" w:hAnsi="Times New Roman" w:cs="Times New Roman"/>
          <w:i/>
        </w:rPr>
        <w:t>A. neomexicanus</w:t>
      </w:r>
      <w:r>
        <w:rPr>
          <w:rFonts w:ascii="Times New Roman" w:eastAsia="Times New Roman" w:hAnsi="Times New Roman" w:cs="Times New Roman"/>
        </w:rPr>
        <w:t xml:space="preserve"> being present in two additional discrete habitat classes as compared to </w:t>
      </w:r>
      <w:r>
        <w:rPr>
          <w:rFonts w:ascii="Times New Roman" w:eastAsia="Times New Roman" w:hAnsi="Times New Roman" w:cs="Times New Roman"/>
          <w:i/>
        </w:rPr>
        <w:t xml:space="preserve">A. </w:t>
      </w:r>
      <w:proofErr w:type="spellStart"/>
      <w:r>
        <w:rPr>
          <w:rFonts w:ascii="Times New Roman" w:eastAsia="Times New Roman" w:hAnsi="Times New Roman" w:cs="Times New Roman"/>
          <w:i/>
        </w:rPr>
        <w:t>inornatus</w:t>
      </w:r>
      <w:proofErr w:type="spellEnd"/>
      <w:r>
        <w:rPr>
          <w:rFonts w:ascii="Times New Roman" w:eastAsia="Times New Roman" w:hAnsi="Times New Roman" w:cs="Times New Roman"/>
          <w:i/>
        </w:rPr>
        <w:t xml:space="preserve"> </w:t>
      </w:r>
      <w:r>
        <w:rPr>
          <w:rFonts w:ascii="Times New Roman" w:eastAsia="Times New Roman" w:hAnsi="Times New Roman" w:cs="Times New Roman"/>
        </w:rPr>
        <w:t>and 33% more aerial extent. Second, current NatureServe models</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indicate that </w:t>
      </w:r>
      <w:r>
        <w:rPr>
          <w:rFonts w:ascii="Times New Roman" w:eastAsia="Times New Roman" w:hAnsi="Times New Roman" w:cs="Times New Roman"/>
          <w:i/>
        </w:rPr>
        <w:t>A. neomexicanus</w:t>
      </w:r>
      <w:r>
        <w:rPr>
          <w:rFonts w:ascii="Times New Roman" w:eastAsia="Times New Roman" w:hAnsi="Times New Roman" w:cs="Times New Roman"/>
        </w:rPr>
        <w:t xml:space="preserve"> occupies six distinct habitat classes, including two that are not inhabited by either progenitor. While this is a slightly narrower niche breadth than </w:t>
      </w:r>
      <w:r>
        <w:rPr>
          <w:rFonts w:ascii="Times New Roman" w:eastAsia="Times New Roman" w:hAnsi="Times New Roman" w:cs="Times New Roman"/>
          <w:i/>
        </w:rPr>
        <w:t xml:space="preserve">A. </w:t>
      </w:r>
      <w:proofErr w:type="spellStart"/>
      <w:r>
        <w:rPr>
          <w:rFonts w:ascii="Times New Roman" w:eastAsia="Times New Roman" w:hAnsi="Times New Roman" w:cs="Times New Roman"/>
          <w:i/>
        </w:rPr>
        <w:t>inornatus</w:t>
      </w:r>
      <w:proofErr w:type="spellEnd"/>
      <w:r>
        <w:rPr>
          <w:rFonts w:ascii="Times New Roman" w:eastAsia="Times New Roman" w:hAnsi="Times New Roman" w:cs="Times New Roman"/>
        </w:rPr>
        <w:t>, which occupies seven habitat classes, it is</w:t>
      </w:r>
      <w:r>
        <w:rPr>
          <w:rFonts w:ascii="Times New Roman" w:eastAsia="Times New Roman" w:hAnsi="Times New Roman" w:cs="Times New Roman"/>
          <w:i/>
        </w:rPr>
        <w:t xml:space="preserve"> </w:t>
      </w:r>
      <w:r>
        <w:rPr>
          <w:rFonts w:ascii="Times New Roman" w:eastAsia="Times New Roman" w:hAnsi="Times New Roman" w:cs="Times New Roman"/>
        </w:rPr>
        <w:t xml:space="preserve">much broader than </w:t>
      </w:r>
      <w:r>
        <w:rPr>
          <w:rFonts w:ascii="Times New Roman" w:eastAsia="Times New Roman" w:hAnsi="Times New Roman" w:cs="Times New Roman"/>
          <w:i/>
        </w:rPr>
        <w:t>A. marmoratus</w:t>
      </w:r>
      <w:r>
        <w:rPr>
          <w:rFonts w:ascii="Times New Roman" w:eastAsia="Times New Roman" w:hAnsi="Times New Roman" w:cs="Times New Roman"/>
        </w:rPr>
        <w:t xml:space="preserve">, which occupies three habitat classes. </w:t>
      </w:r>
    </w:p>
    <w:p w14:paraId="5CA46617" w14:textId="77777777" w:rsidR="005E2527" w:rsidRDefault="005E2527">
      <w:pPr>
        <w:tabs>
          <w:tab w:val="left" w:pos="5415"/>
        </w:tabs>
        <w:rPr>
          <w:rFonts w:ascii="Times New Roman" w:eastAsia="Times New Roman" w:hAnsi="Times New Roman" w:cs="Times New Roman"/>
        </w:rPr>
      </w:pPr>
    </w:p>
    <w:p w14:paraId="29ED5600" w14:textId="298C7A28"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rPr>
        <w:t>Beyond this existing literature, we used georeferenced occurrence records from the Global Biodiversity Information Facility</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for </w:t>
      </w:r>
      <w:r>
        <w:rPr>
          <w:rFonts w:ascii="Times New Roman" w:eastAsia="Times New Roman" w:hAnsi="Times New Roman" w:cs="Times New Roman"/>
          <w:i/>
        </w:rPr>
        <w:t xml:space="preserve">A. </w:t>
      </w:r>
      <w:proofErr w:type="spellStart"/>
      <w:r>
        <w:rPr>
          <w:rFonts w:ascii="Times New Roman" w:eastAsia="Times New Roman" w:hAnsi="Times New Roman" w:cs="Times New Roman"/>
          <w:i/>
        </w:rPr>
        <w:t>inornatus</w:t>
      </w:r>
      <w:proofErr w:type="spellEnd"/>
      <w:r>
        <w:rPr>
          <w:rFonts w:ascii="Times New Roman" w:eastAsia="Times New Roman" w:hAnsi="Times New Roman" w:cs="Times New Roman"/>
        </w:rPr>
        <w:t xml:space="preserve">, </w:t>
      </w:r>
      <w:r>
        <w:rPr>
          <w:rFonts w:ascii="Times New Roman" w:eastAsia="Times New Roman" w:hAnsi="Times New Roman" w:cs="Times New Roman"/>
          <w:i/>
        </w:rPr>
        <w:t>A. marmoratus</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and </w:t>
      </w:r>
      <w:r>
        <w:rPr>
          <w:rFonts w:ascii="Times New Roman" w:eastAsia="Times New Roman" w:hAnsi="Times New Roman" w:cs="Times New Roman"/>
          <w:i/>
        </w:rPr>
        <w:t>A. neomexicanus</w:t>
      </w:r>
      <w:r>
        <w:rPr>
          <w:rFonts w:ascii="Times New Roman" w:eastAsia="Times New Roman" w:hAnsi="Times New Roman" w:cs="Times New Roman"/>
        </w:rPr>
        <w:t xml:space="preserve">, combined with </w:t>
      </w:r>
      <w:proofErr w:type="spellStart"/>
      <w:r>
        <w:rPr>
          <w:rFonts w:ascii="Times New Roman" w:eastAsia="Times New Roman" w:hAnsi="Times New Roman" w:cs="Times New Roman"/>
        </w:rPr>
        <w:t>Landfire</w:t>
      </w:r>
      <w:proofErr w:type="spellEnd"/>
      <w:r>
        <w:rPr>
          <w:rFonts w:ascii="Times New Roman" w:eastAsia="Times New Roman" w:hAnsi="Times New Roman" w:cs="Times New Roman"/>
        </w:rPr>
        <w:t xml:space="preserve"> vegetation classes</w:t>
      </w:r>
      <w:r>
        <w:rPr>
          <w:rFonts w:ascii="Times New Roman" w:eastAsia="Times New Roman" w:hAnsi="Times New Roman" w:cs="Times New Roman"/>
          <w:vertAlign w:val="superscript"/>
        </w:rPr>
        <w:t>4</w:t>
      </w:r>
      <w:r>
        <w:rPr>
          <w:rFonts w:ascii="Times New Roman" w:eastAsia="Times New Roman" w:hAnsi="Times New Roman" w:cs="Times New Roman"/>
        </w:rPr>
        <w:t>, to determine the niche breadth of each species. More specifically, we considered counts of the number of vegetation classes, as well as the Shannon index applied to the proportion of occurrences of each species in each vegetation class. The latter helps to address evenness of a species distribution across vegetation classes. Briefly, we considered four different levels of vegetation classification (</w:t>
      </w:r>
      <w:proofErr w:type="spellStart"/>
      <w:r>
        <w:rPr>
          <w:rFonts w:ascii="Times New Roman" w:eastAsia="Times New Roman" w:hAnsi="Times New Roman" w:cs="Times New Roman"/>
        </w:rPr>
        <w:t>landfire</w:t>
      </w:r>
      <w:proofErr w:type="spellEnd"/>
      <w:r>
        <w:rPr>
          <w:rFonts w:ascii="Times New Roman" w:eastAsia="Times New Roman" w:hAnsi="Times New Roman" w:cs="Times New Roman"/>
        </w:rPr>
        <w:t xml:space="preserve"> pixels, GROUP, MACROGROUP, and CLASS). For each level, we subsampled 500 individual lizards of each species and either counted the number of vegetation classes where the species occurred or calculated the Shannon index. We then repeated the subsampling process 100 times. To test for statistically significant differences between lizard species, we used a Kruskal-</w:t>
      </w:r>
      <w:proofErr w:type="gramStart"/>
      <w:r>
        <w:rPr>
          <w:rFonts w:ascii="Times New Roman" w:eastAsia="Times New Roman" w:hAnsi="Times New Roman" w:cs="Times New Roman"/>
        </w:rPr>
        <w:t>Wallis</w:t>
      </w:r>
      <w:proofErr w:type="gramEnd"/>
      <w:r>
        <w:rPr>
          <w:rFonts w:ascii="Times New Roman" w:eastAsia="Times New Roman" w:hAnsi="Times New Roman" w:cs="Times New Roman"/>
        </w:rPr>
        <w:t xml:space="preserve"> test applied to the three distinct species. This was done using the </w:t>
      </w:r>
      <w:proofErr w:type="spellStart"/>
      <w:r>
        <w:t>kruskal.test</w:t>
      </w:r>
      <w:proofErr w:type="spellEnd"/>
      <w:r>
        <w:t xml:space="preserve"> </w:t>
      </w:r>
      <w:r>
        <w:rPr>
          <w:rFonts w:ascii="Times New Roman" w:eastAsia="Times New Roman" w:hAnsi="Times New Roman" w:cs="Times New Roman"/>
        </w:rPr>
        <w:t xml:space="preserve">function from the </w:t>
      </w:r>
      <w:r>
        <w:t xml:space="preserve">stats </w:t>
      </w:r>
      <w:r>
        <w:rPr>
          <w:rFonts w:ascii="Times New Roman" w:eastAsia="Times New Roman" w:hAnsi="Times New Roman" w:cs="Times New Roman"/>
        </w:rPr>
        <w:t>package (version 4.2.1).</w:t>
      </w:r>
      <w:r>
        <w:rPr>
          <w:rFonts w:ascii="Times New Roman" w:eastAsia="Times New Roman" w:hAnsi="Times New Roman" w:cs="Times New Roman"/>
          <w:vertAlign w:val="superscript"/>
        </w:rPr>
        <w:t>5</w:t>
      </w:r>
      <w:r>
        <w:rPr>
          <w:rFonts w:ascii="Times New Roman" w:eastAsia="Times New Roman" w:hAnsi="Times New Roman" w:cs="Times New Roman"/>
        </w:rPr>
        <w:t xml:space="preserve"> When the Kruskal-</w:t>
      </w:r>
      <w:proofErr w:type="gramStart"/>
      <w:r>
        <w:rPr>
          <w:rFonts w:ascii="Times New Roman" w:eastAsia="Times New Roman" w:hAnsi="Times New Roman" w:cs="Times New Roman"/>
        </w:rPr>
        <w:t>Wallis</w:t>
      </w:r>
      <w:proofErr w:type="gramEnd"/>
      <w:r>
        <w:rPr>
          <w:rFonts w:ascii="Times New Roman" w:eastAsia="Times New Roman" w:hAnsi="Times New Roman" w:cs="Times New Roman"/>
        </w:rPr>
        <w:t xml:space="preserve"> test was significant, we did pairwise post-hoc testing by applying pairwise Wilcoxon rank sum also from the </w:t>
      </w:r>
      <w:r>
        <w:t xml:space="preserve">stats </w:t>
      </w:r>
      <w:r>
        <w:rPr>
          <w:rFonts w:ascii="Times New Roman" w:eastAsia="Times New Roman" w:hAnsi="Times New Roman" w:cs="Times New Roman"/>
        </w:rPr>
        <w:t xml:space="preserve">package. Results are shown in Figure 10.1. Like NatureServe, counts of habitat classes suggest that, except at the highest level of classification, </w:t>
      </w:r>
      <w:r>
        <w:rPr>
          <w:rFonts w:ascii="Times New Roman" w:eastAsia="Times New Roman" w:hAnsi="Times New Roman" w:cs="Times New Roman"/>
          <w:i/>
        </w:rPr>
        <w:t>A. neomexicanus</w:t>
      </w:r>
      <w:r>
        <w:rPr>
          <w:rFonts w:ascii="Times New Roman" w:eastAsia="Times New Roman" w:hAnsi="Times New Roman" w:cs="Times New Roman"/>
        </w:rPr>
        <w:t xml:space="preserve"> is intermediate in habitat niche breadth (see Fig. </w:t>
      </w:r>
      <w:r w:rsidR="005B1BB2">
        <w:rPr>
          <w:rFonts w:ascii="Times New Roman" w:eastAsia="Times New Roman" w:hAnsi="Times New Roman" w:cs="Times New Roman"/>
        </w:rPr>
        <w:t>9</w:t>
      </w:r>
      <w:r>
        <w:rPr>
          <w:rFonts w:ascii="Times New Roman" w:eastAsia="Times New Roman" w:hAnsi="Times New Roman" w:cs="Times New Roman"/>
        </w:rPr>
        <w:t xml:space="preserve">.1A-D), generally much broader than </w:t>
      </w:r>
      <w:r>
        <w:rPr>
          <w:rFonts w:ascii="Times New Roman" w:eastAsia="Times New Roman" w:hAnsi="Times New Roman" w:cs="Times New Roman"/>
          <w:i/>
        </w:rPr>
        <w:t xml:space="preserve">A. marmoratus </w:t>
      </w:r>
      <w:r>
        <w:rPr>
          <w:rFonts w:ascii="Times New Roman" w:eastAsia="Times New Roman" w:hAnsi="Times New Roman" w:cs="Times New Roman"/>
        </w:rPr>
        <w:t xml:space="preserve">and almost as broad as </w:t>
      </w:r>
      <w:r>
        <w:rPr>
          <w:rFonts w:ascii="Times New Roman" w:eastAsia="Times New Roman" w:hAnsi="Times New Roman" w:cs="Times New Roman"/>
          <w:i/>
        </w:rPr>
        <w:t xml:space="preserve">A. </w:t>
      </w:r>
      <w:proofErr w:type="spellStart"/>
      <w:r>
        <w:rPr>
          <w:rFonts w:ascii="Times New Roman" w:eastAsia="Times New Roman" w:hAnsi="Times New Roman" w:cs="Times New Roman"/>
          <w:i/>
        </w:rPr>
        <w:t>inornatus</w:t>
      </w:r>
      <w:proofErr w:type="spellEnd"/>
      <w:r>
        <w:rPr>
          <w:rFonts w:ascii="Times New Roman" w:eastAsia="Times New Roman" w:hAnsi="Times New Roman" w:cs="Times New Roman"/>
        </w:rPr>
        <w:t>. However, accounting for evenness like the study by Axtell,</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the Shannon Index suggests that at all levels of classification, </w:t>
      </w:r>
      <w:r>
        <w:rPr>
          <w:rFonts w:ascii="Times New Roman" w:eastAsia="Times New Roman" w:hAnsi="Times New Roman" w:cs="Times New Roman"/>
          <w:i/>
        </w:rPr>
        <w:t>A. neomexicanus</w:t>
      </w:r>
      <w:r>
        <w:rPr>
          <w:rFonts w:ascii="Times New Roman" w:eastAsia="Times New Roman" w:hAnsi="Times New Roman" w:cs="Times New Roman"/>
        </w:rPr>
        <w:t xml:space="preserve"> is transgressive, exhibiting a broader habitat niche (see Fig. </w:t>
      </w:r>
      <w:r w:rsidR="005B1BB2">
        <w:rPr>
          <w:rFonts w:ascii="Times New Roman" w:eastAsia="Times New Roman" w:hAnsi="Times New Roman" w:cs="Times New Roman"/>
        </w:rPr>
        <w:t>9</w:t>
      </w:r>
      <w:r>
        <w:rPr>
          <w:rFonts w:ascii="Times New Roman" w:eastAsia="Times New Roman" w:hAnsi="Times New Roman" w:cs="Times New Roman"/>
        </w:rPr>
        <w:t xml:space="preserve">.1E-H). Comparing the identities of the habitats across the three lizard species further shows that, except at the coarsest level of classification, </w:t>
      </w:r>
      <w:r>
        <w:rPr>
          <w:rFonts w:ascii="Times New Roman" w:eastAsia="Times New Roman" w:hAnsi="Times New Roman" w:cs="Times New Roman"/>
          <w:i/>
        </w:rPr>
        <w:t>A. neomexicanus</w:t>
      </w:r>
      <w:r>
        <w:rPr>
          <w:rFonts w:ascii="Times New Roman" w:eastAsia="Times New Roman" w:hAnsi="Times New Roman" w:cs="Times New Roman"/>
        </w:rPr>
        <w:t xml:space="preserve"> occupies numerous novel habitat classes where neither </w:t>
      </w:r>
      <w:r>
        <w:rPr>
          <w:rFonts w:ascii="Times New Roman" w:eastAsia="Times New Roman" w:hAnsi="Times New Roman" w:cs="Times New Roman"/>
          <w:i/>
        </w:rPr>
        <w:t>A. neomexicanus</w:t>
      </w:r>
      <w:r>
        <w:rPr>
          <w:rFonts w:ascii="Times New Roman" w:eastAsia="Times New Roman" w:hAnsi="Times New Roman" w:cs="Times New Roman"/>
        </w:rPr>
        <w:t xml:space="preserve"> nor </w:t>
      </w:r>
      <w:r>
        <w:rPr>
          <w:rFonts w:ascii="Times New Roman" w:eastAsia="Times New Roman" w:hAnsi="Times New Roman" w:cs="Times New Roman"/>
          <w:i/>
        </w:rPr>
        <w:t>A. marmoratus</w:t>
      </w:r>
      <w:r>
        <w:rPr>
          <w:rFonts w:ascii="Times New Roman" w:eastAsia="Times New Roman" w:hAnsi="Times New Roman" w:cs="Times New Roman"/>
        </w:rPr>
        <w:t xml:space="preserve"> are found (see Fig</w:t>
      </w:r>
      <w:r w:rsidR="005B1BB2">
        <w:rPr>
          <w:rFonts w:ascii="Times New Roman" w:eastAsia="Times New Roman" w:hAnsi="Times New Roman" w:cs="Times New Roman"/>
        </w:rPr>
        <w:t>.</w:t>
      </w:r>
      <w:r>
        <w:rPr>
          <w:rFonts w:ascii="Times New Roman" w:eastAsia="Times New Roman" w:hAnsi="Times New Roman" w:cs="Times New Roman"/>
        </w:rPr>
        <w:t xml:space="preserve"> </w:t>
      </w:r>
      <w:r w:rsidR="005B1BB2">
        <w:rPr>
          <w:rFonts w:ascii="Times New Roman" w:eastAsia="Times New Roman" w:hAnsi="Times New Roman" w:cs="Times New Roman"/>
        </w:rPr>
        <w:t>9</w:t>
      </w:r>
      <w:r>
        <w:rPr>
          <w:rFonts w:ascii="Times New Roman" w:eastAsia="Times New Roman" w:hAnsi="Times New Roman" w:cs="Times New Roman"/>
        </w:rPr>
        <w:t xml:space="preserve">.2). For the same classification levels, </w:t>
      </w:r>
      <w:r>
        <w:rPr>
          <w:rFonts w:ascii="Times New Roman" w:eastAsia="Times New Roman" w:hAnsi="Times New Roman" w:cs="Times New Roman"/>
          <w:i/>
        </w:rPr>
        <w:t xml:space="preserve">A. neomexicanus </w:t>
      </w:r>
      <w:r>
        <w:rPr>
          <w:rFonts w:ascii="Times New Roman" w:eastAsia="Times New Roman" w:hAnsi="Times New Roman" w:cs="Times New Roman"/>
        </w:rPr>
        <w:t>occupies more unique habitat classes than either progenitor, another example of habitat niche transgression.</w:t>
      </w:r>
    </w:p>
    <w:p w14:paraId="11090915" w14:textId="77777777" w:rsidR="005E2527" w:rsidRDefault="005E2527">
      <w:pPr>
        <w:tabs>
          <w:tab w:val="left" w:pos="5415"/>
        </w:tabs>
        <w:rPr>
          <w:rFonts w:ascii="Times New Roman" w:eastAsia="Times New Roman" w:hAnsi="Times New Roman" w:cs="Times New Roman"/>
        </w:rPr>
      </w:pPr>
    </w:p>
    <w:p w14:paraId="22AE1E42" w14:textId="77777777" w:rsidR="005E2527" w:rsidRDefault="005E2527">
      <w:pPr>
        <w:tabs>
          <w:tab w:val="left" w:pos="5415"/>
        </w:tabs>
        <w:rPr>
          <w:rFonts w:ascii="Times New Roman" w:eastAsia="Times New Roman" w:hAnsi="Times New Roman" w:cs="Times New Roman"/>
        </w:rPr>
      </w:pPr>
    </w:p>
    <w:p w14:paraId="0CCB833A" w14:textId="77777777" w:rsidR="005E2527" w:rsidRDefault="005E2527">
      <w:pPr>
        <w:tabs>
          <w:tab w:val="left" w:pos="5415"/>
        </w:tabs>
        <w:rPr>
          <w:rFonts w:ascii="Times New Roman" w:eastAsia="Times New Roman" w:hAnsi="Times New Roman" w:cs="Times New Roman"/>
        </w:rPr>
      </w:pPr>
    </w:p>
    <w:p w14:paraId="7675F2DA" w14:textId="77777777" w:rsidR="005E2527" w:rsidRDefault="005E2527">
      <w:pPr>
        <w:tabs>
          <w:tab w:val="left" w:pos="5415"/>
        </w:tabs>
        <w:rPr>
          <w:rFonts w:ascii="Times New Roman" w:eastAsia="Times New Roman" w:hAnsi="Times New Roman" w:cs="Times New Roman"/>
        </w:rPr>
      </w:pPr>
    </w:p>
    <w:p w14:paraId="25F28A89" w14:textId="77777777" w:rsidR="005E2527" w:rsidRDefault="00000000">
      <w:pPr>
        <w:tabs>
          <w:tab w:val="left" w:pos="5415"/>
        </w:tabs>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265EA25" wp14:editId="7AD46CF9">
            <wp:extent cx="5943600" cy="2997200"/>
            <wp:effectExtent l="0" t="0" r="0" b="0"/>
            <wp:docPr id="5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2997200"/>
                    </a:xfrm>
                    <a:prstGeom prst="rect">
                      <a:avLst/>
                    </a:prstGeom>
                    <a:ln/>
                  </pic:spPr>
                </pic:pic>
              </a:graphicData>
            </a:graphic>
          </wp:inline>
        </w:drawing>
      </w:r>
    </w:p>
    <w:p w14:paraId="64B96EA0" w14:textId="4B2C7B02"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b/>
        </w:rPr>
        <w:t xml:space="preserve">Figure 9.1 </w:t>
      </w:r>
      <w:r>
        <w:rPr>
          <w:rFonts w:ascii="Times New Roman" w:eastAsia="Times New Roman" w:hAnsi="Times New Roman" w:cs="Times New Roman"/>
        </w:rPr>
        <w:t xml:space="preserve">Violin plots for the counts of vegetation classes (A-D) and the Shannon Index applied to the proportions of each </w:t>
      </w:r>
      <w:r w:rsidRPr="00F753A8">
        <w:rPr>
          <w:rFonts w:ascii="Times New Roman" w:eastAsia="Times New Roman" w:hAnsi="Times New Roman" w:cs="Times New Roman"/>
        </w:rPr>
        <w:t xml:space="preserve">species in each vegetation class (E-H) comparing </w:t>
      </w:r>
      <w:r w:rsidRPr="00F753A8">
        <w:rPr>
          <w:rFonts w:ascii="Times New Roman" w:eastAsia="Times New Roman" w:hAnsi="Times New Roman" w:cs="Times New Roman"/>
          <w:i/>
        </w:rPr>
        <w:t xml:space="preserve">A. </w:t>
      </w:r>
      <w:proofErr w:type="spellStart"/>
      <w:r w:rsidRPr="00F753A8">
        <w:rPr>
          <w:rFonts w:ascii="Times New Roman" w:eastAsia="Times New Roman" w:hAnsi="Times New Roman" w:cs="Times New Roman"/>
          <w:i/>
        </w:rPr>
        <w:t>inornatus</w:t>
      </w:r>
      <w:proofErr w:type="spellEnd"/>
      <w:r w:rsidRPr="00F753A8">
        <w:rPr>
          <w:rFonts w:ascii="Times New Roman" w:eastAsia="Times New Roman" w:hAnsi="Times New Roman" w:cs="Times New Roman"/>
          <w:i/>
        </w:rPr>
        <w:t xml:space="preserve"> </w:t>
      </w:r>
      <w:r w:rsidRPr="00F753A8">
        <w:rPr>
          <w:rFonts w:ascii="Times New Roman" w:eastAsia="Times New Roman" w:hAnsi="Times New Roman" w:cs="Times New Roman"/>
        </w:rPr>
        <w:t xml:space="preserve">(red), </w:t>
      </w:r>
      <w:r w:rsidRPr="00F753A8">
        <w:rPr>
          <w:rFonts w:ascii="Times New Roman" w:eastAsia="Times New Roman" w:hAnsi="Times New Roman" w:cs="Times New Roman"/>
          <w:i/>
        </w:rPr>
        <w:t xml:space="preserve">A. neomexicanus </w:t>
      </w:r>
      <w:r w:rsidRPr="00F753A8">
        <w:rPr>
          <w:rFonts w:ascii="Times New Roman" w:eastAsia="Times New Roman" w:hAnsi="Times New Roman" w:cs="Times New Roman"/>
        </w:rPr>
        <w:t xml:space="preserve">(purple) and </w:t>
      </w:r>
      <w:r w:rsidRPr="00F753A8">
        <w:rPr>
          <w:rFonts w:ascii="Times New Roman" w:eastAsia="Times New Roman" w:hAnsi="Times New Roman" w:cs="Times New Roman"/>
          <w:i/>
        </w:rPr>
        <w:t xml:space="preserve">A. marmoratus </w:t>
      </w:r>
      <w:r w:rsidRPr="00F753A8">
        <w:rPr>
          <w:rFonts w:ascii="Times New Roman" w:eastAsia="Gungsuh" w:hAnsi="Times New Roman" w:cs="Times New Roman"/>
        </w:rPr>
        <w:t xml:space="preserve">(blue). Statistical differences are based on 100 subsamples of 500 individual lizards from each species. From left to right, each column resembles a different resolution of </w:t>
      </w:r>
      <w:proofErr w:type="spellStart"/>
      <w:r w:rsidRPr="00F753A8">
        <w:rPr>
          <w:rFonts w:ascii="Times New Roman" w:eastAsia="Gungsuh" w:hAnsi="Times New Roman" w:cs="Times New Roman"/>
        </w:rPr>
        <w:t>Landfire</w:t>
      </w:r>
      <w:proofErr w:type="spellEnd"/>
      <w:r w:rsidRPr="00F753A8">
        <w:rPr>
          <w:rFonts w:ascii="Times New Roman" w:eastAsia="Gungsuh" w:hAnsi="Times New Roman" w:cs="Times New Roman"/>
        </w:rPr>
        <w:t xml:space="preserve"> data from the highest resolution, pixel values (A, E), to the lowest resolution, ‘CLASS’ (D, H). Significant differences in diversity between groups, as determined by a Kruskal-</w:t>
      </w:r>
      <w:proofErr w:type="gramStart"/>
      <w:r w:rsidRPr="00F753A8">
        <w:rPr>
          <w:rFonts w:ascii="Times New Roman" w:eastAsia="Gungsuh" w:hAnsi="Times New Roman" w:cs="Times New Roman"/>
        </w:rPr>
        <w:t>Wallis</w:t>
      </w:r>
      <w:proofErr w:type="gramEnd"/>
      <w:r w:rsidRPr="00F753A8">
        <w:rPr>
          <w:rFonts w:ascii="Times New Roman" w:eastAsia="Gungsuh" w:hAnsi="Times New Roman" w:cs="Times New Roman"/>
        </w:rPr>
        <w:t xml:space="preserve"> test followed by post hoc Pairwise Wilcox tests using a Benjamini-Hochberg correction, are indicated as follows: p-value ≤ 0.001 (***), p-value ≤ 0.01 (**), p-value ≤ 0.05 (*), p-value ≤ 0.1 (.)</w:t>
      </w:r>
      <w:r>
        <w:rPr>
          <w:rFonts w:ascii="Gungsuh" w:eastAsia="Gungsuh" w:hAnsi="Gungsuh" w:cs="Gungsuh"/>
        </w:rPr>
        <w:t xml:space="preserve"> </w:t>
      </w:r>
    </w:p>
    <w:p w14:paraId="38D5ED8E" w14:textId="77777777" w:rsidR="005E2527" w:rsidRDefault="005E2527">
      <w:pPr>
        <w:tabs>
          <w:tab w:val="left" w:pos="5415"/>
        </w:tabs>
        <w:rPr>
          <w:rFonts w:ascii="Times New Roman" w:eastAsia="Times New Roman" w:hAnsi="Times New Roman" w:cs="Times New Roman"/>
        </w:rPr>
      </w:pPr>
    </w:p>
    <w:p w14:paraId="02073CFA" w14:textId="77777777" w:rsidR="005E2527" w:rsidRDefault="005E2527">
      <w:pPr>
        <w:tabs>
          <w:tab w:val="left" w:pos="5415"/>
        </w:tabs>
        <w:rPr>
          <w:rFonts w:ascii="Times New Roman" w:eastAsia="Times New Roman" w:hAnsi="Times New Roman" w:cs="Times New Roman"/>
        </w:rPr>
      </w:pPr>
    </w:p>
    <w:p w14:paraId="6ABAF4DF" w14:textId="77777777"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2657D00" wp14:editId="4A793C3F">
            <wp:extent cx="4645895" cy="3938588"/>
            <wp:effectExtent l="0" t="0" r="0" b="0"/>
            <wp:docPr id="5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645895" cy="3938588"/>
                    </a:xfrm>
                    <a:prstGeom prst="rect">
                      <a:avLst/>
                    </a:prstGeom>
                    <a:ln/>
                  </pic:spPr>
                </pic:pic>
              </a:graphicData>
            </a:graphic>
          </wp:inline>
        </w:drawing>
      </w:r>
    </w:p>
    <w:p w14:paraId="2150F5BE" w14:textId="77777777"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b/>
        </w:rPr>
        <w:t xml:space="preserve">Figure 9.2 </w:t>
      </w:r>
      <w:r>
        <w:rPr>
          <w:rFonts w:ascii="Times New Roman" w:eastAsia="Times New Roman" w:hAnsi="Times New Roman" w:cs="Times New Roman"/>
        </w:rPr>
        <w:t xml:space="preserve">Venn diagrams showing the shared and unique habitat classifications for each of our three lizard species based on </w:t>
      </w:r>
      <w:proofErr w:type="spellStart"/>
      <w:r>
        <w:rPr>
          <w:rFonts w:ascii="Times New Roman" w:eastAsia="Times New Roman" w:hAnsi="Times New Roman" w:cs="Times New Roman"/>
        </w:rPr>
        <w:t>Landfire</w:t>
      </w:r>
      <w:proofErr w:type="spellEnd"/>
      <w:r>
        <w:rPr>
          <w:rFonts w:ascii="Times New Roman" w:eastAsia="Times New Roman" w:hAnsi="Times New Roman" w:cs="Times New Roman"/>
        </w:rPr>
        <w:t xml:space="preserve"> vegetation classes at the (A) highest-resolution pixel values, (B) high-resolution ‘GROUP,’ (C) medium-resolution ‘MACROGROUP,’ and (D) low-resolution ‘CLASS’.</w:t>
      </w:r>
    </w:p>
    <w:p w14:paraId="39F045A0" w14:textId="77777777" w:rsidR="005E2527" w:rsidRDefault="005E2527">
      <w:pPr>
        <w:tabs>
          <w:tab w:val="left" w:pos="5415"/>
        </w:tabs>
        <w:rPr>
          <w:rFonts w:ascii="Times New Roman" w:eastAsia="Times New Roman" w:hAnsi="Times New Roman" w:cs="Times New Roman"/>
        </w:rPr>
      </w:pPr>
    </w:p>
    <w:p w14:paraId="229E67D4" w14:textId="77777777" w:rsidR="00F753A8" w:rsidRDefault="00F753A8">
      <w:pPr>
        <w:tabs>
          <w:tab w:val="left" w:pos="5415"/>
        </w:tabs>
        <w:rPr>
          <w:rFonts w:ascii="Times New Roman" w:eastAsia="Times New Roman" w:hAnsi="Times New Roman" w:cs="Times New Roman"/>
        </w:rPr>
      </w:pPr>
    </w:p>
    <w:p w14:paraId="7ADB5064" w14:textId="28365E0D" w:rsidR="00F753A8" w:rsidRPr="00F753A8" w:rsidRDefault="00F753A8">
      <w:pPr>
        <w:tabs>
          <w:tab w:val="left" w:pos="5415"/>
        </w:tabs>
        <w:rPr>
          <w:rFonts w:ascii="Times New Roman" w:eastAsia="Times New Roman" w:hAnsi="Times New Roman" w:cs="Times New Roman"/>
          <w:b/>
          <w:bCs/>
        </w:rPr>
      </w:pPr>
      <w:r w:rsidRPr="00F753A8">
        <w:rPr>
          <w:rFonts w:ascii="Times New Roman" w:eastAsia="Times New Roman" w:hAnsi="Times New Roman" w:cs="Times New Roman"/>
          <w:b/>
          <w:bCs/>
        </w:rPr>
        <w:t>References:</w:t>
      </w:r>
    </w:p>
    <w:p w14:paraId="51ABEF87" w14:textId="77777777"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rPr>
        <w:t xml:space="preserve">1. Axtell, Ralph W. "Geographic distribution of the unisexual whiptail </w:t>
      </w:r>
      <w:proofErr w:type="spellStart"/>
      <w:r>
        <w:rPr>
          <w:rFonts w:ascii="Times New Roman" w:eastAsia="Times New Roman" w:hAnsi="Times New Roman" w:cs="Times New Roman"/>
        </w:rPr>
        <w:t>Cnemidophorus</w:t>
      </w:r>
      <w:proofErr w:type="spellEnd"/>
      <w:r>
        <w:rPr>
          <w:rFonts w:ascii="Times New Roman" w:eastAsia="Times New Roman" w:hAnsi="Times New Roman" w:cs="Times New Roman"/>
        </w:rPr>
        <w:t xml:space="preserve"> neomexicanus (</w:t>
      </w:r>
      <w:proofErr w:type="spellStart"/>
      <w:r>
        <w:rPr>
          <w:rFonts w:ascii="Times New Roman" w:eastAsia="Times New Roman" w:hAnsi="Times New Roman" w:cs="Times New Roman"/>
        </w:rPr>
        <w:t>Sauria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Teiidae</w:t>
      </w:r>
      <w:proofErr w:type="spellEnd"/>
      <w:r>
        <w:rPr>
          <w:rFonts w:ascii="Times New Roman" w:eastAsia="Times New Roman" w:hAnsi="Times New Roman" w:cs="Times New Roman"/>
        </w:rPr>
        <w:t xml:space="preserve">): Present and Past." </w:t>
      </w:r>
      <w:proofErr w:type="spellStart"/>
      <w:r>
        <w:rPr>
          <w:rFonts w:ascii="Times New Roman" w:eastAsia="Times New Roman" w:hAnsi="Times New Roman" w:cs="Times New Roman"/>
        </w:rPr>
        <w:t>Herpetologica</w:t>
      </w:r>
      <w:proofErr w:type="spellEnd"/>
      <w:r>
        <w:rPr>
          <w:rFonts w:ascii="Times New Roman" w:eastAsia="Times New Roman" w:hAnsi="Times New Roman" w:cs="Times New Roman"/>
        </w:rPr>
        <w:t xml:space="preserve"> 22.4 (1966): 241-253.</w:t>
      </w:r>
    </w:p>
    <w:p w14:paraId="4C10F72B" w14:textId="77777777"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rPr>
        <w:t>2. NatureServe.     (NatureServe Arlington, Virginia, 2009).</w:t>
      </w:r>
    </w:p>
    <w:p w14:paraId="41E70064" w14:textId="77777777" w:rsidR="005E2527" w:rsidRDefault="00000000">
      <w:pPr>
        <w:tabs>
          <w:tab w:val="left" w:pos="5415"/>
        </w:tabs>
        <w:rPr>
          <w:rFonts w:ascii="Times New Roman" w:eastAsia="Times New Roman" w:hAnsi="Times New Roman" w:cs="Times New Roman"/>
          <w:color w:val="222222"/>
          <w:highlight w:val="white"/>
        </w:rPr>
      </w:pPr>
      <w:r>
        <w:rPr>
          <w:rFonts w:ascii="Times New Roman" w:eastAsia="Times New Roman" w:hAnsi="Times New Roman" w:cs="Times New Roman"/>
        </w:rPr>
        <w:t xml:space="preserve">3. </w:t>
      </w:r>
      <w:r>
        <w:rPr>
          <w:rFonts w:ascii="Times New Roman" w:eastAsia="Times New Roman" w:hAnsi="Times New Roman" w:cs="Times New Roman"/>
          <w:color w:val="222222"/>
          <w:highlight w:val="white"/>
        </w:rPr>
        <w:t xml:space="preserve">Edwards, James L. "Research and societal benefits of the Global Biodiversity Information Facility." </w:t>
      </w:r>
      <w:proofErr w:type="spellStart"/>
      <w:r>
        <w:rPr>
          <w:rFonts w:ascii="Times New Roman" w:eastAsia="Times New Roman" w:hAnsi="Times New Roman" w:cs="Times New Roman"/>
          <w:i/>
          <w:color w:val="222222"/>
          <w:highlight w:val="white"/>
        </w:rPr>
        <w:t>BioScience</w:t>
      </w:r>
      <w:proofErr w:type="spellEnd"/>
      <w:r>
        <w:rPr>
          <w:rFonts w:ascii="Times New Roman" w:eastAsia="Times New Roman" w:hAnsi="Times New Roman" w:cs="Times New Roman"/>
          <w:color w:val="222222"/>
          <w:highlight w:val="white"/>
        </w:rPr>
        <w:t xml:space="preserve"> 54.6 (2004): 485-486.</w:t>
      </w:r>
    </w:p>
    <w:p w14:paraId="5606D903" w14:textId="77777777" w:rsidR="005E2527" w:rsidRDefault="00000000">
      <w:pPr>
        <w:tabs>
          <w:tab w:val="left" w:pos="5415"/>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4. Rollins, Matthew G. "LANDFIRE: a nationally consistent vegetation, wildland fire, and fuel assessment." </w:t>
      </w:r>
      <w:r>
        <w:rPr>
          <w:rFonts w:ascii="Times New Roman" w:eastAsia="Times New Roman" w:hAnsi="Times New Roman" w:cs="Times New Roman"/>
          <w:i/>
          <w:color w:val="222222"/>
          <w:highlight w:val="white"/>
        </w:rPr>
        <w:t>International Journal of Wildland Fire</w:t>
      </w:r>
      <w:r>
        <w:rPr>
          <w:rFonts w:ascii="Times New Roman" w:eastAsia="Times New Roman" w:hAnsi="Times New Roman" w:cs="Times New Roman"/>
          <w:color w:val="222222"/>
          <w:highlight w:val="white"/>
        </w:rPr>
        <w:t xml:space="preserve"> 18.3 (2009): 235-249.</w:t>
      </w:r>
    </w:p>
    <w:p w14:paraId="5FC03C60" w14:textId="77777777" w:rsidR="005E2527" w:rsidRDefault="00000000">
      <w:pPr>
        <w:tabs>
          <w:tab w:val="left" w:pos="5415"/>
        </w:tabs>
        <w:rPr>
          <w:rFonts w:ascii="Times New Roman" w:eastAsia="Times New Roman" w:hAnsi="Times New Roman" w:cs="Times New Roman"/>
        </w:rPr>
      </w:pPr>
      <w:r>
        <w:rPr>
          <w:rFonts w:ascii="Times New Roman" w:eastAsia="Times New Roman" w:hAnsi="Times New Roman" w:cs="Times New Roman"/>
        </w:rPr>
        <w:t>5. R Core Team. R: A language and environment for statistical computing. Published online 2022. https://www.R-project.org/</w:t>
      </w:r>
    </w:p>
    <w:p w14:paraId="6CD92B7A" w14:textId="77777777" w:rsidR="005E2527" w:rsidRDefault="005E2527">
      <w:pPr>
        <w:tabs>
          <w:tab w:val="left" w:pos="5415"/>
        </w:tabs>
        <w:rPr>
          <w:rFonts w:ascii="Times New Roman" w:eastAsia="Times New Roman" w:hAnsi="Times New Roman" w:cs="Times New Roman"/>
        </w:rPr>
      </w:pPr>
    </w:p>
    <w:sectPr w:rsidR="005E2527">
      <w:headerReference w:type="default" r:id="rId9"/>
      <w:footerReference w:type="even" r:id="rId10"/>
      <w:footerReference w:type="default" r:id="rId11"/>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61373" w14:textId="77777777" w:rsidR="00101FF3" w:rsidRDefault="00101FF3">
      <w:pPr>
        <w:spacing w:line="240" w:lineRule="auto"/>
      </w:pPr>
      <w:r>
        <w:separator/>
      </w:r>
    </w:p>
  </w:endnote>
  <w:endnote w:type="continuationSeparator" w:id="0">
    <w:p w14:paraId="62BEB0C7" w14:textId="77777777" w:rsidR="00101FF3" w:rsidRDefault="00101F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9EEF5" w14:textId="77777777" w:rsidR="005E2527"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8610978" w14:textId="77777777" w:rsidR="005E2527" w:rsidRDefault="005E2527">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8DEA5" w14:textId="77777777" w:rsidR="005E2527"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F753A8">
      <w:rPr>
        <w:noProof/>
        <w:color w:val="000000"/>
      </w:rPr>
      <w:t>1</w:t>
    </w:r>
    <w:r>
      <w:rPr>
        <w:color w:val="000000"/>
      </w:rPr>
      <w:fldChar w:fldCharType="end"/>
    </w:r>
  </w:p>
  <w:p w14:paraId="24E214EB" w14:textId="77777777" w:rsidR="005E2527" w:rsidRDefault="005E2527">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41D9C" w14:textId="77777777" w:rsidR="00101FF3" w:rsidRDefault="00101FF3">
      <w:pPr>
        <w:spacing w:line="240" w:lineRule="auto"/>
      </w:pPr>
      <w:r>
        <w:separator/>
      </w:r>
    </w:p>
  </w:footnote>
  <w:footnote w:type="continuationSeparator" w:id="0">
    <w:p w14:paraId="59E1EE20" w14:textId="77777777" w:rsidR="00101FF3" w:rsidRDefault="00101F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F81C1" w14:textId="77777777" w:rsidR="005E2527" w:rsidRDefault="005E2527">
    <w:pPr>
      <w:spacing w:line="240" w:lineRule="auto"/>
      <w:rPr>
        <w:rFonts w:ascii="Times New Roman" w:eastAsia="Times New Roman" w:hAnsi="Times New Roman" w:cs="Times New Roman"/>
      </w:rPr>
    </w:pPr>
  </w:p>
  <w:p w14:paraId="6CC1C4BE" w14:textId="77777777" w:rsidR="005E2527" w:rsidRDefault="005E2527">
    <w:pPr>
      <w:spacing w:line="240" w:lineRule="auto"/>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527"/>
    <w:rsid w:val="000669D2"/>
    <w:rsid w:val="00101FF3"/>
    <w:rsid w:val="001D45AA"/>
    <w:rsid w:val="005B1BB2"/>
    <w:rsid w:val="005E2527"/>
    <w:rsid w:val="00D0694F"/>
    <w:rsid w:val="00F7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096E"/>
  <w15:docId w15:val="{17EE96F3-DEFC-436B-A80D-A7EB92D4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1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149FC"/>
    <w:rPr>
      <w:b/>
      <w:bCs/>
    </w:rPr>
  </w:style>
  <w:style w:type="character" w:customStyle="1" w:styleId="CommentSubjectChar">
    <w:name w:val="Comment Subject Char"/>
    <w:basedOn w:val="CommentTextChar"/>
    <w:link w:val="CommentSubject"/>
    <w:uiPriority w:val="99"/>
    <w:semiHidden/>
    <w:rsid w:val="00C149FC"/>
    <w:rPr>
      <w:b/>
      <w:bCs/>
      <w:sz w:val="20"/>
      <w:szCs w:val="20"/>
    </w:r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7">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53CB2"/>
    <w:pPr>
      <w:spacing w:line="240" w:lineRule="auto"/>
    </w:pPr>
  </w:style>
  <w:style w:type="table" w:customStyle="1" w:styleId="a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5F44D6"/>
  </w:style>
  <w:style w:type="table" w:customStyle="1" w:styleId="TableGrid1">
    <w:name w:val="Table Grid1"/>
    <w:basedOn w:val="TableNormal"/>
    <w:next w:val="TableGrid"/>
    <w:uiPriority w:val="39"/>
    <w:rsid w:val="007B6C42"/>
    <w:pPr>
      <w:spacing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6C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0ECC"/>
    <w:pPr>
      <w:tabs>
        <w:tab w:val="center" w:pos="4680"/>
        <w:tab w:val="right" w:pos="9360"/>
      </w:tabs>
      <w:spacing w:line="240" w:lineRule="auto"/>
    </w:pPr>
  </w:style>
  <w:style w:type="character" w:customStyle="1" w:styleId="FooterChar">
    <w:name w:val="Footer Char"/>
    <w:basedOn w:val="DefaultParagraphFont"/>
    <w:link w:val="Footer"/>
    <w:uiPriority w:val="99"/>
    <w:rsid w:val="00290ECC"/>
  </w:style>
  <w:style w:type="character" w:styleId="PageNumber">
    <w:name w:val="page number"/>
    <w:basedOn w:val="DefaultParagraphFont"/>
    <w:uiPriority w:val="99"/>
    <w:semiHidden/>
    <w:unhideWhenUsed/>
    <w:rsid w:val="00290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8KaHxksjQRHpyWpgQz22YVUgGg==">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4330</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BenCamper</dc:creator>
  <cp:lastModifiedBy>Ben Camper</cp:lastModifiedBy>
  <cp:revision>2</cp:revision>
  <dcterms:created xsi:type="dcterms:W3CDTF">2024-11-07T15:56:00Z</dcterms:created>
  <dcterms:modified xsi:type="dcterms:W3CDTF">2024-11-07T15:56:00Z</dcterms:modified>
</cp:coreProperties>
</file>