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086C87B" w14:textId="77777777" w:rsidR="00C7147A" w:rsidRPr="00CB4595" w:rsidRDefault="00C7147A" w:rsidP="00C7147A">
      <w:pPr>
        <w:spacing w:line="480" w:lineRule="auto"/>
        <w:rPr>
          <w:rFonts w:ascii="Times" w:hAnsi="Times"/>
          <w:b/>
          <w:bCs/>
          <w:u w:val="single"/>
        </w:rPr>
      </w:pPr>
      <w:r w:rsidRPr="00CB4595">
        <w:rPr>
          <w:rFonts w:ascii="Times" w:hAnsi="Times"/>
          <w:b/>
          <w:bCs/>
          <w:u w:val="single"/>
        </w:rPr>
        <w:t xml:space="preserve">Supplementary Tables: </w:t>
      </w:r>
    </w:p>
    <w:p w14:paraId="3DC5DB65" w14:textId="77777777" w:rsidR="00C7147A" w:rsidRPr="00CB4595" w:rsidRDefault="00C7147A" w:rsidP="00C7147A">
      <w:pPr>
        <w:widowControl w:val="0"/>
        <w:autoSpaceDE w:val="0"/>
        <w:autoSpaceDN w:val="0"/>
        <w:adjustRightInd w:val="0"/>
        <w:spacing w:line="480" w:lineRule="auto"/>
        <w:rPr>
          <w:rFonts w:ascii="Times" w:hAnsi="Times"/>
          <w:b/>
        </w:rPr>
      </w:pPr>
      <w:r w:rsidRPr="00CB4595">
        <w:rPr>
          <w:rFonts w:ascii="Times" w:hAnsi="Times"/>
          <w:b/>
        </w:rPr>
        <w:t xml:space="preserve">Table 1. Associations between soluble immune factors and </w:t>
      </w:r>
      <w:r w:rsidRPr="00CB4595">
        <w:rPr>
          <w:rFonts w:ascii="Times" w:hAnsi="Times"/>
          <w:b/>
          <w:i/>
          <w:iCs/>
        </w:rPr>
        <w:t>S. mitis-</w:t>
      </w:r>
      <w:r w:rsidRPr="00CB4595">
        <w:rPr>
          <w:rFonts w:ascii="Times" w:hAnsi="Times"/>
          <w:b/>
        </w:rPr>
        <w:t>binding IgA and IgG (n=40)</w:t>
      </w:r>
    </w:p>
    <w:tbl>
      <w:tblPr>
        <w:tblStyle w:val="TableGrid"/>
        <w:tblW w:w="0" w:type="auto"/>
        <w:tblInd w:w="-5" w:type="dxa"/>
        <w:tblLook w:val="04A0" w:firstRow="1" w:lastRow="0" w:firstColumn="1" w:lastColumn="0" w:noHBand="0" w:noVBand="1"/>
      </w:tblPr>
      <w:tblGrid>
        <w:gridCol w:w="1762"/>
        <w:gridCol w:w="1737"/>
        <w:gridCol w:w="1737"/>
      </w:tblGrid>
      <w:tr w:rsidR="00C7147A" w:rsidRPr="00CB4595" w14:paraId="4946580A" w14:textId="77777777" w:rsidTr="008D3854">
        <w:tc>
          <w:tcPr>
            <w:tcW w:w="1762" w:type="dxa"/>
            <w:shd w:val="clear" w:color="auto" w:fill="D9D9D9" w:themeFill="background1" w:themeFillShade="D9"/>
          </w:tcPr>
          <w:p w14:paraId="6A7E7AD2" w14:textId="77777777" w:rsidR="00C7147A" w:rsidRPr="00CB4595" w:rsidRDefault="00C7147A" w:rsidP="008D3854">
            <w:pPr>
              <w:widowControl w:val="0"/>
              <w:autoSpaceDE w:val="0"/>
              <w:autoSpaceDN w:val="0"/>
              <w:adjustRightInd w:val="0"/>
              <w:rPr>
                <w:rFonts w:ascii="Times" w:hAnsi="Times"/>
                <w:bCs/>
              </w:rPr>
            </w:pPr>
          </w:p>
        </w:tc>
        <w:tc>
          <w:tcPr>
            <w:tcW w:w="1737" w:type="dxa"/>
            <w:shd w:val="clear" w:color="auto" w:fill="D9D9D9" w:themeFill="background1" w:themeFillShade="D9"/>
          </w:tcPr>
          <w:p w14:paraId="113AAEEC" w14:textId="77777777" w:rsidR="00C7147A" w:rsidRPr="00CB4595" w:rsidRDefault="00C7147A" w:rsidP="008D3854">
            <w:pPr>
              <w:widowControl w:val="0"/>
              <w:autoSpaceDE w:val="0"/>
              <w:autoSpaceDN w:val="0"/>
              <w:adjustRightInd w:val="0"/>
              <w:rPr>
                <w:rFonts w:ascii="Times" w:hAnsi="Times"/>
                <w:bCs/>
              </w:rPr>
            </w:pPr>
            <w:r w:rsidRPr="00CB4595">
              <w:rPr>
                <w:rFonts w:ascii="Times" w:hAnsi="Times"/>
                <w:bCs/>
                <w:i/>
                <w:iCs/>
              </w:rPr>
              <w:t>S. mitis-</w:t>
            </w:r>
            <w:r w:rsidRPr="00CB4595">
              <w:rPr>
                <w:rFonts w:ascii="Times" w:hAnsi="Times"/>
                <w:bCs/>
              </w:rPr>
              <w:t>binding</w:t>
            </w:r>
            <w:r w:rsidRPr="00CB4595">
              <w:rPr>
                <w:rFonts w:ascii="Times" w:hAnsi="Times"/>
                <w:bCs/>
                <w:i/>
                <w:iCs/>
              </w:rPr>
              <w:t xml:space="preserve"> </w:t>
            </w:r>
            <w:r w:rsidRPr="00CB4595">
              <w:rPr>
                <w:rFonts w:ascii="Times" w:hAnsi="Times"/>
                <w:bCs/>
              </w:rPr>
              <w:t xml:space="preserve">IgA </w:t>
            </w:r>
          </w:p>
        </w:tc>
        <w:tc>
          <w:tcPr>
            <w:tcW w:w="1737" w:type="dxa"/>
            <w:shd w:val="clear" w:color="auto" w:fill="D9D9D9" w:themeFill="background1" w:themeFillShade="D9"/>
          </w:tcPr>
          <w:p w14:paraId="1355450A" w14:textId="77777777" w:rsidR="00C7147A" w:rsidRPr="00CB4595" w:rsidRDefault="00C7147A" w:rsidP="008D3854">
            <w:pPr>
              <w:widowControl w:val="0"/>
              <w:autoSpaceDE w:val="0"/>
              <w:autoSpaceDN w:val="0"/>
              <w:adjustRightInd w:val="0"/>
              <w:rPr>
                <w:rFonts w:ascii="Times" w:hAnsi="Times"/>
                <w:bCs/>
              </w:rPr>
            </w:pPr>
            <w:r w:rsidRPr="00CB4595">
              <w:rPr>
                <w:rFonts w:ascii="Times" w:hAnsi="Times"/>
                <w:bCs/>
                <w:i/>
                <w:iCs/>
              </w:rPr>
              <w:t>S. mitis-</w:t>
            </w:r>
            <w:r w:rsidRPr="00CB4595">
              <w:rPr>
                <w:rFonts w:ascii="Times" w:hAnsi="Times"/>
                <w:bCs/>
              </w:rPr>
              <w:t xml:space="preserve">binding IgG </w:t>
            </w:r>
          </w:p>
        </w:tc>
      </w:tr>
      <w:tr w:rsidR="00C7147A" w:rsidRPr="00CB4595" w14:paraId="4CB8F5B6" w14:textId="77777777" w:rsidTr="008D3854">
        <w:tc>
          <w:tcPr>
            <w:tcW w:w="1762" w:type="dxa"/>
            <w:shd w:val="clear" w:color="auto" w:fill="D9D9D9" w:themeFill="background1" w:themeFillShade="D9"/>
          </w:tcPr>
          <w:p w14:paraId="2AAC5572" w14:textId="77777777" w:rsidR="00C7147A" w:rsidRPr="00CB4595" w:rsidRDefault="00C7147A" w:rsidP="008D3854">
            <w:pPr>
              <w:widowControl w:val="0"/>
              <w:autoSpaceDE w:val="0"/>
              <w:autoSpaceDN w:val="0"/>
              <w:adjustRightInd w:val="0"/>
              <w:rPr>
                <w:rFonts w:ascii="Times" w:hAnsi="Times"/>
                <w:bCs/>
              </w:rPr>
            </w:pPr>
            <w:proofErr w:type="spellStart"/>
            <w:r w:rsidRPr="00CB4595">
              <w:rPr>
                <w:rFonts w:ascii="Times" w:hAnsi="Times"/>
                <w:bCs/>
              </w:rPr>
              <w:t>sE</w:t>
            </w:r>
            <w:proofErr w:type="spellEnd"/>
            <w:r w:rsidRPr="00CB4595">
              <w:rPr>
                <w:rFonts w:ascii="Times" w:hAnsi="Times"/>
                <w:bCs/>
              </w:rPr>
              <w:t>-cad</w:t>
            </w:r>
          </w:p>
        </w:tc>
        <w:tc>
          <w:tcPr>
            <w:tcW w:w="1737" w:type="dxa"/>
          </w:tcPr>
          <w:p w14:paraId="3056B9C7" w14:textId="77777777" w:rsidR="00C7147A" w:rsidRPr="00D84D42" w:rsidRDefault="00C7147A" w:rsidP="008D3854">
            <w:pPr>
              <w:widowControl w:val="0"/>
              <w:autoSpaceDE w:val="0"/>
              <w:autoSpaceDN w:val="0"/>
              <w:adjustRightInd w:val="0"/>
              <w:rPr>
                <w:rFonts w:ascii="Times" w:hAnsi="Times"/>
                <w:bCs/>
              </w:rPr>
            </w:pPr>
            <w:r w:rsidRPr="00D84D42">
              <w:rPr>
                <w:rFonts w:ascii="Times" w:hAnsi="Times"/>
                <w:bCs/>
              </w:rPr>
              <w:t>0.102</w:t>
            </w:r>
          </w:p>
        </w:tc>
        <w:tc>
          <w:tcPr>
            <w:tcW w:w="1737" w:type="dxa"/>
          </w:tcPr>
          <w:p w14:paraId="0A21C616" w14:textId="77777777" w:rsidR="00C7147A" w:rsidRPr="00D84D42" w:rsidRDefault="00C7147A" w:rsidP="008D3854">
            <w:pPr>
              <w:widowControl w:val="0"/>
              <w:autoSpaceDE w:val="0"/>
              <w:autoSpaceDN w:val="0"/>
              <w:adjustRightInd w:val="0"/>
              <w:rPr>
                <w:rFonts w:ascii="Times" w:hAnsi="Times"/>
                <w:bCs/>
              </w:rPr>
            </w:pPr>
            <w:r w:rsidRPr="00D84D42">
              <w:rPr>
                <w:rFonts w:ascii="Times" w:hAnsi="Times"/>
                <w:bCs/>
              </w:rPr>
              <w:t>0.234*</w:t>
            </w:r>
          </w:p>
        </w:tc>
      </w:tr>
      <w:tr w:rsidR="00C7147A" w:rsidRPr="00CB4595" w14:paraId="2EF8E021" w14:textId="77777777" w:rsidTr="008D3854">
        <w:tc>
          <w:tcPr>
            <w:tcW w:w="1762" w:type="dxa"/>
            <w:shd w:val="clear" w:color="auto" w:fill="D9D9D9" w:themeFill="background1" w:themeFillShade="D9"/>
          </w:tcPr>
          <w:p w14:paraId="6EB7180A" w14:textId="77777777" w:rsidR="00C7147A" w:rsidRPr="00CB4595" w:rsidRDefault="00C7147A" w:rsidP="008D3854">
            <w:pPr>
              <w:widowControl w:val="0"/>
              <w:autoSpaceDE w:val="0"/>
              <w:autoSpaceDN w:val="0"/>
              <w:adjustRightInd w:val="0"/>
              <w:rPr>
                <w:rFonts w:ascii="Times" w:hAnsi="Times"/>
                <w:bCs/>
              </w:rPr>
            </w:pPr>
            <w:r w:rsidRPr="00CB4595">
              <w:rPr>
                <w:rFonts w:ascii="Times" w:hAnsi="Times"/>
                <w:bCs/>
              </w:rPr>
              <w:t xml:space="preserve">MMP-9 </w:t>
            </w:r>
          </w:p>
        </w:tc>
        <w:tc>
          <w:tcPr>
            <w:tcW w:w="1737" w:type="dxa"/>
          </w:tcPr>
          <w:p w14:paraId="01221812" w14:textId="77777777" w:rsidR="00C7147A" w:rsidRPr="00D84D42" w:rsidRDefault="00C7147A" w:rsidP="008D3854">
            <w:pPr>
              <w:widowControl w:val="0"/>
              <w:autoSpaceDE w:val="0"/>
              <w:autoSpaceDN w:val="0"/>
              <w:adjustRightInd w:val="0"/>
              <w:rPr>
                <w:rFonts w:ascii="Times" w:hAnsi="Times"/>
                <w:bCs/>
              </w:rPr>
            </w:pPr>
            <w:r w:rsidRPr="00D84D42">
              <w:rPr>
                <w:rFonts w:ascii="Times" w:hAnsi="Times"/>
                <w:bCs/>
              </w:rPr>
              <w:t>0.424*</w:t>
            </w:r>
          </w:p>
        </w:tc>
        <w:tc>
          <w:tcPr>
            <w:tcW w:w="1737" w:type="dxa"/>
          </w:tcPr>
          <w:p w14:paraId="14021553" w14:textId="77777777" w:rsidR="00C7147A" w:rsidRPr="00D84D42" w:rsidRDefault="00C7147A" w:rsidP="008D3854">
            <w:pPr>
              <w:widowControl w:val="0"/>
              <w:autoSpaceDE w:val="0"/>
              <w:autoSpaceDN w:val="0"/>
              <w:adjustRightInd w:val="0"/>
              <w:rPr>
                <w:rFonts w:ascii="Times" w:hAnsi="Times"/>
                <w:bCs/>
              </w:rPr>
            </w:pPr>
            <w:r w:rsidRPr="00D84D42">
              <w:rPr>
                <w:rFonts w:ascii="Times" w:hAnsi="Times"/>
                <w:bCs/>
              </w:rPr>
              <w:t>-0.021</w:t>
            </w:r>
          </w:p>
        </w:tc>
      </w:tr>
      <w:tr w:rsidR="00C7147A" w:rsidRPr="00CB4595" w14:paraId="480074B9" w14:textId="77777777" w:rsidTr="008D3854">
        <w:tc>
          <w:tcPr>
            <w:tcW w:w="1762" w:type="dxa"/>
            <w:shd w:val="clear" w:color="auto" w:fill="D9D9D9" w:themeFill="background1" w:themeFillShade="D9"/>
          </w:tcPr>
          <w:p w14:paraId="1CBB2234" w14:textId="77777777" w:rsidR="00C7147A" w:rsidRPr="00CB4595" w:rsidRDefault="00C7147A" w:rsidP="008D3854">
            <w:pPr>
              <w:widowControl w:val="0"/>
              <w:autoSpaceDE w:val="0"/>
              <w:autoSpaceDN w:val="0"/>
              <w:adjustRightInd w:val="0"/>
              <w:rPr>
                <w:rFonts w:ascii="Times" w:hAnsi="Times"/>
                <w:bCs/>
              </w:rPr>
            </w:pPr>
            <w:r w:rsidRPr="00CB4595">
              <w:rPr>
                <w:rFonts w:ascii="Times" w:hAnsi="Times"/>
                <w:bCs/>
              </w:rPr>
              <w:t>IL-1</w:t>
            </w:r>
            <w:r w:rsidRPr="00CB4595">
              <w:rPr>
                <w:rFonts w:ascii="Times" w:hAnsi="Times"/>
                <w:lang w:val="el-GR"/>
              </w:rPr>
              <w:t>α</w:t>
            </w:r>
          </w:p>
        </w:tc>
        <w:tc>
          <w:tcPr>
            <w:tcW w:w="1737" w:type="dxa"/>
          </w:tcPr>
          <w:p w14:paraId="521BD64E" w14:textId="77777777" w:rsidR="00C7147A" w:rsidRPr="00D84D42" w:rsidRDefault="00C7147A" w:rsidP="008D3854">
            <w:pPr>
              <w:widowControl w:val="0"/>
              <w:autoSpaceDE w:val="0"/>
              <w:autoSpaceDN w:val="0"/>
              <w:adjustRightInd w:val="0"/>
              <w:rPr>
                <w:rFonts w:ascii="Times" w:hAnsi="Times"/>
                <w:bCs/>
              </w:rPr>
            </w:pPr>
            <w:r w:rsidRPr="00D84D42">
              <w:rPr>
                <w:rFonts w:ascii="Times" w:hAnsi="Times"/>
                <w:bCs/>
              </w:rPr>
              <w:t>0.201</w:t>
            </w:r>
          </w:p>
        </w:tc>
        <w:tc>
          <w:tcPr>
            <w:tcW w:w="1737" w:type="dxa"/>
          </w:tcPr>
          <w:p w14:paraId="10F95361" w14:textId="77777777" w:rsidR="00C7147A" w:rsidRPr="00D84D42" w:rsidRDefault="00C7147A" w:rsidP="008D3854">
            <w:pPr>
              <w:widowControl w:val="0"/>
              <w:autoSpaceDE w:val="0"/>
              <w:autoSpaceDN w:val="0"/>
              <w:adjustRightInd w:val="0"/>
              <w:rPr>
                <w:rFonts w:ascii="Times" w:hAnsi="Times"/>
                <w:bCs/>
              </w:rPr>
            </w:pPr>
            <w:r w:rsidRPr="00D84D42">
              <w:rPr>
                <w:rFonts w:ascii="Times" w:hAnsi="Times"/>
                <w:bCs/>
              </w:rPr>
              <w:t>0.113</w:t>
            </w:r>
          </w:p>
        </w:tc>
      </w:tr>
      <w:tr w:rsidR="00C7147A" w:rsidRPr="00CB4595" w14:paraId="6BC350DC" w14:textId="77777777" w:rsidTr="008D3854">
        <w:tc>
          <w:tcPr>
            <w:tcW w:w="1762" w:type="dxa"/>
            <w:shd w:val="clear" w:color="auto" w:fill="D9D9D9" w:themeFill="background1" w:themeFillShade="D9"/>
          </w:tcPr>
          <w:p w14:paraId="548AB7CB" w14:textId="77777777" w:rsidR="00C7147A" w:rsidRPr="00CB4595" w:rsidRDefault="00C7147A" w:rsidP="008D3854">
            <w:pPr>
              <w:widowControl w:val="0"/>
              <w:autoSpaceDE w:val="0"/>
              <w:autoSpaceDN w:val="0"/>
              <w:adjustRightInd w:val="0"/>
              <w:rPr>
                <w:rFonts w:ascii="Times" w:hAnsi="Times"/>
                <w:bCs/>
              </w:rPr>
            </w:pPr>
            <w:r w:rsidRPr="00CB4595">
              <w:rPr>
                <w:rFonts w:ascii="Times" w:hAnsi="Times"/>
                <w:bCs/>
              </w:rPr>
              <w:t>IL-1</w:t>
            </w:r>
            <w:r w:rsidRPr="00CB4595">
              <w:rPr>
                <w:rFonts w:ascii="Times" w:hAnsi="Times"/>
                <w:lang w:val="el-GR"/>
              </w:rPr>
              <w:t>β</w:t>
            </w:r>
          </w:p>
        </w:tc>
        <w:tc>
          <w:tcPr>
            <w:tcW w:w="1737" w:type="dxa"/>
          </w:tcPr>
          <w:p w14:paraId="68B9D7BC" w14:textId="77777777" w:rsidR="00C7147A" w:rsidRPr="00D84D42" w:rsidRDefault="00C7147A" w:rsidP="008D3854">
            <w:pPr>
              <w:widowControl w:val="0"/>
              <w:autoSpaceDE w:val="0"/>
              <w:autoSpaceDN w:val="0"/>
              <w:adjustRightInd w:val="0"/>
              <w:rPr>
                <w:rFonts w:ascii="Times" w:hAnsi="Times"/>
                <w:bCs/>
              </w:rPr>
            </w:pPr>
            <w:r w:rsidRPr="00D84D42">
              <w:rPr>
                <w:rFonts w:ascii="Times" w:hAnsi="Times"/>
                <w:bCs/>
              </w:rPr>
              <w:t>0.216</w:t>
            </w:r>
          </w:p>
        </w:tc>
        <w:tc>
          <w:tcPr>
            <w:tcW w:w="1737" w:type="dxa"/>
          </w:tcPr>
          <w:p w14:paraId="3C964434" w14:textId="77777777" w:rsidR="00C7147A" w:rsidRPr="00D84D42" w:rsidRDefault="00C7147A" w:rsidP="008D3854">
            <w:pPr>
              <w:widowControl w:val="0"/>
              <w:autoSpaceDE w:val="0"/>
              <w:autoSpaceDN w:val="0"/>
              <w:adjustRightInd w:val="0"/>
              <w:rPr>
                <w:rFonts w:ascii="Times" w:hAnsi="Times"/>
                <w:bCs/>
              </w:rPr>
            </w:pPr>
            <w:r w:rsidRPr="00D84D42">
              <w:rPr>
                <w:rFonts w:ascii="Times" w:hAnsi="Times"/>
                <w:bCs/>
              </w:rPr>
              <w:t>0.243</w:t>
            </w:r>
          </w:p>
        </w:tc>
      </w:tr>
      <w:tr w:rsidR="00C7147A" w:rsidRPr="00CB4595" w14:paraId="66B11083" w14:textId="77777777" w:rsidTr="008D3854">
        <w:tc>
          <w:tcPr>
            <w:tcW w:w="1762" w:type="dxa"/>
            <w:shd w:val="clear" w:color="auto" w:fill="D9D9D9" w:themeFill="background1" w:themeFillShade="D9"/>
          </w:tcPr>
          <w:p w14:paraId="3F01FD2F" w14:textId="77777777" w:rsidR="00C7147A" w:rsidRPr="00CB4595" w:rsidRDefault="00C7147A" w:rsidP="008D3854">
            <w:pPr>
              <w:widowControl w:val="0"/>
              <w:autoSpaceDE w:val="0"/>
              <w:autoSpaceDN w:val="0"/>
              <w:adjustRightInd w:val="0"/>
              <w:rPr>
                <w:rFonts w:ascii="Times" w:hAnsi="Times"/>
                <w:bCs/>
              </w:rPr>
            </w:pPr>
            <w:r w:rsidRPr="00CB4595">
              <w:rPr>
                <w:rFonts w:ascii="Times" w:hAnsi="Times"/>
                <w:bCs/>
              </w:rPr>
              <w:t>IL-8</w:t>
            </w:r>
          </w:p>
        </w:tc>
        <w:tc>
          <w:tcPr>
            <w:tcW w:w="1737" w:type="dxa"/>
          </w:tcPr>
          <w:p w14:paraId="4A5AD841" w14:textId="77777777" w:rsidR="00C7147A" w:rsidRPr="00D84D42" w:rsidRDefault="00C7147A" w:rsidP="008D3854">
            <w:pPr>
              <w:widowControl w:val="0"/>
              <w:autoSpaceDE w:val="0"/>
              <w:autoSpaceDN w:val="0"/>
              <w:adjustRightInd w:val="0"/>
              <w:rPr>
                <w:rFonts w:ascii="Times" w:hAnsi="Times"/>
                <w:bCs/>
              </w:rPr>
            </w:pPr>
            <w:r w:rsidRPr="00D84D42">
              <w:rPr>
                <w:rFonts w:ascii="Times" w:hAnsi="Times"/>
                <w:bCs/>
              </w:rPr>
              <w:t>0.222</w:t>
            </w:r>
          </w:p>
        </w:tc>
        <w:tc>
          <w:tcPr>
            <w:tcW w:w="1737" w:type="dxa"/>
          </w:tcPr>
          <w:p w14:paraId="1A2709D6" w14:textId="77777777" w:rsidR="00C7147A" w:rsidRPr="00D84D42" w:rsidRDefault="00C7147A" w:rsidP="008D3854">
            <w:pPr>
              <w:widowControl w:val="0"/>
              <w:autoSpaceDE w:val="0"/>
              <w:autoSpaceDN w:val="0"/>
              <w:adjustRightInd w:val="0"/>
              <w:rPr>
                <w:rFonts w:ascii="Times" w:hAnsi="Times"/>
                <w:bCs/>
              </w:rPr>
            </w:pPr>
            <w:r w:rsidRPr="00D84D42">
              <w:rPr>
                <w:rFonts w:ascii="Times" w:hAnsi="Times"/>
                <w:bCs/>
              </w:rPr>
              <w:t>0.158</w:t>
            </w:r>
          </w:p>
        </w:tc>
      </w:tr>
      <w:tr w:rsidR="00C7147A" w:rsidRPr="00CB4595" w14:paraId="01C0D96B" w14:textId="77777777" w:rsidTr="008D3854">
        <w:tc>
          <w:tcPr>
            <w:tcW w:w="1762" w:type="dxa"/>
            <w:shd w:val="clear" w:color="auto" w:fill="D9D9D9" w:themeFill="background1" w:themeFillShade="D9"/>
          </w:tcPr>
          <w:p w14:paraId="31D34D27" w14:textId="77777777" w:rsidR="00C7147A" w:rsidRPr="00CB4595" w:rsidRDefault="00C7147A" w:rsidP="008D3854">
            <w:pPr>
              <w:widowControl w:val="0"/>
              <w:autoSpaceDE w:val="0"/>
              <w:autoSpaceDN w:val="0"/>
              <w:adjustRightInd w:val="0"/>
              <w:rPr>
                <w:rFonts w:ascii="Times" w:hAnsi="Times"/>
                <w:bCs/>
              </w:rPr>
            </w:pPr>
            <w:r w:rsidRPr="00CB4595">
              <w:rPr>
                <w:rFonts w:ascii="Times" w:hAnsi="Times"/>
                <w:bCs/>
              </w:rPr>
              <w:t>MIP-1</w:t>
            </w:r>
            <w:r w:rsidRPr="00CB4595">
              <w:rPr>
                <w:rFonts w:ascii="Times" w:hAnsi="Times"/>
                <w:lang w:val="el-GR"/>
              </w:rPr>
              <w:t>β</w:t>
            </w:r>
          </w:p>
        </w:tc>
        <w:tc>
          <w:tcPr>
            <w:tcW w:w="1737" w:type="dxa"/>
          </w:tcPr>
          <w:p w14:paraId="1243A9A9" w14:textId="77777777" w:rsidR="00C7147A" w:rsidRPr="00D84D42" w:rsidRDefault="00C7147A" w:rsidP="008D3854">
            <w:pPr>
              <w:widowControl w:val="0"/>
              <w:autoSpaceDE w:val="0"/>
              <w:autoSpaceDN w:val="0"/>
              <w:adjustRightInd w:val="0"/>
              <w:rPr>
                <w:rFonts w:ascii="Times" w:hAnsi="Times"/>
                <w:bCs/>
              </w:rPr>
            </w:pPr>
            <w:r w:rsidRPr="00D84D42">
              <w:rPr>
                <w:rFonts w:ascii="Times" w:hAnsi="Times"/>
                <w:bCs/>
              </w:rPr>
              <w:t>0.394*</w:t>
            </w:r>
          </w:p>
        </w:tc>
        <w:tc>
          <w:tcPr>
            <w:tcW w:w="1737" w:type="dxa"/>
          </w:tcPr>
          <w:p w14:paraId="48D07FBA" w14:textId="77777777" w:rsidR="00C7147A" w:rsidRPr="00D84D42" w:rsidRDefault="00C7147A" w:rsidP="008D3854">
            <w:pPr>
              <w:widowControl w:val="0"/>
              <w:autoSpaceDE w:val="0"/>
              <w:autoSpaceDN w:val="0"/>
              <w:adjustRightInd w:val="0"/>
              <w:rPr>
                <w:rFonts w:ascii="Times" w:hAnsi="Times"/>
                <w:bCs/>
              </w:rPr>
            </w:pPr>
            <w:r w:rsidRPr="00D84D42">
              <w:rPr>
                <w:rFonts w:ascii="Times" w:hAnsi="Times"/>
                <w:bCs/>
              </w:rPr>
              <w:t>0.187</w:t>
            </w:r>
          </w:p>
        </w:tc>
      </w:tr>
    </w:tbl>
    <w:p w14:paraId="5E617EFD" w14:textId="77777777" w:rsidR="00C7147A" w:rsidRPr="00CB4595" w:rsidRDefault="00C7147A" w:rsidP="00C7147A">
      <w:pPr>
        <w:spacing w:line="480" w:lineRule="auto"/>
        <w:rPr>
          <w:rFonts w:ascii="Times" w:hAnsi="Times"/>
          <w:bCs/>
        </w:rPr>
      </w:pPr>
      <w:r w:rsidRPr="00CB4595">
        <w:rPr>
          <w:rFonts w:ascii="Times" w:hAnsi="Times"/>
          <w:i/>
          <w:iCs/>
          <w:lang w:val="el-GR"/>
        </w:rPr>
        <w:t>β</w:t>
      </w:r>
      <w:r w:rsidRPr="00CB4595">
        <w:rPr>
          <w:rFonts w:ascii="Times" w:hAnsi="Times"/>
          <w:bCs/>
          <w:i/>
          <w:iCs/>
        </w:rPr>
        <w:t xml:space="preserve"> -coefficients for multiple linear regression models controlling for Gardnerella abundance. *p&lt;0.05, **p&lt;0.01, ***p&lt;0.001, ****p&lt;0.0001</w:t>
      </w:r>
      <w:r w:rsidRPr="00CB4595">
        <w:rPr>
          <w:rFonts w:ascii="Times" w:hAnsi="Times"/>
          <w:bCs/>
        </w:rPr>
        <w:t>.</w:t>
      </w:r>
    </w:p>
    <w:p w14:paraId="5D5194B1" w14:textId="77777777" w:rsidR="00C7147A" w:rsidRPr="00CB4595" w:rsidRDefault="00C7147A" w:rsidP="00C7147A">
      <w:pPr>
        <w:spacing w:after="200" w:line="276" w:lineRule="auto"/>
        <w:jc w:val="both"/>
        <w:rPr>
          <w:rFonts w:ascii="Times" w:hAnsi="Times"/>
          <w:bCs/>
        </w:rPr>
      </w:pPr>
      <w:r w:rsidRPr="00CB4595">
        <w:rPr>
          <w:rFonts w:ascii="Times" w:hAnsi="Times"/>
          <w:bCs/>
        </w:rPr>
        <w:br w:type="page"/>
      </w:r>
    </w:p>
    <w:p w14:paraId="1DC2208C" w14:textId="77777777" w:rsidR="00C7147A" w:rsidRPr="00CB4595" w:rsidRDefault="00C7147A" w:rsidP="00C7147A">
      <w:pPr>
        <w:spacing w:line="480" w:lineRule="auto"/>
        <w:rPr>
          <w:rFonts w:ascii="Times" w:hAnsi="Times"/>
          <w:b/>
          <w:bCs/>
          <w:u w:val="single"/>
        </w:rPr>
      </w:pPr>
      <w:r w:rsidRPr="00CB4595">
        <w:rPr>
          <w:rFonts w:ascii="Times" w:hAnsi="Times"/>
          <w:b/>
          <w:bCs/>
          <w:u w:val="single"/>
        </w:rPr>
        <w:lastRenderedPageBreak/>
        <w:t>Supplementary Figures</w:t>
      </w:r>
    </w:p>
    <w:p w14:paraId="3B6750F5" w14:textId="77777777" w:rsidR="00C7147A" w:rsidRPr="00CB4595" w:rsidRDefault="00C7147A" w:rsidP="00C7147A">
      <w:pPr>
        <w:spacing w:line="480" w:lineRule="auto"/>
        <w:rPr>
          <w:rFonts w:ascii="Times" w:hAnsi="Times"/>
          <w:b/>
          <w:bCs/>
          <w:u w:val="single"/>
        </w:rPr>
      </w:pPr>
      <w:r w:rsidRPr="00CB4595">
        <w:rPr>
          <w:rFonts w:ascii="Times" w:hAnsi="Times"/>
          <w:b/>
          <w:bCs/>
          <w:noProof/>
          <w:lang w:val="en-US"/>
        </w:rPr>
        <w:drawing>
          <wp:inline distT="0" distB="0" distL="0" distR="0" wp14:anchorId="72910691" wp14:editId="40B5EA60">
            <wp:extent cx="5943600" cy="3002280"/>
            <wp:effectExtent l="0" t="0" r="0" b="0"/>
            <wp:docPr id="1739956964" name="Picture 4" descr="A colorful lines in different colors&#10;&#10;Description automatically generated with medium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39956964" name="Picture 4" descr="A colorful lines in different colors&#10;&#10;Description automatically generated with medium confidence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0022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599A664" w14:textId="77777777" w:rsidR="00E01879" w:rsidRPr="00573B20" w:rsidRDefault="00C7147A" w:rsidP="00573B20">
      <w:pPr>
        <w:spacing w:line="480" w:lineRule="auto"/>
        <w:rPr>
          <w:rFonts w:ascii="Times" w:hAnsi="Times"/>
          <w:bCs/>
        </w:rPr>
      </w:pPr>
      <w:r w:rsidRPr="00CB4595">
        <w:rPr>
          <w:rFonts w:ascii="Times" w:hAnsi="Times"/>
          <w:b/>
          <w:bCs/>
        </w:rPr>
        <w:t xml:space="preserve">Supplementary Figure 1. Urethral microbiome composition in uncircumcised Ugandan men. </w:t>
      </w:r>
      <w:r w:rsidRPr="00CB4595">
        <w:rPr>
          <w:rFonts w:ascii="Times" w:hAnsi="Times"/>
        </w:rPr>
        <w:t xml:space="preserve">Stacked bar graph showing the relative abundance of the 20 most abundant taxa in the penile urethral microbiome, arranged in descending order of </w:t>
      </w:r>
      <w:r w:rsidRPr="00CB4595">
        <w:rPr>
          <w:rFonts w:ascii="Times" w:hAnsi="Times"/>
          <w:i/>
          <w:iCs/>
        </w:rPr>
        <w:t>Gardnerella</w:t>
      </w:r>
      <w:r w:rsidRPr="00CB4595">
        <w:rPr>
          <w:rFonts w:ascii="Times" w:hAnsi="Times"/>
        </w:rPr>
        <w:t xml:space="preserve"> relative abundance.</w:t>
      </w:r>
    </w:p>
    <w:sectPr w:rsidR="00E01879" w:rsidRPr="00573B20" w:rsidSect="00C7147A">
      <w:footerReference w:type="even" r:id="rId7"/>
      <w:footerReference w:type="default" r:id="rId8"/>
      <w:pgSz w:w="12240" w:h="15840"/>
      <w:pgMar w:top="1440" w:right="1440" w:bottom="1440" w:left="1440" w:header="720" w:footer="720" w:gutter="0"/>
      <w:pgNumType w:start="1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4863F0C" w14:textId="77777777" w:rsidR="0048795B" w:rsidRDefault="0048795B">
      <w:r>
        <w:separator/>
      </w:r>
    </w:p>
  </w:endnote>
  <w:endnote w:type="continuationSeparator" w:id="0">
    <w:p w14:paraId="17AA530E" w14:textId="77777777" w:rsidR="0048795B" w:rsidRDefault="0048795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imes">
    <w:altName w:val="Times New Roman"/>
    <w:panose1 w:val="00000500000000020000"/>
    <w:charset w:val="00"/>
    <w:family w:val="auto"/>
    <w:pitch w:val="variable"/>
    <w:sig w:usb0="E00002FF" w:usb1="5000205A" w:usb2="00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rPr>
        <w:rStyle w:val="PageNumber"/>
      </w:rPr>
      <w:id w:val="1292566676"/>
      <w:docPartObj>
        <w:docPartGallery w:val="Page Numbers (Bottom of Page)"/>
        <w:docPartUnique/>
      </w:docPartObj>
    </w:sdtPr>
    <w:sdtContent>
      <w:p w14:paraId="520A8C9C" w14:textId="77777777" w:rsidR="00000000" w:rsidRDefault="00C7147A" w:rsidP="003342D5">
        <w:pPr>
          <w:pStyle w:val="Footer"/>
          <w:framePr w:wrap="none" w:vAnchor="text" w:hAnchor="margin" w:xAlign="right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end"/>
        </w:r>
      </w:p>
    </w:sdtContent>
  </w:sdt>
  <w:p w14:paraId="79C1227F" w14:textId="77777777" w:rsidR="00000000" w:rsidRDefault="00000000" w:rsidP="000976DB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rPr>
        <w:rStyle w:val="PageNumber"/>
      </w:rPr>
      <w:id w:val="620891370"/>
      <w:docPartObj>
        <w:docPartGallery w:val="Page Numbers (Bottom of Page)"/>
        <w:docPartUnique/>
      </w:docPartObj>
    </w:sdtPr>
    <w:sdtContent>
      <w:p w14:paraId="42CD1F3C" w14:textId="77777777" w:rsidR="00000000" w:rsidRDefault="00C7147A" w:rsidP="003342D5">
        <w:pPr>
          <w:pStyle w:val="Footer"/>
          <w:framePr w:wrap="none" w:vAnchor="text" w:hAnchor="margin" w:xAlign="right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separate"/>
        </w:r>
        <w:r w:rsidR="00573B20">
          <w:rPr>
            <w:rStyle w:val="PageNumber"/>
            <w:noProof/>
          </w:rPr>
          <w:t>2</w:t>
        </w:r>
        <w:r>
          <w:rPr>
            <w:rStyle w:val="PageNumber"/>
          </w:rPr>
          <w:fldChar w:fldCharType="end"/>
        </w:r>
      </w:p>
    </w:sdtContent>
  </w:sdt>
  <w:p w14:paraId="5234249A" w14:textId="77777777" w:rsidR="00000000" w:rsidRDefault="00000000" w:rsidP="000976DB">
    <w:pPr>
      <w:pStyle w:val="Footer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DF9D46D" w14:textId="77777777" w:rsidR="0048795B" w:rsidRDefault="0048795B">
      <w:r>
        <w:separator/>
      </w:r>
    </w:p>
  </w:footnote>
  <w:footnote w:type="continuationSeparator" w:id="0">
    <w:p w14:paraId="437C3D7B" w14:textId="77777777" w:rsidR="0048795B" w:rsidRDefault="0048795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68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7147A"/>
    <w:rsid w:val="00014A25"/>
    <w:rsid w:val="00072FCD"/>
    <w:rsid w:val="00101097"/>
    <w:rsid w:val="001126F7"/>
    <w:rsid w:val="001529EF"/>
    <w:rsid w:val="001615BD"/>
    <w:rsid w:val="00171A9E"/>
    <w:rsid w:val="00242384"/>
    <w:rsid w:val="002822A6"/>
    <w:rsid w:val="002B2C8D"/>
    <w:rsid w:val="002D5D31"/>
    <w:rsid w:val="002E69E5"/>
    <w:rsid w:val="00310703"/>
    <w:rsid w:val="003350ED"/>
    <w:rsid w:val="0038140F"/>
    <w:rsid w:val="003A6E03"/>
    <w:rsid w:val="003B091D"/>
    <w:rsid w:val="003E32F5"/>
    <w:rsid w:val="00443B7A"/>
    <w:rsid w:val="0047701C"/>
    <w:rsid w:val="0048795B"/>
    <w:rsid w:val="004C7D6C"/>
    <w:rsid w:val="0053354F"/>
    <w:rsid w:val="00551AF3"/>
    <w:rsid w:val="005653F7"/>
    <w:rsid w:val="00571EA8"/>
    <w:rsid w:val="00573B20"/>
    <w:rsid w:val="0058568C"/>
    <w:rsid w:val="005D3F27"/>
    <w:rsid w:val="005D66D2"/>
    <w:rsid w:val="005E1E9D"/>
    <w:rsid w:val="005F310F"/>
    <w:rsid w:val="0060290C"/>
    <w:rsid w:val="00624432"/>
    <w:rsid w:val="00641695"/>
    <w:rsid w:val="00665BAC"/>
    <w:rsid w:val="006B1DBF"/>
    <w:rsid w:val="006C660B"/>
    <w:rsid w:val="006D27C5"/>
    <w:rsid w:val="00720600"/>
    <w:rsid w:val="00722A82"/>
    <w:rsid w:val="00735477"/>
    <w:rsid w:val="00764DCB"/>
    <w:rsid w:val="007F0B80"/>
    <w:rsid w:val="00815511"/>
    <w:rsid w:val="00847DFA"/>
    <w:rsid w:val="008E55FF"/>
    <w:rsid w:val="009B1FE4"/>
    <w:rsid w:val="00A313B4"/>
    <w:rsid w:val="00B33CC9"/>
    <w:rsid w:val="00B33F36"/>
    <w:rsid w:val="00B56128"/>
    <w:rsid w:val="00B64E21"/>
    <w:rsid w:val="00B745D3"/>
    <w:rsid w:val="00B84A01"/>
    <w:rsid w:val="00BD2C5A"/>
    <w:rsid w:val="00BD3A86"/>
    <w:rsid w:val="00C158A6"/>
    <w:rsid w:val="00C348C3"/>
    <w:rsid w:val="00C7147A"/>
    <w:rsid w:val="00C813FB"/>
    <w:rsid w:val="00D3271B"/>
    <w:rsid w:val="00D84D42"/>
    <w:rsid w:val="00D878D7"/>
    <w:rsid w:val="00DC53A1"/>
    <w:rsid w:val="00E01879"/>
    <w:rsid w:val="00E2214D"/>
    <w:rsid w:val="00E2690B"/>
    <w:rsid w:val="00E35EED"/>
    <w:rsid w:val="00EB3FE2"/>
    <w:rsid w:val="00ED18D3"/>
    <w:rsid w:val="00EE26D7"/>
    <w:rsid w:val="00EE3509"/>
    <w:rsid w:val="00F05A0D"/>
    <w:rsid w:val="00F8617E"/>
    <w:rsid w:val="00F902DE"/>
    <w:rsid w:val="00FD5E06"/>
    <w:rsid w:val="00FF0AA7"/>
    <w:rsid w:val="00FF2C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BA175E0"/>
  <w15:chartTrackingRefBased/>
  <w15:docId w15:val="{5EBCE857-D2ED-4B1F-B97F-39A2641A8C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714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C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unhideWhenUsed/>
    <w:rsid w:val="00C7147A"/>
    <w:pPr>
      <w:tabs>
        <w:tab w:val="center" w:pos="4680"/>
        <w:tab w:val="right" w:pos="9360"/>
      </w:tabs>
      <w:jc w:val="both"/>
    </w:pPr>
    <w:rPr>
      <w:rFonts w:asciiTheme="minorHAnsi" w:eastAsiaTheme="minorEastAsia" w:hAnsiTheme="minorHAnsi" w:cstheme="minorBidi"/>
      <w:sz w:val="20"/>
      <w:szCs w:val="20"/>
      <w:lang w:val="en-GB"/>
    </w:rPr>
  </w:style>
  <w:style w:type="character" w:customStyle="1" w:styleId="FooterChar">
    <w:name w:val="Footer Char"/>
    <w:basedOn w:val="DefaultParagraphFont"/>
    <w:link w:val="Footer"/>
    <w:uiPriority w:val="99"/>
    <w:rsid w:val="00C7147A"/>
    <w:rPr>
      <w:rFonts w:eastAsiaTheme="minorEastAsia"/>
      <w:sz w:val="20"/>
      <w:szCs w:val="20"/>
      <w:lang w:val="en-GB"/>
    </w:rPr>
  </w:style>
  <w:style w:type="character" w:styleId="PageNumber">
    <w:name w:val="page number"/>
    <w:basedOn w:val="DefaultParagraphFont"/>
    <w:uiPriority w:val="99"/>
    <w:semiHidden/>
    <w:unhideWhenUsed/>
    <w:rsid w:val="00C7147A"/>
  </w:style>
  <w:style w:type="table" w:styleId="TableGrid">
    <w:name w:val="Table Grid"/>
    <w:basedOn w:val="TableNormal"/>
    <w:uiPriority w:val="39"/>
    <w:rsid w:val="00C7147A"/>
    <w:pPr>
      <w:spacing w:after="0" w:line="240" w:lineRule="auto"/>
      <w:jc w:val="both"/>
    </w:pPr>
    <w:rPr>
      <w:rFonts w:eastAsiaTheme="minorEastAsia"/>
      <w:sz w:val="20"/>
      <w:szCs w:val="20"/>
      <w:lang w:val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LineNumber">
    <w:name w:val="line number"/>
    <w:basedOn w:val="DefaultParagraphFont"/>
    <w:uiPriority w:val="99"/>
    <w:semiHidden/>
    <w:unhideWhenUsed/>
    <w:rsid w:val="00C7147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105</Words>
  <Characters>604</Characters>
  <Application>Microsoft Office Word</Application>
  <DocSecurity>0</DocSecurity>
  <Lines>5</Lines>
  <Paragraphs>1</Paragraphs>
  <ScaleCrop>false</ScaleCrop>
  <Company/>
  <LinksUpToDate>false</LinksUpToDate>
  <CharactersWithSpaces>708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Anthony Jun Pactol Katon</dc:creator>
  <cp:keywords/>
  <dc:description/>
  <cp:lastModifiedBy>Rachel Liu</cp:lastModifiedBy>
  <cp:revision>3</cp:revision>
  <dcterms:created xsi:type="dcterms:W3CDTF">2024-12-20T10:43:00Z</dcterms:created>
  <dcterms:modified xsi:type="dcterms:W3CDTF">2024-12-21T00:51:00Z</dcterms:modified>
</cp:coreProperties>
</file>