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33BB3F">
      <w:pPr>
        <w:spacing w:line="360" w:lineRule="auto"/>
        <w:jc w:val="center"/>
        <w:rPr>
          <w:sz w:val="36"/>
          <w:szCs w:val="36"/>
        </w:rPr>
      </w:pPr>
      <w:r>
        <w:rPr>
          <w:sz w:val="36"/>
          <w:szCs w:val="36"/>
        </w:rPr>
        <w:t>Supplementary Materials for</w:t>
      </w:r>
    </w:p>
    <w:p w14:paraId="0CA33D40">
      <w:pPr>
        <w:spacing w:line="360" w:lineRule="auto"/>
      </w:pPr>
    </w:p>
    <w:p w14:paraId="6D718029">
      <w:pPr>
        <w:spacing w:line="360" w:lineRule="auto"/>
        <w:jc w:val="center"/>
        <w:rPr>
          <w:sz w:val="28"/>
          <w:szCs w:val="28"/>
        </w:rPr>
      </w:pPr>
      <w:r>
        <w:rPr>
          <w:b/>
          <w:bCs/>
          <w:sz w:val="28"/>
          <w:szCs w:val="28"/>
        </w:rPr>
        <w:t>Role of nasal microbiota in regulating host anti-influenza immunity in dogs</w:t>
      </w:r>
    </w:p>
    <w:p w14:paraId="364EA2C6">
      <w:pPr>
        <w:spacing w:line="360" w:lineRule="auto"/>
        <w:jc w:val="center"/>
        <w:rPr>
          <w:sz w:val="28"/>
          <w:szCs w:val="28"/>
        </w:rPr>
      </w:pPr>
    </w:p>
    <w:p w14:paraId="01C765C4">
      <w:pPr>
        <w:spacing w:line="360" w:lineRule="auto"/>
        <w:jc w:val="center"/>
        <w:rPr>
          <w:i/>
          <w:iCs/>
          <w:szCs w:val="24"/>
        </w:rPr>
      </w:pPr>
      <w:r>
        <w:rPr>
          <w:szCs w:val="24"/>
        </w:rPr>
        <w:t xml:space="preserve">Jinzhu Geng </w:t>
      </w:r>
      <w:r>
        <w:rPr>
          <w:i/>
          <w:iCs/>
          <w:szCs w:val="24"/>
        </w:rPr>
        <w:t>et al.</w:t>
      </w:r>
    </w:p>
    <w:p w14:paraId="5997CFE4">
      <w:pPr>
        <w:spacing w:line="360" w:lineRule="auto"/>
        <w:jc w:val="center"/>
        <w:rPr>
          <w:szCs w:val="24"/>
        </w:rPr>
      </w:pPr>
    </w:p>
    <w:p w14:paraId="300F46CE">
      <w:pPr>
        <w:spacing w:line="360" w:lineRule="auto"/>
        <w:jc w:val="center"/>
      </w:pPr>
      <w:r>
        <w:rPr>
          <w:sz w:val="20"/>
        </w:rPr>
        <w:t xml:space="preserve">*Corresponding author. Email: </w:t>
      </w:r>
      <w:r>
        <w:t>liuyongjie@njau.edu.cn</w:t>
      </w:r>
      <w:bookmarkStart w:id="0" w:name="MaterialsMethods"/>
      <w:bookmarkEnd w:id="0"/>
      <w:bookmarkStart w:id="1" w:name="Tables"/>
      <w:bookmarkEnd w:id="1"/>
      <w:r>
        <w:br w:type="page"/>
      </w:r>
    </w:p>
    <w:p w14:paraId="551C29AC">
      <w:pPr>
        <w:pStyle w:val="102"/>
        <w:spacing w:line="360" w:lineRule="auto"/>
      </w:pPr>
      <w:r>
        <w:t>Supplementary figures</w:t>
      </w:r>
    </w:p>
    <w:p w14:paraId="34778759">
      <w:pPr>
        <w:pStyle w:val="105"/>
        <w:spacing w:line="360" w:lineRule="auto"/>
      </w:pPr>
      <w:r>
        <w:drawing>
          <wp:inline distT="0" distB="0" distL="0" distR="0">
            <wp:extent cx="5943600" cy="19659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943600" cy="1965960"/>
                    </a:xfrm>
                    <a:prstGeom prst="rect">
                      <a:avLst/>
                    </a:prstGeom>
                    <a:noFill/>
                    <a:ln>
                      <a:noFill/>
                    </a:ln>
                  </pic:spPr>
                </pic:pic>
              </a:graphicData>
            </a:graphic>
          </wp:inline>
        </w:drawing>
      </w:r>
    </w:p>
    <w:p w14:paraId="68902F55">
      <w:pPr>
        <w:pStyle w:val="105"/>
        <w:spacing w:line="360" w:lineRule="auto"/>
        <w:jc w:val="both"/>
      </w:pPr>
      <w:r>
        <w:rPr>
          <w:rFonts w:hint="eastAsia" w:eastAsia="宋体"/>
          <w:b/>
          <w:bCs/>
          <w:lang w:eastAsia="zh-CN"/>
        </w:rPr>
        <w:t xml:space="preserve">Figure S1 </w:t>
      </w:r>
      <w:r>
        <w:rPr>
          <w:b/>
          <w:bCs/>
        </w:rPr>
        <w:t>Changes in absolute abundance and species composition of nasal microbiota after antibiotic treatment.</w:t>
      </w:r>
      <w:r>
        <w:rPr>
          <w:color w:val="000000"/>
          <w:szCs w:val="24"/>
        </w:rPr>
        <w:t xml:space="preserve"> (</w:t>
      </w:r>
      <w:r>
        <w:rPr>
          <w:rFonts w:eastAsiaTheme="minorEastAsia"/>
          <w:color w:val="000000"/>
          <w:lang w:eastAsia="zh-CN"/>
        </w:rPr>
        <w:t>A</w:t>
      </w:r>
      <w:r>
        <w:rPr>
          <w:color w:val="000000"/>
          <w:szCs w:val="24"/>
        </w:rPr>
        <w:t>) The absolute abundance of nasal microbiota was assessed through qPCR following antibiotic treatment. (</w:t>
      </w:r>
      <w:r>
        <w:rPr>
          <w:rFonts w:eastAsiaTheme="minorEastAsia"/>
          <w:color w:val="000000"/>
          <w:lang w:eastAsia="zh-CN"/>
        </w:rPr>
        <w:t>B</w:t>
      </w:r>
      <w:r>
        <w:rPr>
          <w:color w:val="000000"/>
          <w:szCs w:val="24"/>
        </w:rPr>
        <w:t xml:space="preserve">) The microbial composition at the phylum and genus levels in the nasal cavity before and after antibiotic treatment. * </w:t>
      </w:r>
      <w:r>
        <w:rPr>
          <w:i/>
          <w:iCs/>
          <w:color w:val="000000"/>
          <w:szCs w:val="24"/>
        </w:rPr>
        <w:t>p</w:t>
      </w:r>
      <w:r>
        <w:rPr>
          <w:color w:val="000000"/>
          <w:szCs w:val="24"/>
        </w:rPr>
        <w:t xml:space="preserve"> &lt; 0.05, ** </w:t>
      </w:r>
      <w:r>
        <w:rPr>
          <w:i/>
          <w:iCs/>
          <w:color w:val="000000"/>
          <w:szCs w:val="24"/>
        </w:rPr>
        <w:t>p</w:t>
      </w:r>
      <w:r>
        <w:rPr>
          <w:color w:val="000000"/>
          <w:szCs w:val="24"/>
        </w:rPr>
        <w:t xml:space="preserve"> &lt; 0.01, and *** </w:t>
      </w:r>
      <w:r>
        <w:rPr>
          <w:i/>
          <w:iCs/>
          <w:color w:val="000000"/>
          <w:szCs w:val="24"/>
        </w:rPr>
        <w:t>p</w:t>
      </w:r>
      <w:r>
        <w:rPr>
          <w:color w:val="000000"/>
          <w:szCs w:val="24"/>
        </w:rPr>
        <w:t xml:space="preserve"> &lt; 0.001 indicate a significant difference between groups before (BAbx) and after (CAbx)</w:t>
      </w:r>
      <w:r>
        <w:rPr>
          <w:color w:val="000000"/>
        </w:rPr>
        <w:t xml:space="preserve"> </w:t>
      </w:r>
      <w:r>
        <w:rPr>
          <w:color w:val="000000"/>
          <w:szCs w:val="24"/>
        </w:rPr>
        <w:t xml:space="preserve">antibiotic treatment. All significance levels are determined by the DESeq2 package (Benjamini-Hochberg).  </w:t>
      </w:r>
    </w:p>
    <w:p w14:paraId="7E74AD16">
      <w:pPr>
        <w:spacing w:line="360" w:lineRule="auto"/>
        <w:jc w:val="both"/>
      </w:pPr>
      <w:r>
        <w:br w:type="page"/>
      </w:r>
    </w:p>
    <w:p w14:paraId="5D2123B2">
      <w:pPr>
        <w:pStyle w:val="102"/>
        <w:spacing w:line="360" w:lineRule="auto"/>
        <w:jc w:val="center"/>
      </w:pPr>
      <w:r>
        <w:drawing>
          <wp:inline distT="0" distB="0" distL="0" distR="0">
            <wp:extent cx="5942330" cy="4061460"/>
            <wp:effectExtent l="0" t="0" r="127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t="2203" b="8016"/>
                    <a:stretch>
                      <a:fillRect/>
                    </a:stretch>
                  </pic:blipFill>
                  <pic:spPr>
                    <a:xfrm>
                      <a:off x="0" y="0"/>
                      <a:ext cx="5943600" cy="4062033"/>
                    </a:xfrm>
                    <a:prstGeom prst="rect">
                      <a:avLst/>
                    </a:prstGeom>
                    <a:noFill/>
                    <a:ln>
                      <a:noFill/>
                    </a:ln>
                  </pic:spPr>
                </pic:pic>
              </a:graphicData>
            </a:graphic>
          </wp:inline>
        </w:drawing>
      </w:r>
    </w:p>
    <w:p w14:paraId="5B63437F">
      <w:pPr>
        <w:pStyle w:val="102"/>
        <w:spacing w:line="360" w:lineRule="auto"/>
        <w:jc w:val="both"/>
        <w:rPr>
          <w:b w:val="0"/>
          <w:bCs w:val="0"/>
        </w:rPr>
      </w:pPr>
      <w:r>
        <w:rPr>
          <w:rFonts w:hint="eastAsia" w:eastAsia="宋体"/>
          <w:lang w:eastAsia="zh-CN"/>
        </w:rPr>
        <w:t>Figure S</w:t>
      </w:r>
      <w:r>
        <w:t xml:space="preserve">2 Comparative histological assessment of nasal, tracheal, and lung epithelia among Nor, WT and Abx groups. </w:t>
      </w:r>
      <w:r>
        <w:rPr>
          <w:b w:val="0"/>
          <w:bCs w:val="0"/>
        </w:rPr>
        <w:t xml:space="preserve">(A) </w:t>
      </w:r>
      <w:r>
        <w:rPr>
          <w:rFonts w:hint="eastAsia"/>
          <w:b w:val="0"/>
          <w:bCs w:val="0"/>
          <w:highlight w:val="yellow"/>
        </w:rPr>
        <w:t>Examples of histological assessment of nasal and tracheal epithelia in dogs infected with influenza virus at 8 dpi</w:t>
      </w:r>
      <w:r>
        <w:rPr>
          <w:rFonts w:hint="eastAsia" w:eastAsia="宋体"/>
          <w:b w:val="0"/>
          <w:bCs w:val="0"/>
          <w:highlight w:val="yellow"/>
          <w:lang w:val="en-US" w:eastAsia="zh-CN"/>
        </w:rPr>
        <w:t xml:space="preserve"> (T3) </w:t>
      </w:r>
      <w:r>
        <w:rPr>
          <w:rFonts w:hint="eastAsia"/>
          <w:b w:val="0"/>
          <w:bCs w:val="0"/>
          <w:highlight w:val="yellow"/>
        </w:rPr>
        <w:t>among the</w:t>
      </w:r>
      <w:r>
        <w:rPr>
          <w:rFonts w:hint="eastAsia" w:eastAsia="宋体"/>
          <w:b w:val="0"/>
          <w:bCs w:val="0"/>
          <w:highlight w:val="yellow"/>
          <w:lang w:val="en-US" w:eastAsia="zh-CN"/>
        </w:rPr>
        <w:t xml:space="preserve"> Nor,WT and Abx group</w:t>
      </w:r>
      <w:r>
        <w:rPr>
          <w:b w:val="0"/>
          <w:bCs w:val="0"/>
          <w:highlight w:val="yellow"/>
        </w:rPr>
        <w:t>.</w:t>
      </w:r>
      <w:r>
        <w:rPr>
          <w:b w:val="0"/>
          <w:bCs w:val="0"/>
        </w:rPr>
        <w:t xml:space="preserve"> Solid arrows indicate the extension of the epithelium. In the Nor group, both nasal and tracheal mucosae were intact. In the WT group, partial damage was observed in the nasal and tracheal epithelia (Arrows I, II). The Abx group exhibits substantial exfoliation in both nasal and tracheal mucosae (Arrows III). The thickness of nasal and tracheal epithelia was measured using SlideViewer. Statistical analysis was performed using one-way ANOVAs with Tukey’s post-tests. (B) </w:t>
      </w:r>
      <w:r>
        <w:rPr>
          <w:rFonts w:hint="eastAsia"/>
          <w:b w:val="0"/>
          <w:bCs w:val="0"/>
          <w:highlight w:val="yellow"/>
        </w:rPr>
        <w:t>Histological changes associated with influenza virus infection at 8 dpi (T3) among the Nor, WT, and Abx groups.</w:t>
      </w:r>
      <w:r>
        <w:rPr>
          <w:b w:val="0"/>
          <w:bCs w:val="0"/>
        </w:rPr>
        <w:t xml:space="preserve"> The histopathological examination of lung tissue in the WT group revealed widespread thickening of alveolar walls, accompanied by scattered infiltration of lymphocytes (Arrows IV) and neutrophils (Arrows V). In contrast, the lungs of the Abx group exhibited severe thickening of alveolar walls, accompanied by the infiltration of a large number of lymphocytes and neutrophils, along with a small number of macrophages. Furthermore, the Abx group displayed a significant presence of epithelial proliferation in the lungs, characterized by enlarged nuclei and mitotic patterns, as well as an observable amount of cell necrosis and nuclear fragmentation (Arrows VI). The thickness of alveolar walls was measured using SlideViewer. Statistical analysis was conducted using one-way ANOVAs with Tukey’s post-tests.</w:t>
      </w:r>
      <w:r>
        <w:rPr>
          <w:rFonts w:hint="eastAsia"/>
          <w:b w:val="0"/>
          <w:bCs w:val="0"/>
        </w:rPr>
        <w:t xml:space="preserve">The results are derived from representative images </w:t>
      </w:r>
    </w:p>
    <w:p w14:paraId="0A214531">
      <w:pPr>
        <w:spacing w:line="360" w:lineRule="auto"/>
        <w:rPr>
          <w:b/>
          <w:bCs/>
          <w:kern w:val="32"/>
          <w:szCs w:val="24"/>
        </w:rPr>
      </w:pPr>
      <w:r>
        <w:br w:type="page"/>
      </w:r>
    </w:p>
    <w:p w14:paraId="39682B6A">
      <w:pPr>
        <w:pStyle w:val="102"/>
        <w:spacing w:line="360" w:lineRule="auto"/>
        <w:jc w:val="center"/>
      </w:pPr>
      <w:r>
        <w:drawing>
          <wp:inline distT="0" distB="0" distL="0" distR="0">
            <wp:extent cx="4819650" cy="265112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cstate="print">
                      <a:extLst>
                        <a:ext uri="{28A0092B-C50C-407E-A947-70E740481C1C}">
                          <a14:useLocalDpi xmlns:a14="http://schemas.microsoft.com/office/drawing/2010/main" val="0"/>
                        </a:ext>
                      </a:extLst>
                    </a:blip>
                    <a:srcRect l="4231" t="6789" r="3333"/>
                    <a:stretch>
                      <a:fillRect/>
                    </a:stretch>
                  </pic:blipFill>
                  <pic:spPr>
                    <a:xfrm>
                      <a:off x="0" y="0"/>
                      <a:ext cx="4831454" cy="2658063"/>
                    </a:xfrm>
                    <a:prstGeom prst="rect">
                      <a:avLst/>
                    </a:prstGeom>
                    <a:noFill/>
                    <a:ln>
                      <a:noFill/>
                    </a:ln>
                  </pic:spPr>
                </pic:pic>
              </a:graphicData>
            </a:graphic>
          </wp:inline>
        </w:drawing>
      </w:r>
    </w:p>
    <w:p w14:paraId="6C564757">
      <w:pPr>
        <w:pStyle w:val="102"/>
        <w:spacing w:line="360" w:lineRule="auto"/>
      </w:pPr>
      <w:r>
        <w:rPr>
          <w:rFonts w:hint="eastAsia" w:eastAsia="宋体"/>
          <w:lang w:eastAsia="zh-CN"/>
        </w:rPr>
        <w:t>Figure S</w:t>
      </w:r>
      <w:r>
        <w:t>3 Dilution curve analysis for 16S rRNA gene amplicon sequencing of nasal swab samples.</w:t>
      </w:r>
    </w:p>
    <w:p w14:paraId="44FBB989">
      <w:pPr>
        <w:pStyle w:val="105"/>
        <w:spacing w:line="360" w:lineRule="auto"/>
      </w:pPr>
    </w:p>
    <w:p w14:paraId="08098A06">
      <w:pPr>
        <w:spacing w:line="360" w:lineRule="auto"/>
      </w:pPr>
      <w:r>
        <w:br w:type="page"/>
      </w:r>
    </w:p>
    <w:p w14:paraId="7100C611">
      <w:pPr>
        <w:pStyle w:val="102"/>
        <w:spacing w:line="360" w:lineRule="auto"/>
        <w:jc w:val="both"/>
      </w:pPr>
      <w:r>
        <w:drawing>
          <wp:inline distT="0" distB="0" distL="0" distR="0">
            <wp:extent cx="5943600" cy="2162810"/>
            <wp:effectExtent l="0" t="0" r="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cstate="print">
                      <a:extLst>
                        <a:ext uri="{28A0092B-C50C-407E-A947-70E740481C1C}">
                          <a14:useLocalDpi xmlns:a14="http://schemas.microsoft.com/office/drawing/2010/main" val="0"/>
                        </a:ext>
                      </a:extLst>
                    </a:blip>
                    <a:srcRect b="32350"/>
                    <a:stretch>
                      <a:fillRect/>
                    </a:stretch>
                  </pic:blipFill>
                  <pic:spPr>
                    <a:xfrm>
                      <a:off x="0" y="0"/>
                      <a:ext cx="5943600" cy="2162908"/>
                    </a:xfrm>
                    <a:prstGeom prst="rect">
                      <a:avLst/>
                    </a:prstGeom>
                    <a:noFill/>
                    <a:ln>
                      <a:noFill/>
                    </a:ln>
                  </pic:spPr>
                </pic:pic>
              </a:graphicData>
            </a:graphic>
          </wp:inline>
        </w:drawing>
      </w:r>
    </w:p>
    <w:p w14:paraId="45BB7BBA">
      <w:pPr>
        <w:pStyle w:val="102"/>
        <w:spacing w:line="360" w:lineRule="auto"/>
        <w:jc w:val="both"/>
        <w:rPr>
          <w:b w:val="0"/>
          <w:bCs w:val="0"/>
        </w:rPr>
      </w:pPr>
      <w:r>
        <w:rPr>
          <w:rFonts w:hint="eastAsia" w:eastAsia="宋体"/>
          <w:lang w:eastAsia="zh-CN"/>
        </w:rPr>
        <w:t>Figure S</w:t>
      </w:r>
      <w:r>
        <w:t xml:space="preserve">4 Microbial diversity and composition of canine nasal microbiota after antibiotic treatment and influenza infection. </w:t>
      </w:r>
      <w:r>
        <w:rPr>
          <w:b w:val="0"/>
          <w:bCs w:val="0"/>
        </w:rPr>
        <w:t>(</w:t>
      </w:r>
      <w:r>
        <w:rPr>
          <w:rFonts w:eastAsiaTheme="minorEastAsia"/>
          <w:b w:val="0"/>
          <w:bCs w:val="0"/>
          <w:lang w:eastAsia="zh-CN"/>
        </w:rPr>
        <w:t>A</w:t>
      </w:r>
      <w:r>
        <w:rPr>
          <w:b w:val="0"/>
          <w:bCs w:val="0"/>
        </w:rPr>
        <w:t xml:space="preserve">) Box plots showing the Richness and Chao diversity indices of the nasal microbiota of dogs in the Nor, WT and Abx groups </w:t>
      </w:r>
      <w:r>
        <w:rPr>
          <w:b w:val="0"/>
          <w:bCs w:val="0"/>
          <w:highlight w:val="yellow"/>
        </w:rPr>
        <w:t>after antibiotic treatment (</w:t>
      </w:r>
      <w:r>
        <w:rPr>
          <w:rFonts w:hint="eastAsia"/>
          <w:b w:val="0"/>
          <w:bCs w:val="0"/>
          <w:highlight w:val="yellow"/>
        </w:rPr>
        <w:t>T</w:t>
      </w:r>
      <w:r>
        <w:rPr>
          <w:rFonts w:hint="eastAsia" w:eastAsia="宋体"/>
          <w:b w:val="0"/>
          <w:bCs w:val="0"/>
          <w:highlight w:val="yellow"/>
          <w:lang w:val="en-US" w:eastAsia="zh-CN"/>
        </w:rPr>
        <w:t>2</w:t>
      </w:r>
      <w:r>
        <w:rPr>
          <w:b w:val="0"/>
          <w:bCs w:val="0"/>
          <w:highlight w:val="yellow"/>
        </w:rPr>
        <w:t>)</w:t>
      </w:r>
      <w:r>
        <w:rPr>
          <w:b w:val="0"/>
          <w:bCs w:val="0"/>
        </w:rPr>
        <w:t xml:space="preserve"> (</w:t>
      </w:r>
      <w:r>
        <w:rPr>
          <w:b w:val="0"/>
          <w:bCs w:val="0"/>
          <w:i/>
          <w:iCs/>
        </w:rPr>
        <w:t>p</w:t>
      </w:r>
      <w:r>
        <w:rPr>
          <w:b w:val="0"/>
          <w:bCs w:val="0"/>
        </w:rPr>
        <w:t xml:space="preserve"> &lt;0.05, one-way ANOVA test, Tukey's HSD).</w:t>
      </w:r>
      <w:r>
        <w:t xml:space="preserve"> </w:t>
      </w:r>
      <w:r>
        <w:rPr>
          <w:b w:val="0"/>
          <w:bCs w:val="0"/>
        </w:rPr>
        <w:t>(</w:t>
      </w:r>
      <w:r>
        <w:rPr>
          <w:rFonts w:eastAsiaTheme="minorEastAsia"/>
          <w:b w:val="0"/>
          <w:bCs w:val="0"/>
          <w:lang w:eastAsia="zh-CN"/>
        </w:rPr>
        <w:t>B</w:t>
      </w:r>
      <w:r>
        <w:rPr>
          <w:b w:val="0"/>
          <w:bCs w:val="0"/>
        </w:rPr>
        <w:t xml:space="preserve">) </w:t>
      </w:r>
      <w:r>
        <w:rPr>
          <w:rFonts w:hint="eastAsia"/>
          <w:b w:val="0"/>
          <w:bCs w:val="0"/>
          <w:highlight w:val="yellow"/>
        </w:rPr>
        <w:t>Box plots showing the Richness and Chao diversity indices of the nasal microbiota in dogs from the Nor, WT, and Abx groups at 8 dpi (T3) following influenza virus infection.</w:t>
      </w:r>
      <w:r>
        <w:rPr>
          <w:rFonts w:hint="eastAsia" w:eastAsia="宋体"/>
          <w:b w:val="0"/>
          <w:bCs w:val="0"/>
          <w:highlight w:val="yellow"/>
          <w:lang w:val="en-US" w:eastAsia="zh-CN"/>
        </w:rPr>
        <w:t xml:space="preserve"> </w:t>
      </w:r>
      <w:r>
        <w:rPr>
          <w:b w:val="0"/>
          <w:bCs w:val="0"/>
        </w:rPr>
        <w:t>(</w:t>
      </w:r>
      <w:r>
        <w:rPr>
          <w:b w:val="0"/>
          <w:bCs w:val="0"/>
          <w:i/>
          <w:iCs/>
        </w:rPr>
        <w:t>p</w:t>
      </w:r>
      <w:r>
        <w:rPr>
          <w:b w:val="0"/>
          <w:bCs w:val="0"/>
        </w:rPr>
        <w:t xml:space="preserve"> &lt;0.05, one-way ANOVA test, Tukey's HSD). (</w:t>
      </w:r>
      <w:r>
        <w:rPr>
          <w:rFonts w:eastAsiaTheme="minorEastAsia"/>
          <w:b w:val="0"/>
          <w:bCs w:val="0"/>
          <w:lang w:eastAsia="zh-CN"/>
        </w:rPr>
        <w:t>C</w:t>
      </w:r>
      <w:r>
        <w:rPr>
          <w:b w:val="0"/>
          <w:bCs w:val="0"/>
        </w:rPr>
        <w:t>) Principal coordinate analysis (PCoA) of microbial communities utilizing Bray–</w:t>
      </w:r>
      <w:r>
        <w:rPr>
          <w:rFonts w:hint="eastAsia" w:eastAsia="宋体"/>
          <w:b w:val="0"/>
          <w:bCs w:val="0"/>
          <w:lang w:val="en-US" w:eastAsia="zh-CN"/>
        </w:rPr>
        <w:t xml:space="preserve"> </w:t>
      </w:r>
      <w:r>
        <w:rPr>
          <w:b w:val="0"/>
          <w:bCs w:val="0"/>
        </w:rPr>
        <w:t>Curtis distances for samples after antibiotic treatment(T2) or influenza infection</w:t>
      </w:r>
      <w:r>
        <w:rPr>
          <w:rFonts w:eastAsia="宋体"/>
          <w:b w:val="0"/>
          <w:bCs w:val="0"/>
          <w:lang w:eastAsia="zh-CN"/>
        </w:rPr>
        <w:t>(T3)</w:t>
      </w:r>
      <w:r>
        <w:rPr>
          <w:b w:val="0"/>
          <w:bCs w:val="0"/>
        </w:rPr>
        <w:t>. Below and left boxplots show the overall distribution of PCoA 1 and PCoA 2 scores within each group (</w:t>
      </w:r>
      <w:r>
        <w:rPr>
          <w:b w:val="0"/>
          <w:bCs w:val="0"/>
          <w:i/>
          <w:iCs/>
        </w:rPr>
        <w:t>p</w:t>
      </w:r>
      <w:r>
        <w:rPr>
          <w:b w:val="0"/>
          <w:bCs w:val="0"/>
        </w:rPr>
        <w:t xml:space="preserve"> &lt;0.05, Wilcoxon rank-sum test). (</w:t>
      </w:r>
      <w:r>
        <w:rPr>
          <w:rFonts w:eastAsiaTheme="minorEastAsia"/>
          <w:b w:val="0"/>
          <w:bCs w:val="0"/>
          <w:lang w:eastAsia="zh-CN"/>
        </w:rPr>
        <w:t>D</w:t>
      </w:r>
      <w:r>
        <w:rPr>
          <w:b w:val="0"/>
          <w:bCs w:val="0"/>
        </w:rPr>
        <w:t>) The nasal microbial composition at the phylum and genus levels among Nor, WT and Abx groups after antibiotic treatment</w:t>
      </w:r>
      <w:r>
        <w:rPr>
          <w:rFonts w:eastAsia="宋体"/>
          <w:b w:val="0"/>
          <w:bCs w:val="0"/>
          <w:lang w:eastAsia="zh-CN"/>
        </w:rPr>
        <w:t>(T</w:t>
      </w:r>
      <w:r>
        <w:rPr>
          <w:b w:val="0"/>
          <w:bCs w:val="0"/>
        </w:rPr>
        <w:t>2</w:t>
      </w:r>
      <w:r>
        <w:rPr>
          <w:rFonts w:eastAsia="宋体"/>
          <w:b w:val="0"/>
          <w:bCs w:val="0"/>
          <w:lang w:eastAsia="zh-CN"/>
        </w:rPr>
        <w:t>)</w:t>
      </w:r>
      <w:r>
        <w:rPr>
          <w:b w:val="0"/>
          <w:bCs w:val="0"/>
        </w:rPr>
        <w:t xml:space="preserve"> or influenza infection</w:t>
      </w:r>
      <w:r>
        <w:rPr>
          <w:rFonts w:eastAsia="宋体"/>
          <w:b w:val="0"/>
          <w:bCs w:val="0"/>
          <w:lang w:eastAsia="zh-CN"/>
        </w:rPr>
        <w:t>(T3)</w:t>
      </w:r>
      <w:r>
        <w:rPr>
          <w:b w:val="0"/>
          <w:bCs w:val="0"/>
        </w:rPr>
        <w:t>.</w:t>
      </w:r>
    </w:p>
    <w:p w14:paraId="44866AA8">
      <w:pPr>
        <w:pStyle w:val="102"/>
        <w:spacing w:line="360" w:lineRule="auto"/>
        <w:jc w:val="center"/>
      </w:pPr>
    </w:p>
    <w:p w14:paraId="73B691EF">
      <w:pPr>
        <w:spacing w:line="360" w:lineRule="auto"/>
        <w:rPr>
          <w:b/>
          <w:bCs/>
          <w:kern w:val="32"/>
          <w:szCs w:val="24"/>
        </w:rPr>
      </w:pPr>
      <w:r>
        <w:br w:type="page"/>
      </w:r>
    </w:p>
    <w:p w14:paraId="3E097509">
      <w:pPr>
        <w:pStyle w:val="102"/>
        <w:spacing w:line="360" w:lineRule="auto"/>
        <w:jc w:val="both"/>
      </w:pPr>
      <w:r>
        <w:drawing>
          <wp:inline distT="0" distB="0" distL="0" distR="0">
            <wp:extent cx="5819775" cy="26924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b="67276"/>
                    <a:stretch>
                      <a:fillRect/>
                    </a:stretch>
                  </pic:blipFill>
                  <pic:spPr>
                    <a:xfrm>
                      <a:off x="0" y="0"/>
                      <a:ext cx="5820410" cy="2693088"/>
                    </a:xfrm>
                    <a:prstGeom prst="rect">
                      <a:avLst/>
                    </a:prstGeom>
                    <a:noFill/>
                    <a:ln>
                      <a:noFill/>
                    </a:ln>
                  </pic:spPr>
                </pic:pic>
              </a:graphicData>
            </a:graphic>
          </wp:inline>
        </w:drawing>
      </w:r>
    </w:p>
    <w:p w14:paraId="0BDBB3D0">
      <w:pPr>
        <w:pStyle w:val="102"/>
        <w:spacing w:line="360" w:lineRule="auto"/>
        <w:jc w:val="both"/>
        <w:rPr>
          <w:b w:val="0"/>
          <w:bCs w:val="0"/>
        </w:rPr>
      </w:pPr>
      <w:r>
        <w:rPr>
          <w:rFonts w:hint="eastAsia" w:eastAsia="宋体"/>
          <w:lang w:eastAsia="zh-CN"/>
        </w:rPr>
        <w:t>Figures S</w:t>
      </w:r>
      <w:r>
        <w:t>5 Microbial community distribution and differential genus of canine nasal microbiota among Nor, WT and Abx groups  after antibiotic treatment.</w:t>
      </w:r>
      <w:r>
        <w:rPr>
          <w:b w:val="0"/>
          <w:bCs w:val="0"/>
        </w:rPr>
        <w:t xml:space="preserve"> (</w:t>
      </w:r>
      <w:r>
        <w:rPr>
          <w:rFonts w:eastAsiaTheme="minorEastAsia"/>
          <w:b w:val="0"/>
          <w:bCs w:val="0"/>
          <w:lang w:eastAsia="zh-CN"/>
        </w:rPr>
        <w:t>A</w:t>
      </w:r>
      <w:r>
        <w:rPr>
          <w:b w:val="0"/>
          <w:bCs w:val="0"/>
        </w:rPr>
        <w:t>) The ternary plot illustrates the relative enriched genera among three groups</w:t>
      </w:r>
      <w:r>
        <w:rPr>
          <w:rFonts w:hint="eastAsia" w:eastAsia="宋体"/>
          <w:b w:val="0"/>
          <w:bCs w:val="0"/>
          <w:lang w:val="en-US" w:eastAsia="zh-CN"/>
        </w:rPr>
        <w:t xml:space="preserve"> </w:t>
      </w:r>
      <w:r>
        <w:rPr>
          <w:b w:val="0"/>
          <w:bCs w:val="0"/>
          <w:highlight w:val="yellow"/>
        </w:rPr>
        <w:t>after antibiotic treatment (T2)</w:t>
      </w:r>
      <w:r>
        <w:rPr>
          <w:b w:val="0"/>
          <w:bCs w:val="0"/>
        </w:rPr>
        <w:t>. Each dot on the plot represents the most highly abundant genus in the phylum. The size of the dot is proportional to its relative abundance, and its position is determined by the contribution of each subgroup to the overall abundance. (</w:t>
      </w:r>
      <w:r>
        <w:rPr>
          <w:rFonts w:eastAsiaTheme="minorEastAsia"/>
          <w:b w:val="0"/>
          <w:bCs w:val="0"/>
          <w:lang w:eastAsia="zh-CN"/>
        </w:rPr>
        <w:t>B</w:t>
      </w:r>
      <w:r>
        <w:rPr>
          <w:b w:val="0"/>
          <w:bCs w:val="0"/>
        </w:rPr>
        <w:t xml:space="preserve">) A boxplot depicting the differential relative abundance of ASVs among three groups. * </w:t>
      </w:r>
      <w:r>
        <w:rPr>
          <w:b w:val="0"/>
          <w:bCs w:val="0"/>
          <w:i/>
          <w:iCs/>
        </w:rPr>
        <w:t xml:space="preserve">p </w:t>
      </w:r>
      <w:r>
        <w:rPr>
          <w:b w:val="0"/>
          <w:bCs w:val="0"/>
        </w:rPr>
        <w:t xml:space="preserve">&lt; 0.05, ** </w:t>
      </w:r>
      <w:r>
        <w:rPr>
          <w:b w:val="0"/>
          <w:bCs w:val="0"/>
          <w:i/>
          <w:iCs/>
        </w:rPr>
        <w:t>p</w:t>
      </w:r>
      <w:r>
        <w:rPr>
          <w:b w:val="0"/>
          <w:bCs w:val="0"/>
        </w:rPr>
        <w:t xml:space="preserve"> &lt; 0.01, and *** </w:t>
      </w:r>
      <w:r>
        <w:rPr>
          <w:b w:val="0"/>
          <w:bCs w:val="0"/>
          <w:i/>
          <w:iCs/>
        </w:rPr>
        <w:t>p</w:t>
      </w:r>
      <w:r>
        <w:rPr>
          <w:b w:val="0"/>
          <w:bCs w:val="0"/>
        </w:rPr>
        <w:t xml:space="preserve"> &lt; 0.001, indicate significant differences between the two groups (one-way ANOVA test, Tukey's HSD).</w:t>
      </w:r>
    </w:p>
    <w:p w14:paraId="068DE85D">
      <w:pPr>
        <w:pStyle w:val="102"/>
        <w:spacing w:line="360" w:lineRule="auto"/>
        <w:jc w:val="both"/>
      </w:pPr>
    </w:p>
    <w:p w14:paraId="0D17FB4D">
      <w:pPr>
        <w:spacing w:line="360" w:lineRule="auto"/>
        <w:rPr>
          <w:b/>
          <w:bCs/>
          <w:kern w:val="32"/>
          <w:szCs w:val="24"/>
        </w:rPr>
      </w:pPr>
      <w:r>
        <w:br w:type="page"/>
      </w:r>
    </w:p>
    <w:p w14:paraId="6C105F55">
      <w:pPr>
        <w:pStyle w:val="102"/>
        <w:spacing w:line="360" w:lineRule="auto"/>
        <w:jc w:val="both"/>
      </w:pPr>
      <w:r>
        <w:drawing>
          <wp:inline distT="0" distB="0" distL="0" distR="0">
            <wp:extent cx="5942965" cy="1491615"/>
            <wp:effectExtent l="0" t="0" r="63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1" cstate="print">
                      <a:extLst>
                        <a:ext uri="{28A0092B-C50C-407E-A947-70E740481C1C}">
                          <a14:useLocalDpi xmlns:a14="http://schemas.microsoft.com/office/drawing/2010/main" val="0"/>
                        </a:ext>
                      </a:extLst>
                    </a:blip>
                    <a:srcRect t="20150" b="22851"/>
                    <a:stretch>
                      <a:fillRect/>
                    </a:stretch>
                  </pic:blipFill>
                  <pic:spPr>
                    <a:xfrm>
                      <a:off x="0" y="0"/>
                      <a:ext cx="5943182" cy="1492180"/>
                    </a:xfrm>
                    <a:prstGeom prst="rect">
                      <a:avLst/>
                    </a:prstGeom>
                    <a:noFill/>
                    <a:ln>
                      <a:noFill/>
                    </a:ln>
                  </pic:spPr>
                </pic:pic>
              </a:graphicData>
            </a:graphic>
          </wp:inline>
        </w:drawing>
      </w:r>
    </w:p>
    <w:p w14:paraId="4B264015">
      <w:pPr>
        <w:pStyle w:val="102"/>
        <w:spacing w:line="360" w:lineRule="auto"/>
        <w:jc w:val="both"/>
        <w:rPr>
          <w:b w:val="0"/>
          <w:bCs w:val="0"/>
        </w:rPr>
      </w:pPr>
      <w:r>
        <w:rPr>
          <w:rFonts w:hint="eastAsia" w:eastAsia="宋体"/>
          <w:lang w:eastAsia="zh-CN"/>
        </w:rPr>
        <w:t>Figures S</w:t>
      </w:r>
      <w:r>
        <w:t xml:space="preserve">6 Relative abundance changes of </w:t>
      </w:r>
      <w:r>
        <w:rPr>
          <w:i/>
          <w:iCs/>
        </w:rPr>
        <w:t>Lactobacillus</w:t>
      </w:r>
      <w:r>
        <w:t xml:space="preserve"> and </w:t>
      </w:r>
      <w:r>
        <w:rPr>
          <w:i/>
          <w:iCs/>
        </w:rPr>
        <w:t>Moraxella</w:t>
      </w:r>
      <w:r>
        <w:t xml:space="preserve"> in nasal cavity pre- and post-infection of influenza virus across WT and Abx group. </w:t>
      </w:r>
      <w:r>
        <w:rPr>
          <w:b w:val="0"/>
          <w:bCs w:val="0"/>
        </w:rPr>
        <w:t xml:space="preserve">Scatter plots depict the changes in the relative abundance of </w:t>
      </w:r>
      <w:r>
        <w:rPr>
          <w:b w:val="0"/>
          <w:bCs w:val="0"/>
          <w:i/>
          <w:iCs/>
        </w:rPr>
        <w:t xml:space="preserve">Lactobacillus </w:t>
      </w:r>
      <w:r>
        <w:rPr>
          <w:b w:val="0"/>
          <w:bCs w:val="0"/>
        </w:rPr>
        <w:t xml:space="preserve">and </w:t>
      </w:r>
      <w:r>
        <w:rPr>
          <w:b w:val="0"/>
          <w:bCs w:val="0"/>
          <w:i/>
          <w:iCs/>
        </w:rPr>
        <w:t>Moraxella</w:t>
      </w:r>
      <w:r>
        <w:rPr>
          <w:b w:val="0"/>
          <w:bCs w:val="0"/>
        </w:rPr>
        <w:t xml:space="preserve"> within the nasal cavity before </w:t>
      </w:r>
      <w:r>
        <w:rPr>
          <w:rFonts w:eastAsia="宋体"/>
          <w:b w:val="0"/>
          <w:bCs w:val="0"/>
          <w:highlight w:val="yellow"/>
          <w:lang w:eastAsia="zh-CN"/>
        </w:rPr>
        <w:t>(</w:t>
      </w:r>
      <w:r>
        <w:rPr>
          <w:b w:val="0"/>
          <w:bCs w:val="0"/>
          <w:highlight w:val="yellow"/>
        </w:rPr>
        <w:t>T2-WT, T2-Abx</w:t>
      </w:r>
      <w:r>
        <w:rPr>
          <w:rFonts w:eastAsia="宋体"/>
          <w:b w:val="0"/>
          <w:bCs w:val="0"/>
          <w:highlight w:val="yellow"/>
          <w:lang w:eastAsia="zh-CN"/>
        </w:rPr>
        <w:t>)</w:t>
      </w:r>
      <w:r>
        <w:rPr>
          <w:rFonts w:eastAsia="宋体"/>
          <w:b w:val="0"/>
          <w:bCs w:val="0"/>
          <w:lang w:eastAsia="zh-CN"/>
        </w:rPr>
        <w:t xml:space="preserve"> </w:t>
      </w:r>
      <w:r>
        <w:rPr>
          <w:b w:val="0"/>
          <w:bCs w:val="0"/>
        </w:rPr>
        <w:t xml:space="preserve">and after </w:t>
      </w:r>
      <w:r>
        <w:rPr>
          <w:rFonts w:eastAsia="宋体"/>
          <w:b w:val="0"/>
          <w:bCs w:val="0"/>
          <w:highlight w:val="yellow"/>
          <w:lang w:eastAsia="zh-CN"/>
        </w:rPr>
        <w:t>(</w:t>
      </w:r>
      <w:r>
        <w:rPr>
          <w:b w:val="0"/>
          <w:bCs w:val="0"/>
          <w:highlight w:val="yellow"/>
        </w:rPr>
        <w:t>T3-WT, T3-Abx</w:t>
      </w:r>
      <w:r>
        <w:rPr>
          <w:rFonts w:eastAsia="宋体"/>
          <w:b w:val="0"/>
          <w:bCs w:val="0"/>
          <w:highlight w:val="yellow"/>
          <w:lang w:eastAsia="zh-CN"/>
        </w:rPr>
        <w:t>)</w:t>
      </w:r>
      <w:r>
        <w:rPr>
          <w:rFonts w:eastAsia="宋体"/>
          <w:b w:val="0"/>
          <w:bCs w:val="0"/>
          <w:lang w:eastAsia="zh-CN"/>
        </w:rPr>
        <w:t xml:space="preserve"> </w:t>
      </w:r>
      <w:r>
        <w:rPr>
          <w:b w:val="0"/>
          <w:bCs w:val="0"/>
        </w:rPr>
        <w:t>influenza infection within each group (one-way ANOVA test, Tukey's HSD).</w:t>
      </w:r>
    </w:p>
    <w:p w14:paraId="15753761">
      <w:pPr>
        <w:pStyle w:val="102"/>
        <w:spacing w:line="360" w:lineRule="auto"/>
        <w:jc w:val="both"/>
        <w:rPr>
          <w:b w:val="0"/>
          <w:bCs w:val="0"/>
        </w:rPr>
      </w:pPr>
    </w:p>
    <w:p w14:paraId="4CDA3E3B">
      <w:pPr>
        <w:spacing w:line="360" w:lineRule="auto"/>
        <w:rPr>
          <w:kern w:val="32"/>
          <w:szCs w:val="24"/>
        </w:rPr>
      </w:pPr>
      <w:r>
        <w:rPr>
          <w:b/>
          <w:bCs/>
        </w:rPr>
        <w:br w:type="page"/>
      </w:r>
    </w:p>
    <w:p w14:paraId="6B924DE6">
      <w:pPr>
        <w:pStyle w:val="102"/>
        <w:spacing w:line="360" w:lineRule="auto"/>
        <w:jc w:val="center"/>
      </w:pPr>
      <w:r>
        <w:drawing>
          <wp:inline distT="0" distB="0" distL="0" distR="0">
            <wp:extent cx="5943600" cy="261683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943600" cy="2616835"/>
                    </a:xfrm>
                    <a:prstGeom prst="rect">
                      <a:avLst/>
                    </a:prstGeom>
                    <a:noFill/>
                    <a:ln>
                      <a:noFill/>
                    </a:ln>
                  </pic:spPr>
                </pic:pic>
              </a:graphicData>
            </a:graphic>
          </wp:inline>
        </w:drawing>
      </w:r>
    </w:p>
    <w:p w14:paraId="66C3630B">
      <w:pPr>
        <w:pStyle w:val="102"/>
        <w:spacing w:line="360" w:lineRule="auto"/>
        <w:jc w:val="both"/>
        <w:rPr>
          <w:b w:val="0"/>
          <w:bCs w:val="0"/>
        </w:rPr>
      </w:pPr>
      <w:r>
        <w:rPr>
          <w:rFonts w:hint="eastAsia" w:eastAsia="宋体"/>
          <w:lang w:eastAsia="zh-CN"/>
        </w:rPr>
        <w:t>Figure S</w:t>
      </w:r>
      <w:r>
        <w:t xml:space="preserve">7 Pearson correlations between the differential relative abundance of ASVs within the nasal microbiome of the WT and Abx groups after antibiotic treatment and the nasal or lung virus titer. </w:t>
      </w:r>
      <w:r>
        <w:rPr>
          <w:b w:val="0"/>
          <w:bCs w:val="0"/>
        </w:rPr>
        <w:t xml:space="preserve">* </w:t>
      </w:r>
      <w:r>
        <w:rPr>
          <w:b w:val="0"/>
          <w:bCs w:val="0"/>
          <w:i/>
          <w:iCs/>
        </w:rPr>
        <w:t xml:space="preserve">p </w:t>
      </w:r>
      <w:r>
        <w:rPr>
          <w:b w:val="0"/>
          <w:bCs w:val="0"/>
        </w:rPr>
        <w:t xml:space="preserve">&lt; 0.05, ** </w:t>
      </w:r>
      <w:r>
        <w:rPr>
          <w:b w:val="0"/>
          <w:bCs w:val="0"/>
          <w:i/>
          <w:iCs/>
        </w:rPr>
        <w:t>p</w:t>
      </w:r>
      <w:r>
        <w:rPr>
          <w:b w:val="0"/>
          <w:bCs w:val="0"/>
        </w:rPr>
        <w:t xml:space="preserve"> &lt; 0.01, and *** </w:t>
      </w:r>
      <w:r>
        <w:rPr>
          <w:b w:val="0"/>
          <w:bCs w:val="0"/>
          <w:i/>
          <w:iCs/>
        </w:rPr>
        <w:t>p</w:t>
      </w:r>
      <w:r>
        <w:rPr>
          <w:b w:val="0"/>
          <w:bCs w:val="0"/>
        </w:rPr>
        <w:t xml:space="preserve"> &lt; 0.001 indicate significant differences between the two groups (Two-way ANOVA test, Tukey's HSD).</w:t>
      </w:r>
    </w:p>
    <w:p w14:paraId="70BB8BD0">
      <w:pPr>
        <w:pStyle w:val="102"/>
        <w:spacing w:line="360" w:lineRule="auto"/>
        <w:jc w:val="center"/>
        <w:rPr>
          <w:b w:val="0"/>
          <w:bCs w:val="0"/>
        </w:rPr>
      </w:pPr>
    </w:p>
    <w:p w14:paraId="65EF9D33">
      <w:pPr>
        <w:spacing w:line="360" w:lineRule="auto"/>
        <w:rPr>
          <w:kern w:val="32"/>
          <w:szCs w:val="24"/>
        </w:rPr>
      </w:pPr>
      <w:r>
        <w:rPr>
          <w:b/>
          <w:bCs/>
        </w:rPr>
        <w:br w:type="page"/>
      </w:r>
    </w:p>
    <w:p w14:paraId="346EAA6F">
      <w:pPr>
        <w:pStyle w:val="102"/>
        <w:spacing w:line="360" w:lineRule="auto"/>
        <w:jc w:val="center"/>
      </w:pPr>
      <w:r>
        <w:drawing>
          <wp:inline distT="0" distB="0" distL="0" distR="0">
            <wp:extent cx="3726180" cy="2759075"/>
            <wp:effectExtent l="0" t="0" r="7620" b="317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3" cstate="print">
                      <a:extLst>
                        <a:ext uri="{28A0092B-C50C-407E-A947-70E740481C1C}">
                          <a14:useLocalDpi xmlns:a14="http://schemas.microsoft.com/office/drawing/2010/main" val="0"/>
                        </a:ext>
                      </a:extLst>
                    </a:blip>
                    <a:srcRect l="30146" t="9395" r="19374" b="5755"/>
                    <a:stretch>
                      <a:fillRect/>
                    </a:stretch>
                  </pic:blipFill>
                  <pic:spPr>
                    <a:xfrm>
                      <a:off x="0" y="0"/>
                      <a:ext cx="3748013" cy="2775042"/>
                    </a:xfrm>
                    <a:prstGeom prst="rect">
                      <a:avLst/>
                    </a:prstGeom>
                    <a:noFill/>
                    <a:ln>
                      <a:noFill/>
                    </a:ln>
                  </pic:spPr>
                </pic:pic>
              </a:graphicData>
            </a:graphic>
          </wp:inline>
        </w:drawing>
      </w:r>
    </w:p>
    <w:p w14:paraId="148D364C">
      <w:pPr>
        <w:pStyle w:val="102"/>
        <w:spacing w:line="360" w:lineRule="auto"/>
        <w:jc w:val="both"/>
        <w:rPr>
          <w:b w:val="0"/>
          <w:bCs w:val="0"/>
        </w:rPr>
      </w:pPr>
      <w:r>
        <w:rPr>
          <w:rFonts w:hint="eastAsia" w:eastAsia="宋体"/>
          <w:lang w:eastAsia="zh-CN"/>
        </w:rPr>
        <w:t>Figure S</w:t>
      </w:r>
      <w:r>
        <w:t>8 Pearson correlations were calculated for the differential relative abundance of ASVs within the nasal microbiome of the WT and Abx groups after antibiotic treatment.</w:t>
      </w:r>
      <w:r>
        <w:rPr>
          <w:b w:val="0"/>
          <w:bCs w:val="0"/>
        </w:rPr>
        <w:t>Significance was visually represented by squares, with the coloration of squares and interconnecting lines denoting the directionality of the correlation, either positive or negative. ANOVA test, Tukey's HSD).</w:t>
      </w:r>
    </w:p>
    <w:p w14:paraId="0868D083">
      <w:pPr>
        <w:pStyle w:val="102"/>
        <w:spacing w:line="360" w:lineRule="auto"/>
        <w:jc w:val="center"/>
        <w:rPr>
          <w:b w:val="0"/>
          <w:bCs w:val="0"/>
        </w:rPr>
      </w:pPr>
    </w:p>
    <w:p w14:paraId="3813EF55">
      <w:pPr>
        <w:spacing w:line="360" w:lineRule="auto"/>
        <w:rPr>
          <w:kern w:val="32"/>
          <w:szCs w:val="24"/>
        </w:rPr>
      </w:pPr>
      <w:r>
        <w:rPr>
          <w:b/>
          <w:bCs/>
        </w:rPr>
        <w:br w:type="page"/>
      </w:r>
    </w:p>
    <w:p w14:paraId="6FD15D21">
      <w:pPr>
        <w:pStyle w:val="102"/>
        <w:spacing w:line="360" w:lineRule="auto"/>
        <w:jc w:val="both"/>
      </w:pPr>
      <w:r>
        <w:drawing>
          <wp:inline distT="0" distB="0" distL="0" distR="0">
            <wp:extent cx="5942330" cy="2068830"/>
            <wp:effectExtent l="0" t="0" r="1270"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4" cstate="print">
                      <a:extLst>
                        <a:ext uri="{28A0092B-C50C-407E-A947-70E740481C1C}">
                          <a14:useLocalDpi xmlns:a14="http://schemas.microsoft.com/office/drawing/2010/main" val="0"/>
                        </a:ext>
                      </a:extLst>
                    </a:blip>
                    <a:srcRect t="8288" b="12633"/>
                    <a:stretch>
                      <a:fillRect/>
                    </a:stretch>
                  </pic:blipFill>
                  <pic:spPr>
                    <a:xfrm>
                      <a:off x="0" y="0"/>
                      <a:ext cx="5943600" cy="2069376"/>
                    </a:xfrm>
                    <a:prstGeom prst="rect">
                      <a:avLst/>
                    </a:prstGeom>
                    <a:noFill/>
                    <a:ln>
                      <a:noFill/>
                    </a:ln>
                  </pic:spPr>
                </pic:pic>
              </a:graphicData>
            </a:graphic>
          </wp:inline>
        </w:drawing>
      </w:r>
    </w:p>
    <w:p w14:paraId="4DEE9F3E">
      <w:pPr>
        <w:pStyle w:val="102"/>
        <w:spacing w:line="360" w:lineRule="auto"/>
        <w:jc w:val="both"/>
        <w:rPr>
          <w:b w:val="0"/>
          <w:bCs w:val="0"/>
        </w:rPr>
      </w:pPr>
      <w:r>
        <w:rPr>
          <w:rFonts w:hint="eastAsia" w:eastAsia="宋体"/>
          <w:lang w:eastAsia="zh-CN"/>
        </w:rPr>
        <w:t>Figure S</w:t>
      </w:r>
      <w:r>
        <w:t xml:space="preserve">9 Predicted KEGG pathway contributions in canine nasal microbiota after antibiotic treatment among Nor, WT, and Abx groups. </w:t>
      </w:r>
      <w:r>
        <w:rPr>
          <w:b w:val="0"/>
          <w:bCs w:val="0"/>
        </w:rPr>
        <w:t>A heatmap illustrates the distinct relative contributions of KEGG pathways, predicted based on the bacterial composition of Nor, WT</w:t>
      </w:r>
      <w:r>
        <w:rPr>
          <w:rFonts w:hint="eastAsia" w:eastAsia="宋体"/>
          <w:b w:val="0"/>
          <w:bCs w:val="0"/>
          <w:highlight w:val="yellow"/>
          <w:lang w:val="en-US" w:eastAsia="zh-CN"/>
        </w:rPr>
        <w:t xml:space="preserve"> </w:t>
      </w:r>
      <w:r>
        <w:rPr>
          <w:b w:val="0"/>
          <w:bCs w:val="0"/>
        </w:rPr>
        <w:t>and Abx</w:t>
      </w:r>
      <w:r>
        <w:rPr>
          <w:rFonts w:hint="eastAsia" w:ascii="宋体" w:hAnsi="宋体" w:eastAsia="宋体" w:cs="宋体"/>
          <w:b w:val="0"/>
          <w:bCs w:val="0"/>
          <w:highlight w:val="yellow"/>
          <w:lang w:val="en-US" w:eastAsia="zh-CN"/>
        </w:rPr>
        <w:t xml:space="preserve"> </w:t>
      </w:r>
      <w:r>
        <w:rPr>
          <w:b w:val="0"/>
          <w:bCs w:val="0"/>
        </w:rPr>
        <w:t xml:space="preserve">, utilizing PICRUSt2. Significance levels, generated by the DESeq2 package, are denoted as follows: * </w:t>
      </w:r>
      <w:r>
        <w:rPr>
          <w:b w:val="0"/>
          <w:bCs w:val="0"/>
          <w:i/>
          <w:iCs/>
        </w:rPr>
        <w:t>p</w:t>
      </w:r>
      <w:r>
        <w:rPr>
          <w:b w:val="0"/>
          <w:bCs w:val="0"/>
        </w:rPr>
        <w:t xml:space="preserve"> &lt; 0.05; ** </w:t>
      </w:r>
      <w:r>
        <w:rPr>
          <w:b w:val="0"/>
          <w:bCs w:val="0"/>
          <w:i/>
          <w:iCs/>
        </w:rPr>
        <w:t>p</w:t>
      </w:r>
      <w:r>
        <w:rPr>
          <w:b w:val="0"/>
          <w:bCs w:val="0"/>
        </w:rPr>
        <w:t xml:space="preserve"> &lt; 0.01; *** </w:t>
      </w:r>
      <w:r>
        <w:rPr>
          <w:b w:val="0"/>
          <w:bCs w:val="0"/>
          <w:i/>
          <w:iCs/>
        </w:rPr>
        <w:t>p</w:t>
      </w:r>
      <w:r>
        <w:rPr>
          <w:b w:val="0"/>
          <w:bCs w:val="0"/>
        </w:rPr>
        <w:t xml:space="preserve"> &lt; 0.001, indicating significant differences between the two groups (Benjamini-Hochberg).</w:t>
      </w:r>
    </w:p>
    <w:p w14:paraId="565FE8DC">
      <w:pPr>
        <w:pStyle w:val="102"/>
        <w:spacing w:line="360" w:lineRule="auto"/>
        <w:jc w:val="both"/>
        <w:rPr>
          <w:b w:val="0"/>
          <w:bCs w:val="0"/>
        </w:rPr>
      </w:pPr>
    </w:p>
    <w:p w14:paraId="387529DF">
      <w:pPr>
        <w:spacing w:line="360" w:lineRule="auto"/>
        <w:rPr>
          <w:kern w:val="32"/>
          <w:szCs w:val="24"/>
        </w:rPr>
      </w:pPr>
      <w:r>
        <w:rPr>
          <w:b/>
          <w:bCs/>
        </w:rPr>
        <w:br w:type="page"/>
      </w:r>
    </w:p>
    <w:p w14:paraId="01D423B6">
      <w:pPr>
        <w:pStyle w:val="102"/>
        <w:spacing w:line="360" w:lineRule="auto"/>
        <w:jc w:val="both"/>
      </w:pPr>
      <w:r>
        <w:drawing>
          <wp:inline distT="0" distB="0" distL="0" distR="0">
            <wp:extent cx="5924550" cy="251777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5" cstate="print">
                      <a:extLst>
                        <a:ext uri="{28A0092B-C50C-407E-A947-70E740481C1C}">
                          <a14:useLocalDpi xmlns:a14="http://schemas.microsoft.com/office/drawing/2010/main" val="0"/>
                        </a:ext>
                      </a:extLst>
                    </a:blip>
                    <a:srcRect l="7559" t="4907" r="2873" b="8700"/>
                    <a:stretch>
                      <a:fillRect/>
                    </a:stretch>
                  </pic:blipFill>
                  <pic:spPr>
                    <a:xfrm>
                      <a:off x="0" y="0"/>
                      <a:ext cx="5947757" cy="2527759"/>
                    </a:xfrm>
                    <a:prstGeom prst="rect">
                      <a:avLst/>
                    </a:prstGeom>
                    <a:noFill/>
                    <a:ln>
                      <a:noFill/>
                    </a:ln>
                  </pic:spPr>
                </pic:pic>
              </a:graphicData>
            </a:graphic>
          </wp:inline>
        </w:drawing>
      </w:r>
    </w:p>
    <w:p w14:paraId="426AAC79">
      <w:pPr>
        <w:pStyle w:val="102"/>
        <w:spacing w:line="360" w:lineRule="auto"/>
        <w:jc w:val="both"/>
        <w:rPr>
          <w:b w:val="0"/>
          <w:bCs w:val="0"/>
        </w:rPr>
      </w:pPr>
      <w:r>
        <w:rPr>
          <w:rFonts w:hint="eastAsia" w:eastAsia="宋体"/>
          <w:lang w:eastAsia="zh-CN"/>
        </w:rPr>
        <w:t>Figure S</w:t>
      </w:r>
      <w:r>
        <w:t>10</w:t>
      </w:r>
      <w:r>
        <w:rPr>
          <w:rFonts w:hint="eastAsia" w:eastAsia="宋体"/>
          <w:lang w:eastAsia="zh-CN"/>
        </w:rPr>
        <w:t xml:space="preserve"> </w:t>
      </w:r>
      <w:r>
        <w:t xml:space="preserve">Pearson correlations of relative abundance between </w:t>
      </w:r>
      <w:r>
        <w:rPr>
          <w:i/>
          <w:iCs/>
        </w:rPr>
        <w:t>Lactobacillus</w:t>
      </w:r>
      <w:r>
        <w:t xml:space="preserve"> and </w:t>
      </w:r>
      <w:r>
        <w:rPr>
          <w:i/>
          <w:iCs/>
        </w:rPr>
        <w:t>Moraxella</w:t>
      </w:r>
      <w:r>
        <w:t xml:space="preserve"> and their respective contributions to KEGG pathways in the WT and Abx groups. </w:t>
      </w:r>
      <w:r>
        <w:rPr>
          <w:b w:val="0"/>
          <w:bCs w:val="0"/>
        </w:rPr>
        <w:t xml:space="preserve">Pearson correlations were computed between the relative abundance of </w:t>
      </w:r>
      <w:r>
        <w:rPr>
          <w:b w:val="0"/>
          <w:bCs w:val="0"/>
          <w:i/>
          <w:iCs/>
        </w:rPr>
        <w:t>Lactobacillus</w:t>
      </w:r>
      <w:r>
        <w:rPr>
          <w:b w:val="0"/>
          <w:bCs w:val="0"/>
        </w:rPr>
        <w:t xml:space="preserve"> and </w:t>
      </w:r>
      <w:r>
        <w:rPr>
          <w:b w:val="0"/>
          <w:bCs w:val="0"/>
          <w:i/>
          <w:iCs/>
        </w:rPr>
        <w:t>Moraxella</w:t>
      </w:r>
      <w:r>
        <w:rPr>
          <w:b w:val="0"/>
          <w:bCs w:val="0"/>
        </w:rPr>
        <w:t xml:space="preserve"> in the WT and Abx groups and the corresponding contributions of KEGG pathways based on the predicted microbiota composition using PICRUSt2. Significance levels are denoted as follows: * </w:t>
      </w:r>
      <w:r>
        <w:rPr>
          <w:b w:val="0"/>
          <w:bCs w:val="0"/>
          <w:i/>
          <w:iCs/>
        </w:rPr>
        <w:t>p</w:t>
      </w:r>
      <w:r>
        <w:rPr>
          <w:b w:val="0"/>
          <w:bCs w:val="0"/>
        </w:rPr>
        <w:t xml:space="preserve"> &lt; 0.05; ** </w:t>
      </w:r>
      <w:r>
        <w:rPr>
          <w:b w:val="0"/>
          <w:bCs w:val="0"/>
          <w:i/>
          <w:iCs/>
        </w:rPr>
        <w:t>p</w:t>
      </w:r>
      <w:r>
        <w:rPr>
          <w:b w:val="0"/>
          <w:bCs w:val="0"/>
        </w:rPr>
        <w:t xml:space="preserve"> &lt; 0.01; ***</w:t>
      </w:r>
      <w:r>
        <w:rPr>
          <w:b w:val="0"/>
          <w:bCs w:val="0"/>
          <w:i/>
          <w:iCs/>
        </w:rPr>
        <w:t xml:space="preserve"> p</w:t>
      </w:r>
      <w:r>
        <w:rPr>
          <w:b w:val="0"/>
          <w:bCs w:val="0"/>
        </w:rPr>
        <w:t xml:space="preserve"> &lt; 0.001, indicating significant differences between the two groups.</w:t>
      </w:r>
    </w:p>
    <w:p w14:paraId="11677002">
      <w:pPr>
        <w:pStyle w:val="102"/>
        <w:spacing w:line="360" w:lineRule="auto"/>
        <w:jc w:val="both"/>
        <w:rPr>
          <w:b w:val="0"/>
          <w:bCs w:val="0"/>
        </w:rPr>
      </w:pPr>
    </w:p>
    <w:p w14:paraId="4840C33C">
      <w:pPr>
        <w:spacing w:line="360" w:lineRule="auto"/>
        <w:rPr>
          <w:kern w:val="32"/>
          <w:szCs w:val="24"/>
        </w:rPr>
      </w:pPr>
      <w:r>
        <w:rPr>
          <w:b/>
          <w:bCs/>
        </w:rPr>
        <w:br w:type="page"/>
      </w:r>
    </w:p>
    <w:p w14:paraId="778EABB6">
      <w:pPr>
        <w:pStyle w:val="102"/>
        <w:spacing w:line="360" w:lineRule="auto"/>
        <w:jc w:val="both"/>
        <w:rPr>
          <w:rFonts w:hint="eastAsia" w:eastAsia="宋体"/>
          <w:lang w:eastAsia="zh-CN"/>
        </w:rPr>
      </w:pPr>
      <w:r>
        <w:rPr>
          <w:rFonts w:hint="eastAsia" w:eastAsia="宋体"/>
          <w:lang w:eastAsia="zh-CN"/>
        </w:rPr>
        <w:drawing>
          <wp:inline distT="0" distB="0" distL="114300" distR="114300">
            <wp:extent cx="5935980" cy="7094220"/>
            <wp:effectExtent l="0" t="0" r="7620" b="7620"/>
            <wp:docPr id="3" name="图片 3" descr="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11"/>
                    <pic:cNvPicPr>
                      <a:picLocks noChangeAspect="1"/>
                    </pic:cNvPicPr>
                  </pic:nvPicPr>
                  <pic:blipFill>
                    <a:blip r:embed="rId16"/>
                    <a:stretch>
                      <a:fillRect/>
                    </a:stretch>
                  </pic:blipFill>
                  <pic:spPr>
                    <a:xfrm>
                      <a:off x="0" y="0"/>
                      <a:ext cx="5935980" cy="7094220"/>
                    </a:xfrm>
                    <a:prstGeom prst="rect">
                      <a:avLst/>
                    </a:prstGeom>
                  </pic:spPr>
                </pic:pic>
              </a:graphicData>
            </a:graphic>
          </wp:inline>
        </w:drawing>
      </w:r>
      <w:bookmarkStart w:id="3" w:name="_GoBack"/>
      <w:bookmarkEnd w:id="3"/>
    </w:p>
    <w:p w14:paraId="375E59EE">
      <w:pPr>
        <w:pStyle w:val="102"/>
        <w:spacing w:line="360" w:lineRule="auto"/>
        <w:jc w:val="both"/>
        <w:rPr>
          <w:b w:val="0"/>
          <w:bCs w:val="0"/>
        </w:rPr>
      </w:pPr>
      <w:r>
        <w:rPr>
          <w:rFonts w:hint="eastAsia" w:eastAsia="宋体"/>
          <w:lang w:eastAsia="zh-CN"/>
        </w:rPr>
        <w:t>Figure S</w:t>
      </w:r>
      <w:r>
        <w:t xml:space="preserve">11 Transcriptomic analysis of viral infection in canine nasal tissue. </w:t>
      </w:r>
      <w:r>
        <w:rPr>
          <w:b w:val="0"/>
          <w:bCs w:val="0"/>
        </w:rPr>
        <w:t xml:space="preserve">(A)KEGG enrichment analysis for the differentially expressed genes (DEGs) identified by RNA-seq in the nasal tissue between the WT and Abx groups </w:t>
      </w:r>
      <w:r>
        <w:rPr>
          <w:rFonts w:hint="eastAsia" w:eastAsia="宋体"/>
          <w:b w:val="0"/>
          <w:bCs w:val="0"/>
          <w:lang w:val="en-US" w:eastAsia="zh-CN"/>
        </w:rPr>
        <w:t>at T3</w:t>
      </w:r>
      <w:r>
        <w:rPr>
          <w:b w:val="0"/>
          <w:bCs w:val="0"/>
        </w:rPr>
        <w:t>. The data reveal twenty-five significantly enriched KEGG terms. All significance levels are determined by the DESeq2 package (Benjamini-Hochberg). (B) GSEA analysis for the DEGs. The data unveil the enrichment of pathways linked to viral infections (such as influenza A, EBV infection, hepatitis C, HSV-1 infection, and viral life cycle -HIV-1, and HTLV-1 infection) as well as inflammation (including the IL-17, TNF, Toll-like receptor, cytosolic DNA-sensing, and JAK-STAT signaling pathways) in the nasal tissue of the Abx group after influenza infection, in comparison to the WT group.</w:t>
      </w:r>
    </w:p>
    <w:p w14:paraId="39ACE032">
      <w:pPr>
        <w:pStyle w:val="102"/>
        <w:spacing w:line="360" w:lineRule="auto"/>
        <w:jc w:val="center"/>
        <w:rPr>
          <w:b w:val="0"/>
          <w:bCs w:val="0"/>
        </w:rPr>
      </w:pPr>
    </w:p>
    <w:p w14:paraId="3821A4BF">
      <w:pPr>
        <w:spacing w:line="360" w:lineRule="auto"/>
        <w:rPr>
          <w:kern w:val="32"/>
          <w:szCs w:val="24"/>
        </w:rPr>
      </w:pPr>
      <w:r>
        <w:rPr>
          <w:b/>
          <w:bCs/>
        </w:rPr>
        <w:br w:type="page"/>
      </w:r>
    </w:p>
    <w:p w14:paraId="7DBA1145">
      <w:pPr>
        <w:pStyle w:val="102"/>
        <w:spacing w:line="360" w:lineRule="auto"/>
        <w:jc w:val="both"/>
      </w:pPr>
      <w:r>
        <w:drawing>
          <wp:inline distT="0" distB="0" distL="0" distR="0">
            <wp:extent cx="5867400" cy="7274560"/>
            <wp:effectExtent l="0" t="0" r="0" b="25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7" cstate="print">
                      <a:extLst>
                        <a:ext uri="{28A0092B-C50C-407E-A947-70E740481C1C}">
                          <a14:useLocalDpi xmlns:a14="http://schemas.microsoft.com/office/drawing/2010/main" val="0"/>
                        </a:ext>
                      </a:extLst>
                    </a:blip>
                    <a:srcRect t="4309" b="7942"/>
                    <a:stretch>
                      <a:fillRect/>
                    </a:stretch>
                  </pic:blipFill>
                  <pic:spPr>
                    <a:xfrm>
                      <a:off x="0" y="0"/>
                      <a:ext cx="5884869" cy="7296546"/>
                    </a:xfrm>
                    <a:prstGeom prst="rect">
                      <a:avLst/>
                    </a:prstGeom>
                    <a:noFill/>
                    <a:ln>
                      <a:noFill/>
                    </a:ln>
                  </pic:spPr>
                </pic:pic>
              </a:graphicData>
            </a:graphic>
          </wp:inline>
        </w:drawing>
      </w:r>
    </w:p>
    <w:p w14:paraId="663574C2">
      <w:pPr>
        <w:pStyle w:val="102"/>
        <w:spacing w:line="360" w:lineRule="auto"/>
        <w:jc w:val="both"/>
        <w:rPr>
          <w:rFonts w:ascii="宋体" w:hAnsi="宋体" w:eastAsia="宋体" w:cs="宋体"/>
          <w:b w:val="0"/>
          <w:bCs w:val="0"/>
          <w:lang w:eastAsia="zh-CN"/>
        </w:rPr>
      </w:pPr>
      <w:r>
        <w:rPr>
          <w:rFonts w:hint="eastAsia" w:eastAsia="宋体"/>
          <w:lang w:eastAsia="zh-CN"/>
        </w:rPr>
        <w:t>Figure S</w:t>
      </w:r>
      <w:r>
        <w:t xml:space="preserve">12 Differential microbial analysis in lung tissue after influenza infection among Nor, WT, and Abx groups. </w:t>
      </w:r>
      <w:r>
        <w:rPr>
          <w:b w:val="0"/>
          <w:bCs w:val="0"/>
        </w:rPr>
        <w:t xml:space="preserve">(A) Boxplots depict taxonomic differences at the phylum level between the WT and Abx groups, as identified through Deseq2 analysis. Further statistical analysis was conducted using the one-way ANOVA test, with p-values corrected using Tukey's HSD. (B) Boxplots showcase taxonomic distinctions at the genus level between the WT and Abx groups, discerned through Deseq2 analysis. Subsequent statistical analysis employed the one-way ANOVA test, with p-values adjusted via Tukey's HSD. (C) Boxplots highlight taxa exhibiting increased relative abundance in the Abx group compared to the WT group, and vice versa. Statistical comparisons were conducted using the one-way ANOVA test, with </w:t>
      </w:r>
      <w:r>
        <w:rPr>
          <w:b w:val="0"/>
          <w:bCs w:val="0"/>
          <w:i/>
          <w:iCs/>
        </w:rPr>
        <w:t>p</w:t>
      </w:r>
      <w:r>
        <w:rPr>
          <w:b w:val="0"/>
          <w:bCs w:val="0"/>
        </w:rPr>
        <w:t xml:space="preserve">-values adjusted using Tukey's HSD. (D) Scatter plots and boxplots illustrate differential taxa between the Abx and WT groups, determined through the one-way ANOVA test, with p-values adjusted using Tukey's HSD.(E) Scatter plots and boxplots display differentially abundant taxa between the WT and Nor groups, as identified through the one-way ANOVA test, with p-values adjusted using Tukey's HSD.(F) Rarefraction </w:t>
      </w:r>
      <w:r>
        <w:rPr>
          <w:rFonts w:hint="eastAsia"/>
          <w:b w:val="0"/>
          <w:bCs w:val="0"/>
        </w:rPr>
        <w:t>c</w:t>
      </w:r>
      <w:r>
        <w:rPr>
          <w:b w:val="0"/>
          <w:bCs w:val="0"/>
        </w:rPr>
        <w:t xml:space="preserve">urve </w:t>
      </w:r>
      <w:r>
        <w:rPr>
          <w:rFonts w:hint="eastAsia"/>
          <w:b w:val="0"/>
          <w:bCs w:val="0"/>
        </w:rPr>
        <w:t>a</w:t>
      </w:r>
      <w:r>
        <w:rPr>
          <w:b w:val="0"/>
          <w:bCs w:val="0"/>
        </w:rPr>
        <w:t>nalysis illustrates the sequencing depth of 16S rRNA gene amplicons derived from lung samples, providing insights into the microbial diversity and richness within the specimens</w:t>
      </w:r>
      <w:r>
        <w:rPr>
          <w:rFonts w:hint="eastAsia" w:ascii="宋体" w:hAnsi="宋体" w:eastAsia="宋体" w:cs="宋体"/>
          <w:b w:val="0"/>
          <w:bCs w:val="0"/>
          <w:lang w:eastAsia="zh-CN"/>
        </w:rPr>
        <w:t>.</w:t>
      </w:r>
    </w:p>
    <w:p w14:paraId="2BCD1783">
      <w:pPr>
        <w:pStyle w:val="102"/>
        <w:spacing w:line="360" w:lineRule="auto"/>
        <w:jc w:val="center"/>
        <w:rPr>
          <w:rFonts w:ascii="宋体" w:hAnsi="宋体" w:eastAsia="宋体" w:cs="宋体"/>
          <w:b w:val="0"/>
          <w:bCs w:val="0"/>
          <w:lang w:eastAsia="zh-CN"/>
        </w:rPr>
      </w:pPr>
    </w:p>
    <w:p w14:paraId="760BB8AE">
      <w:pPr>
        <w:pStyle w:val="102"/>
        <w:spacing w:line="360" w:lineRule="auto"/>
        <w:jc w:val="both"/>
        <w:rPr>
          <w:rFonts w:ascii="宋体" w:hAnsi="宋体" w:eastAsia="宋体" w:cs="宋体"/>
          <w:b w:val="0"/>
          <w:bCs w:val="0"/>
          <w:lang w:eastAsia="zh-CN"/>
        </w:rPr>
      </w:pPr>
      <w:r>
        <w:rPr>
          <w:rFonts w:ascii="宋体" w:hAnsi="宋体" w:eastAsia="宋体" w:cs="宋体"/>
          <w:b w:val="0"/>
          <w:bCs w:val="0"/>
          <w:lang w:eastAsia="zh-CN"/>
        </w:rPr>
        <w:br w:type="page"/>
      </w:r>
    </w:p>
    <w:p w14:paraId="3AB8DEFA">
      <w:pPr>
        <w:pStyle w:val="102"/>
        <w:spacing w:line="360" w:lineRule="auto"/>
        <w:jc w:val="both"/>
        <w:rPr>
          <w:rFonts w:ascii="宋体" w:hAnsi="宋体" w:eastAsia="宋体" w:cs="宋体"/>
          <w:b w:val="0"/>
          <w:bCs w:val="0"/>
          <w:lang w:eastAsia="zh-CN"/>
        </w:rPr>
      </w:pPr>
      <w:r>
        <w:drawing>
          <wp:inline distT="0" distB="0" distL="0" distR="0">
            <wp:extent cx="5943600" cy="54102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943600" cy="5410200"/>
                    </a:xfrm>
                    <a:prstGeom prst="rect">
                      <a:avLst/>
                    </a:prstGeom>
                    <a:noFill/>
                    <a:ln>
                      <a:noFill/>
                    </a:ln>
                  </pic:spPr>
                </pic:pic>
              </a:graphicData>
            </a:graphic>
          </wp:inline>
        </w:drawing>
      </w:r>
    </w:p>
    <w:p w14:paraId="614EE8B9">
      <w:pPr>
        <w:pStyle w:val="102"/>
        <w:spacing w:line="360" w:lineRule="auto"/>
        <w:jc w:val="both"/>
        <w:rPr>
          <w:b w:val="0"/>
          <w:bCs w:val="0"/>
        </w:rPr>
      </w:pPr>
      <w:r>
        <w:rPr>
          <w:rFonts w:hint="eastAsia" w:eastAsia="宋体"/>
          <w:lang w:eastAsia="zh-CN"/>
        </w:rPr>
        <w:t>Figure S</w:t>
      </w:r>
      <w:r>
        <w:t xml:space="preserve">13 Correlation analysis of ASV abundance and predicted KEGG pathway contributions in nasal microbiome after antibiotic treatment.  </w:t>
      </w:r>
      <w:r>
        <w:rPr>
          <w:b w:val="0"/>
          <w:bCs w:val="0"/>
        </w:rPr>
        <w:t>Pearson correlations were calculated to assess the association between the differential relative abundance of ASVs (</w:t>
      </w:r>
      <w:r>
        <w:rPr>
          <w:b w:val="0"/>
          <w:bCs w:val="0"/>
          <w:i/>
          <w:iCs/>
        </w:rPr>
        <w:t>Lactobacillus</w:t>
      </w:r>
      <w:r>
        <w:rPr>
          <w:b w:val="0"/>
          <w:bCs w:val="0"/>
        </w:rPr>
        <w:t xml:space="preserve">, </w:t>
      </w:r>
      <w:r>
        <w:rPr>
          <w:b w:val="0"/>
          <w:bCs w:val="0"/>
          <w:i/>
          <w:iCs/>
        </w:rPr>
        <w:t>Moraxella</w:t>
      </w:r>
      <w:r>
        <w:rPr>
          <w:b w:val="0"/>
          <w:bCs w:val="0"/>
        </w:rPr>
        <w:t xml:space="preserve">, </w:t>
      </w:r>
      <w:r>
        <w:rPr>
          <w:b w:val="0"/>
          <w:bCs w:val="0"/>
          <w:i/>
          <w:iCs/>
        </w:rPr>
        <w:t>Marvinbryantia</w:t>
      </w:r>
      <w:r>
        <w:rPr>
          <w:b w:val="0"/>
          <w:bCs w:val="0"/>
        </w:rPr>
        <w:t xml:space="preserve">, </w:t>
      </w:r>
      <w:r>
        <w:rPr>
          <w:b w:val="0"/>
          <w:bCs w:val="0"/>
          <w:i/>
          <w:iCs/>
        </w:rPr>
        <w:t>Veillonella</w:t>
      </w:r>
      <w:r>
        <w:rPr>
          <w:b w:val="0"/>
          <w:bCs w:val="0"/>
        </w:rPr>
        <w:t>) and the predicted contributions of KEGG pathways based on bacterial composition using PICRUSt2 within both the WT and Abx groups.</w:t>
      </w:r>
    </w:p>
    <w:p w14:paraId="2B42DB1F">
      <w:pPr>
        <w:pStyle w:val="102"/>
        <w:spacing w:line="360" w:lineRule="auto"/>
        <w:jc w:val="both"/>
        <w:rPr>
          <w:b w:val="0"/>
          <w:bCs w:val="0"/>
        </w:rPr>
      </w:pPr>
    </w:p>
    <w:p w14:paraId="3EDD0CE7">
      <w:pPr>
        <w:spacing w:line="360" w:lineRule="auto"/>
        <w:rPr>
          <w:rFonts w:ascii="宋体" w:hAnsi="宋体" w:eastAsia="宋体" w:cs="宋体"/>
          <w:kern w:val="32"/>
          <w:szCs w:val="24"/>
          <w:lang w:eastAsia="zh-CN"/>
        </w:rPr>
      </w:pPr>
      <w:r>
        <w:drawing>
          <wp:inline distT="0" distB="0" distL="0" distR="0">
            <wp:extent cx="5819775" cy="6083935"/>
            <wp:effectExtent l="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9" cstate="print">
                      <a:extLst>
                        <a:ext uri="{28A0092B-C50C-407E-A947-70E740481C1C}">
                          <a14:useLocalDpi xmlns:a14="http://schemas.microsoft.com/office/drawing/2010/main" val="0"/>
                        </a:ext>
                      </a:extLst>
                    </a:blip>
                    <a:srcRect t="3205" b="22859"/>
                    <a:stretch>
                      <a:fillRect/>
                    </a:stretch>
                  </pic:blipFill>
                  <pic:spPr>
                    <a:xfrm>
                      <a:off x="0" y="0"/>
                      <a:ext cx="5820410" cy="6084576"/>
                    </a:xfrm>
                    <a:prstGeom prst="rect">
                      <a:avLst/>
                    </a:prstGeom>
                    <a:noFill/>
                    <a:ln>
                      <a:noFill/>
                    </a:ln>
                  </pic:spPr>
                </pic:pic>
              </a:graphicData>
            </a:graphic>
          </wp:inline>
        </w:drawing>
      </w:r>
    </w:p>
    <w:p w14:paraId="07CD330B">
      <w:pPr>
        <w:pStyle w:val="102"/>
        <w:spacing w:line="360" w:lineRule="auto"/>
        <w:jc w:val="both"/>
        <w:rPr>
          <w:rFonts w:ascii="宋体" w:hAnsi="宋体" w:eastAsia="宋体" w:cs="宋体"/>
          <w:b w:val="0"/>
          <w:bCs w:val="0"/>
          <w:lang w:eastAsia="zh-CN"/>
        </w:rPr>
      </w:pPr>
      <w:r>
        <w:rPr>
          <w:rFonts w:hint="eastAsia" w:eastAsia="宋体"/>
          <w:lang w:eastAsia="zh-CN"/>
        </w:rPr>
        <w:t>Figure S</w:t>
      </w:r>
      <w:r>
        <w:t>14 Pathway enrichment analysis of DEGs in lung tissue</w:t>
      </w:r>
      <w:r>
        <w:rPr>
          <w:highlight w:val="none"/>
        </w:rPr>
        <w:t xml:space="preserve"> </w:t>
      </w:r>
      <w:r>
        <w:rPr>
          <w:rFonts w:hint="eastAsia" w:eastAsia="宋体"/>
          <w:highlight w:val="none"/>
          <w:lang w:val="en-US" w:eastAsia="zh-CN"/>
        </w:rPr>
        <w:t>after influenza infection</w:t>
      </w:r>
      <w:r>
        <w:rPr>
          <w:highlight w:val="none"/>
        </w:rPr>
        <w:t xml:space="preserve">. </w:t>
      </w:r>
      <w:r>
        <w:rPr>
          <w:b w:val="0"/>
          <w:bCs w:val="0"/>
        </w:rPr>
        <w:t xml:space="preserve">(A)Volcano plot of the DEGs of the lung tissue between Nor, WT, and Abx. (B) The Venn diagram showing the shared and unique genes of DEGs. (C)Performing clustering analysis for the DEGs of the lung tissue from three groups using the Fuzzy-c means (FCM) algorithm. (D) GSEA analysis for the DEGs identified by RNA-seq in the lung tissue between the WT and Abx groups after influenza infection. The data unveil the enrichment of pathways linked to disease (such as autoimmune thyroid disease, </w:t>
      </w:r>
      <w:r>
        <w:rPr>
          <w:b w:val="0"/>
          <w:bCs w:val="0"/>
          <w:i/>
          <w:iCs/>
        </w:rPr>
        <w:t>Staphylococcus aureus</w:t>
      </w:r>
      <w:r>
        <w:rPr>
          <w:b w:val="0"/>
          <w:bCs w:val="0"/>
        </w:rPr>
        <w:t xml:space="preserve"> infection, </w:t>
      </w:r>
      <w:r>
        <w:rPr>
          <w:b w:val="0"/>
          <w:bCs w:val="0"/>
          <w:i/>
          <w:iCs/>
        </w:rPr>
        <w:t>Leishmaniasis</w:t>
      </w:r>
      <w:r>
        <w:rPr>
          <w:b w:val="0"/>
          <w:bCs w:val="0"/>
        </w:rPr>
        <w:t xml:space="preserve"> infection, </w:t>
      </w:r>
      <w:r>
        <w:rPr>
          <w:b w:val="0"/>
          <w:bCs w:val="0"/>
          <w:i/>
          <w:iCs/>
        </w:rPr>
        <w:t>Salmonella</w:t>
      </w:r>
      <w:r>
        <w:rPr>
          <w:b w:val="0"/>
          <w:bCs w:val="0"/>
        </w:rPr>
        <w:t xml:space="preserve"> infection, Influenza A, EBV infection, Hepatitis B and Hepatitis C), as well as inflammation (including the IL-17, inflammatory bowel disease, Toll-like receptor, cytosolic DNA-sensing, NF-kappa B, NOD-like receptor, and TNF signaling pathways) in the lung tissue of the Abx group after influenza infection, in comparison to the WT group. (E) KEGG enrichment analysis for the DEGs identified by RNA-seq in the lung tissue between the WT and Abx groups after influenza infection. The results reveal twenty-one significantly enriched KEGG terms. All significance levels were determined by the DESeq2 package (all </w:t>
      </w:r>
      <w:r>
        <w:rPr>
          <w:b w:val="0"/>
          <w:bCs w:val="0"/>
          <w:i/>
          <w:iCs/>
        </w:rPr>
        <w:t>p</w:t>
      </w:r>
      <w:r>
        <w:rPr>
          <w:b w:val="0"/>
          <w:bCs w:val="0"/>
        </w:rPr>
        <w:t xml:space="preserve"> &lt; 0.05, Benjamini-Hochberg).</w:t>
      </w:r>
    </w:p>
    <w:p w14:paraId="662BCEDD">
      <w:pPr>
        <w:pStyle w:val="102"/>
        <w:spacing w:line="360" w:lineRule="auto"/>
        <w:rPr>
          <w:rFonts w:ascii="宋体" w:hAnsi="宋体" w:eastAsia="宋体" w:cs="宋体"/>
          <w:b w:val="0"/>
          <w:bCs w:val="0"/>
          <w:lang w:eastAsia="zh-CN"/>
        </w:rPr>
      </w:pPr>
      <w:r>
        <w:rPr>
          <w:rFonts w:ascii="宋体" w:hAnsi="宋体" w:eastAsia="宋体" w:cs="宋体"/>
          <w:b w:val="0"/>
          <w:bCs w:val="0"/>
          <w:lang w:eastAsia="zh-CN"/>
        </w:rPr>
        <w:drawing>
          <wp:inline distT="0" distB="0" distL="114300" distR="114300">
            <wp:extent cx="5815330" cy="2059305"/>
            <wp:effectExtent l="0" t="0" r="6350" b="13335"/>
            <wp:docPr id="10" name="图片 10" descr="S15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15_画板 1"/>
                    <pic:cNvPicPr>
                      <a:picLocks noChangeAspect="1"/>
                    </pic:cNvPicPr>
                  </pic:nvPicPr>
                  <pic:blipFill>
                    <a:blip r:embed="rId20"/>
                    <a:srcRect t="7461" b="67493"/>
                    <a:stretch>
                      <a:fillRect/>
                    </a:stretch>
                  </pic:blipFill>
                  <pic:spPr>
                    <a:xfrm>
                      <a:off x="0" y="0"/>
                      <a:ext cx="5815330" cy="2059305"/>
                    </a:xfrm>
                    <a:prstGeom prst="rect">
                      <a:avLst/>
                    </a:prstGeom>
                  </pic:spPr>
                </pic:pic>
              </a:graphicData>
            </a:graphic>
          </wp:inline>
        </w:drawing>
      </w:r>
    </w:p>
    <w:p w14:paraId="39ABD205">
      <w:pPr>
        <w:pStyle w:val="102"/>
        <w:spacing w:line="360" w:lineRule="auto"/>
        <w:jc w:val="both"/>
        <w:rPr>
          <w:b w:val="0"/>
          <w:bCs w:val="0"/>
          <w:highlight w:val="yellow"/>
        </w:rPr>
      </w:pPr>
      <w:r>
        <w:rPr>
          <w:rFonts w:hint="eastAsia" w:eastAsia="宋体"/>
          <w:highlight w:val="yellow"/>
          <w:lang w:eastAsia="zh-CN"/>
        </w:rPr>
        <w:t>Figure S</w:t>
      </w:r>
      <w:r>
        <w:rPr>
          <w:highlight w:val="yellow"/>
        </w:rPr>
        <w:t xml:space="preserve">15 Effect of </w:t>
      </w:r>
      <w:r>
        <w:rPr>
          <w:rFonts w:hint="eastAsia" w:eastAsia="宋体"/>
          <w:highlight w:val="yellow"/>
          <w:lang w:val="en-US" w:eastAsia="zh-CN"/>
        </w:rPr>
        <w:t xml:space="preserve">LAB </w:t>
      </w:r>
      <w:r>
        <w:rPr>
          <w:highlight w:val="yellow"/>
        </w:rPr>
        <w:t xml:space="preserve">strains on cell viability in influenza-infected cells under different treatment schemes. </w:t>
      </w:r>
      <w:r>
        <w:rPr>
          <w:b w:val="0"/>
          <w:bCs w:val="0"/>
          <w:highlight w:val="yellow"/>
        </w:rPr>
        <w:t xml:space="preserve">Cell viability following treatment with various LAB (Lactic Acid Bacteria) strains under two experimental schemes. Scheme 1 involved an </w:t>
      </w:r>
      <w:r>
        <w:rPr>
          <w:rFonts w:hint="eastAsia"/>
          <w:b w:val="0"/>
          <w:bCs w:val="0"/>
          <w:highlight w:val="yellow"/>
        </w:rPr>
        <w:t>8</w:t>
      </w:r>
      <w:r>
        <w:rPr>
          <w:b w:val="0"/>
          <w:bCs w:val="0"/>
          <w:highlight w:val="yellow"/>
        </w:rPr>
        <w:t>-hour pre</w:t>
      </w:r>
      <w:r>
        <w:rPr>
          <w:rFonts w:hint="eastAsia" w:eastAsia="宋体"/>
          <w:b w:val="0"/>
          <w:bCs w:val="0"/>
          <w:highlight w:val="yellow"/>
          <w:lang w:val="en-US" w:eastAsia="zh-CN"/>
        </w:rPr>
        <w:t>-</w:t>
      </w:r>
      <w:r>
        <w:rPr>
          <w:b w:val="0"/>
          <w:bCs w:val="0"/>
          <w:highlight w:val="yellow"/>
        </w:rPr>
        <w:t xml:space="preserve">treatment with LAB strains (C132, C123, C222, C32, A112, A113, B222, and B321), followed by 24 hours of influenza virus (JS/10) infection. Scheme 2 (right) involved an initial 1-hour infection with influenza virus, followed by co-infection with LAB strains for 24 hours. Controls include NC (uninfected, untreated cells) and cisplatin-treated cells, with cisplatin serving as a control for reduced cell viability due to its cytotoxic effects. LAB-treated groups show no statistically significant difference in viability (ns) compared to controls, while cisplatin treatment leads to a significant reduction in cell viability (one-way ANOVA test </w:t>
      </w:r>
      <w:r>
        <w:rPr>
          <w:rFonts w:eastAsia="宋体"/>
          <w:b w:val="0"/>
          <w:bCs w:val="0"/>
          <w:highlight w:val="yellow"/>
          <w:lang w:eastAsia="zh-CN"/>
        </w:rPr>
        <w:t>，</w:t>
      </w:r>
      <w:r>
        <w:rPr>
          <w:b w:val="0"/>
          <w:bCs w:val="0"/>
          <w:highlight w:val="yellow"/>
        </w:rPr>
        <w:t xml:space="preserve">****, </w:t>
      </w:r>
      <w:r>
        <w:rPr>
          <w:b w:val="0"/>
          <w:bCs w:val="0"/>
          <w:i/>
          <w:iCs/>
          <w:highlight w:val="yellow"/>
        </w:rPr>
        <w:t>p</w:t>
      </w:r>
      <w:r>
        <w:rPr>
          <w:b w:val="0"/>
          <w:bCs w:val="0"/>
          <w:highlight w:val="yellow"/>
        </w:rPr>
        <w:t xml:space="preserve"> &lt;0.000</w:t>
      </w:r>
      <w:r>
        <w:rPr>
          <w:rFonts w:eastAsiaTheme="minorEastAsia"/>
          <w:b w:val="0"/>
          <w:bCs w:val="0"/>
          <w:highlight w:val="yellow"/>
          <w:lang w:eastAsia="zh-CN"/>
        </w:rPr>
        <w:t>1</w:t>
      </w:r>
      <w:r>
        <w:rPr>
          <w:b w:val="0"/>
          <w:bCs w:val="0"/>
          <w:highlight w:val="yellow"/>
        </w:rPr>
        <w:t>).</w:t>
      </w:r>
    </w:p>
    <w:p w14:paraId="456D1665">
      <w:pPr>
        <w:pStyle w:val="102"/>
        <w:spacing w:line="360" w:lineRule="auto"/>
        <w:jc w:val="both"/>
        <w:rPr>
          <w:b w:val="0"/>
          <w:bCs w:val="0"/>
          <w:highlight w:val="yellow"/>
        </w:rPr>
      </w:pPr>
    </w:p>
    <w:p w14:paraId="49A7DE5D">
      <w:pPr>
        <w:pStyle w:val="102"/>
        <w:spacing w:line="360" w:lineRule="auto"/>
        <w:jc w:val="both"/>
        <w:rPr>
          <w:b w:val="0"/>
          <w:bCs w:val="0"/>
          <w:highlight w:val="yellow"/>
          <w:lang w:eastAsia="zh-CN"/>
        </w:rPr>
      </w:pPr>
    </w:p>
    <w:p w14:paraId="0FA4EC93">
      <w:pPr>
        <w:pStyle w:val="102"/>
        <w:spacing w:line="360" w:lineRule="auto"/>
        <w:rPr>
          <w:lang w:eastAsia="zh-CN"/>
        </w:rPr>
      </w:pPr>
      <w:r>
        <w:t>Table S</w:t>
      </w:r>
      <w:r>
        <w:rPr>
          <w:rFonts w:hint="eastAsia" w:eastAsia="宋体"/>
          <w:lang w:eastAsia="zh-CN"/>
        </w:rPr>
        <w:t>1</w:t>
      </w:r>
      <w:r>
        <w:t>. Primers used for RT- qPCR analyses</w:t>
      </w:r>
      <w:bookmarkStart w:id="2" w:name="_Hlk168608303"/>
    </w:p>
    <w:bookmarkEnd w:id="2"/>
    <w:tbl>
      <w:tblPr>
        <w:tblStyle w:val="89"/>
        <w:tblW w:w="9323"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43"/>
        <w:gridCol w:w="2390"/>
        <w:gridCol w:w="4390"/>
      </w:tblGrid>
      <w:tr w14:paraId="5B4EDFC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543" w:type="dxa"/>
            <w:tcBorders>
              <w:top w:val="single" w:color="auto" w:sz="4" w:space="0"/>
              <w:left w:val="nil"/>
              <w:bottom w:val="single" w:color="auto" w:sz="4" w:space="0"/>
              <w:right w:val="nil"/>
            </w:tcBorders>
            <w:shd w:val="clear" w:color="auto" w:fill="D8D8D8"/>
          </w:tcPr>
          <w:p w14:paraId="45148650">
            <w:pPr>
              <w:widowControl w:val="0"/>
              <w:autoSpaceDE w:val="0"/>
              <w:spacing w:line="360" w:lineRule="auto"/>
              <w:jc w:val="both"/>
              <w:rPr>
                <w:kern w:val="32"/>
                <w:szCs w:val="24"/>
              </w:rPr>
            </w:pPr>
            <w:r>
              <w:rPr>
                <w:kern w:val="32"/>
                <w:szCs w:val="24"/>
              </w:rPr>
              <w:t>Target gene</w:t>
            </w:r>
          </w:p>
        </w:tc>
        <w:tc>
          <w:tcPr>
            <w:tcW w:w="2390" w:type="dxa"/>
            <w:tcBorders>
              <w:top w:val="single" w:color="auto" w:sz="4" w:space="0"/>
              <w:left w:val="nil"/>
              <w:bottom w:val="single" w:color="auto" w:sz="4" w:space="0"/>
              <w:right w:val="nil"/>
            </w:tcBorders>
            <w:shd w:val="clear" w:color="auto" w:fill="D8D8D8"/>
            <w:vAlign w:val="bottom"/>
          </w:tcPr>
          <w:p w14:paraId="3F718CC5">
            <w:pPr>
              <w:widowControl w:val="0"/>
              <w:autoSpaceDE w:val="0"/>
              <w:spacing w:line="360" w:lineRule="auto"/>
              <w:jc w:val="both"/>
              <w:rPr>
                <w:kern w:val="32"/>
                <w:szCs w:val="24"/>
              </w:rPr>
            </w:pPr>
            <w:r>
              <w:rPr>
                <w:kern w:val="32"/>
                <w:szCs w:val="24"/>
              </w:rPr>
              <w:t>Primer pairs</w:t>
            </w:r>
          </w:p>
        </w:tc>
        <w:tc>
          <w:tcPr>
            <w:tcW w:w="4390" w:type="dxa"/>
            <w:tcBorders>
              <w:top w:val="single" w:color="auto" w:sz="4" w:space="0"/>
              <w:left w:val="nil"/>
              <w:bottom w:val="single" w:color="auto" w:sz="4" w:space="0"/>
              <w:right w:val="nil"/>
            </w:tcBorders>
            <w:shd w:val="clear" w:color="auto" w:fill="D8D8D8"/>
            <w:vAlign w:val="bottom"/>
          </w:tcPr>
          <w:p w14:paraId="02323604">
            <w:pPr>
              <w:widowControl w:val="0"/>
              <w:autoSpaceDE w:val="0"/>
              <w:spacing w:line="360" w:lineRule="auto"/>
              <w:jc w:val="both"/>
              <w:rPr>
                <w:kern w:val="32"/>
                <w:szCs w:val="24"/>
              </w:rPr>
            </w:pPr>
            <w:r>
              <w:rPr>
                <w:kern w:val="32"/>
                <w:szCs w:val="24"/>
              </w:rPr>
              <w:t>Sequence</w:t>
            </w:r>
          </w:p>
        </w:tc>
      </w:tr>
      <w:tr w14:paraId="73DE5F5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43" w:type="dxa"/>
            <w:vMerge w:val="restart"/>
            <w:tcBorders>
              <w:top w:val="nil"/>
              <w:left w:val="nil"/>
              <w:bottom w:val="nil"/>
              <w:right w:val="nil"/>
            </w:tcBorders>
            <w:vAlign w:val="center"/>
          </w:tcPr>
          <w:p w14:paraId="7BEB3167">
            <w:pPr>
              <w:widowControl w:val="0"/>
              <w:autoSpaceDE w:val="0"/>
              <w:spacing w:line="360" w:lineRule="auto"/>
              <w:jc w:val="both"/>
              <w:rPr>
                <w:kern w:val="32"/>
                <w:szCs w:val="24"/>
              </w:rPr>
            </w:pPr>
            <w:r>
              <w:rPr>
                <w:kern w:val="32"/>
                <w:szCs w:val="24"/>
              </w:rPr>
              <w:t>IFNα</w:t>
            </w:r>
          </w:p>
        </w:tc>
        <w:tc>
          <w:tcPr>
            <w:tcW w:w="2390" w:type="dxa"/>
            <w:tcBorders>
              <w:top w:val="single" w:color="auto" w:sz="4" w:space="0"/>
              <w:left w:val="nil"/>
              <w:bottom w:val="nil"/>
              <w:right w:val="nil"/>
            </w:tcBorders>
            <w:vAlign w:val="bottom"/>
          </w:tcPr>
          <w:p w14:paraId="08D32D0A">
            <w:pPr>
              <w:widowControl w:val="0"/>
              <w:autoSpaceDE w:val="0"/>
              <w:spacing w:line="360" w:lineRule="auto"/>
              <w:jc w:val="both"/>
              <w:rPr>
                <w:kern w:val="32"/>
                <w:szCs w:val="24"/>
              </w:rPr>
            </w:pPr>
            <w:r>
              <w:rPr>
                <w:kern w:val="32"/>
                <w:szCs w:val="24"/>
              </w:rPr>
              <w:t>Canis-IFNa-qF</w:t>
            </w:r>
          </w:p>
        </w:tc>
        <w:tc>
          <w:tcPr>
            <w:tcW w:w="4390" w:type="dxa"/>
            <w:tcBorders>
              <w:top w:val="single" w:color="auto" w:sz="4" w:space="0"/>
              <w:left w:val="nil"/>
              <w:bottom w:val="nil"/>
              <w:right w:val="nil"/>
            </w:tcBorders>
            <w:vAlign w:val="bottom"/>
          </w:tcPr>
          <w:p w14:paraId="28738C69">
            <w:pPr>
              <w:widowControl w:val="0"/>
              <w:autoSpaceDE w:val="0"/>
              <w:spacing w:line="360" w:lineRule="auto"/>
              <w:jc w:val="both"/>
              <w:rPr>
                <w:kern w:val="32"/>
                <w:szCs w:val="24"/>
              </w:rPr>
            </w:pPr>
            <w:r>
              <w:rPr>
                <w:kern w:val="32"/>
                <w:szCs w:val="24"/>
              </w:rPr>
              <w:t>CAACTGGAGGGTCCTGACGC</w:t>
            </w:r>
          </w:p>
        </w:tc>
      </w:tr>
      <w:tr w14:paraId="1220B07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34FBE26C">
            <w:pPr>
              <w:spacing w:line="360" w:lineRule="auto"/>
              <w:rPr>
                <w:kern w:val="32"/>
                <w:szCs w:val="24"/>
              </w:rPr>
            </w:pPr>
          </w:p>
        </w:tc>
        <w:tc>
          <w:tcPr>
            <w:tcW w:w="2390" w:type="dxa"/>
            <w:tcBorders>
              <w:top w:val="nil"/>
              <w:left w:val="nil"/>
              <w:bottom w:val="nil"/>
              <w:right w:val="nil"/>
            </w:tcBorders>
            <w:vAlign w:val="bottom"/>
          </w:tcPr>
          <w:p w14:paraId="3E2A1909">
            <w:pPr>
              <w:widowControl w:val="0"/>
              <w:autoSpaceDE w:val="0"/>
              <w:spacing w:line="360" w:lineRule="auto"/>
              <w:jc w:val="both"/>
              <w:rPr>
                <w:kern w:val="32"/>
                <w:szCs w:val="24"/>
              </w:rPr>
            </w:pPr>
            <w:r>
              <w:rPr>
                <w:kern w:val="32"/>
                <w:szCs w:val="24"/>
              </w:rPr>
              <w:t>Canis-IFNa-qR</w:t>
            </w:r>
          </w:p>
        </w:tc>
        <w:tc>
          <w:tcPr>
            <w:tcW w:w="4390" w:type="dxa"/>
            <w:tcBorders>
              <w:top w:val="nil"/>
              <w:left w:val="nil"/>
              <w:bottom w:val="nil"/>
              <w:right w:val="nil"/>
            </w:tcBorders>
            <w:vAlign w:val="bottom"/>
          </w:tcPr>
          <w:p w14:paraId="700F32E7">
            <w:pPr>
              <w:widowControl w:val="0"/>
              <w:autoSpaceDE w:val="0"/>
              <w:spacing w:line="360" w:lineRule="auto"/>
              <w:jc w:val="both"/>
              <w:rPr>
                <w:kern w:val="32"/>
                <w:szCs w:val="24"/>
              </w:rPr>
            </w:pPr>
            <w:r>
              <w:rPr>
                <w:kern w:val="32"/>
                <w:szCs w:val="24"/>
              </w:rPr>
              <w:t>GTCATGTTCCAAGGAGCAGA</w:t>
            </w:r>
          </w:p>
        </w:tc>
      </w:tr>
      <w:tr w14:paraId="6DBEA09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543" w:type="dxa"/>
            <w:vMerge w:val="restart"/>
            <w:tcBorders>
              <w:top w:val="nil"/>
              <w:left w:val="nil"/>
              <w:bottom w:val="nil"/>
              <w:right w:val="nil"/>
            </w:tcBorders>
            <w:vAlign w:val="center"/>
          </w:tcPr>
          <w:p w14:paraId="0B1DC7E1">
            <w:pPr>
              <w:widowControl w:val="0"/>
              <w:autoSpaceDE w:val="0"/>
              <w:spacing w:line="360" w:lineRule="auto"/>
              <w:jc w:val="both"/>
              <w:rPr>
                <w:kern w:val="32"/>
                <w:szCs w:val="24"/>
              </w:rPr>
            </w:pPr>
            <w:r>
              <w:rPr>
                <w:kern w:val="32"/>
                <w:szCs w:val="24"/>
              </w:rPr>
              <w:t>IFNβ1</w:t>
            </w:r>
          </w:p>
        </w:tc>
        <w:tc>
          <w:tcPr>
            <w:tcW w:w="2390" w:type="dxa"/>
            <w:tcBorders>
              <w:top w:val="nil"/>
              <w:left w:val="nil"/>
              <w:bottom w:val="nil"/>
              <w:right w:val="nil"/>
            </w:tcBorders>
            <w:vAlign w:val="bottom"/>
          </w:tcPr>
          <w:p w14:paraId="1089BAA3">
            <w:pPr>
              <w:widowControl w:val="0"/>
              <w:autoSpaceDE w:val="0"/>
              <w:spacing w:line="360" w:lineRule="auto"/>
              <w:jc w:val="both"/>
              <w:rPr>
                <w:kern w:val="32"/>
                <w:szCs w:val="24"/>
              </w:rPr>
            </w:pPr>
            <w:r>
              <w:rPr>
                <w:kern w:val="32"/>
                <w:szCs w:val="24"/>
              </w:rPr>
              <w:t>Canis-IFNβ1-qF</w:t>
            </w:r>
          </w:p>
        </w:tc>
        <w:tc>
          <w:tcPr>
            <w:tcW w:w="4390" w:type="dxa"/>
            <w:tcBorders>
              <w:top w:val="nil"/>
              <w:left w:val="nil"/>
              <w:bottom w:val="nil"/>
              <w:right w:val="nil"/>
            </w:tcBorders>
            <w:vAlign w:val="bottom"/>
          </w:tcPr>
          <w:p w14:paraId="0EC9C607">
            <w:pPr>
              <w:widowControl w:val="0"/>
              <w:autoSpaceDE w:val="0"/>
              <w:spacing w:line="360" w:lineRule="auto"/>
              <w:jc w:val="both"/>
              <w:rPr>
                <w:kern w:val="32"/>
                <w:szCs w:val="24"/>
              </w:rPr>
            </w:pPr>
            <w:r>
              <w:rPr>
                <w:kern w:val="32"/>
                <w:szCs w:val="24"/>
              </w:rPr>
              <w:t>GCAACGACTTGCTTCGATCC</w:t>
            </w:r>
          </w:p>
        </w:tc>
      </w:tr>
      <w:tr w14:paraId="77F436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45243EA3">
            <w:pPr>
              <w:spacing w:line="360" w:lineRule="auto"/>
              <w:rPr>
                <w:kern w:val="32"/>
                <w:szCs w:val="24"/>
              </w:rPr>
            </w:pPr>
          </w:p>
        </w:tc>
        <w:tc>
          <w:tcPr>
            <w:tcW w:w="2390" w:type="dxa"/>
            <w:tcBorders>
              <w:top w:val="nil"/>
              <w:left w:val="nil"/>
              <w:bottom w:val="nil"/>
              <w:right w:val="nil"/>
            </w:tcBorders>
            <w:vAlign w:val="bottom"/>
          </w:tcPr>
          <w:p w14:paraId="1A83D573">
            <w:pPr>
              <w:widowControl w:val="0"/>
              <w:autoSpaceDE w:val="0"/>
              <w:spacing w:line="360" w:lineRule="auto"/>
              <w:jc w:val="both"/>
              <w:rPr>
                <w:kern w:val="32"/>
                <w:szCs w:val="24"/>
              </w:rPr>
            </w:pPr>
            <w:r>
              <w:rPr>
                <w:kern w:val="32"/>
                <w:szCs w:val="24"/>
              </w:rPr>
              <w:t>Canis-IFNβ1-qR</w:t>
            </w:r>
          </w:p>
        </w:tc>
        <w:tc>
          <w:tcPr>
            <w:tcW w:w="4390" w:type="dxa"/>
            <w:tcBorders>
              <w:top w:val="nil"/>
              <w:left w:val="nil"/>
              <w:bottom w:val="nil"/>
              <w:right w:val="nil"/>
            </w:tcBorders>
            <w:vAlign w:val="bottom"/>
          </w:tcPr>
          <w:p w14:paraId="4EA05546">
            <w:pPr>
              <w:widowControl w:val="0"/>
              <w:autoSpaceDE w:val="0"/>
              <w:spacing w:line="360" w:lineRule="auto"/>
              <w:jc w:val="both"/>
              <w:rPr>
                <w:kern w:val="32"/>
                <w:szCs w:val="24"/>
              </w:rPr>
            </w:pPr>
            <w:r>
              <w:rPr>
                <w:kern w:val="32"/>
                <w:szCs w:val="24"/>
              </w:rPr>
              <w:t>CCTTCTGGAACTGGCGTGAT</w:t>
            </w:r>
          </w:p>
        </w:tc>
      </w:tr>
      <w:tr w14:paraId="62AA5FC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543" w:type="dxa"/>
            <w:vMerge w:val="restart"/>
            <w:tcBorders>
              <w:top w:val="nil"/>
              <w:left w:val="nil"/>
              <w:bottom w:val="nil"/>
              <w:right w:val="nil"/>
            </w:tcBorders>
            <w:vAlign w:val="center"/>
          </w:tcPr>
          <w:p w14:paraId="6EE04395">
            <w:pPr>
              <w:widowControl w:val="0"/>
              <w:autoSpaceDE w:val="0"/>
              <w:spacing w:line="360" w:lineRule="auto"/>
              <w:jc w:val="both"/>
              <w:rPr>
                <w:kern w:val="32"/>
                <w:szCs w:val="24"/>
              </w:rPr>
            </w:pPr>
            <w:r>
              <w:rPr>
                <w:kern w:val="32"/>
                <w:szCs w:val="24"/>
              </w:rPr>
              <w:t>OAS1</w:t>
            </w:r>
          </w:p>
        </w:tc>
        <w:tc>
          <w:tcPr>
            <w:tcW w:w="2390" w:type="dxa"/>
            <w:tcBorders>
              <w:top w:val="nil"/>
              <w:left w:val="nil"/>
              <w:bottom w:val="nil"/>
              <w:right w:val="nil"/>
            </w:tcBorders>
            <w:vAlign w:val="bottom"/>
          </w:tcPr>
          <w:p w14:paraId="2C8D9275">
            <w:pPr>
              <w:widowControl w:val="0"/>
              <w:autoSpaceDE w:val="0"/>
              <w:spacing w:line="360" w:lineRule="auto"/>
              <w:jc w:val="both"/>
              <w:rPr>
                <w:kern w:val="32"/>
                <w:szCs w:val="24"/>
              </w:rPr>
            </w:pPr>
            <w:r>
              <w:rPr>
                <w:kern w:val="32"/>
                <w:szCs w:val="24"/>
              </w:rPr>
              <w:t>Canis-OAS1-qF</w:t>
            </w:r>
          </w:p>
        </w:tc>
        <w:tc>
          <w:tcPr>
            <w:tcW w:w="4390" w:type="dxa"/>
            <w:tcBorders>
              <w:top w:val="nil"/>
              <w:left w:val="nil"/>
              <w:bottom w:val="nil"/>
              <w:right w:val="nil"/>
            </w:tcBorders>
            <w:vAlign w:val="bottom"/>
          </w:tcPr>
          <w:p w14:paraId="4E385890">
            <w:pPr>
              <w:widowControl w:val="0"/>
              <w:autoSpaceDE w:val="0"/>
              <w:spacing w:line="360" w:lineRule="auto"/>
              <w:jc w:val="both"/>
              <w:rPr>
                <w:kern w:val="32"/>
                <w:szCs w:val="24"/>
              </w:rPr>
            </w:pPr>
            <w:r>
              <w:rPr>
                <w:kern w:val="32"/>
                <w:szCs w:val="24"/>
              </w:rPr>
              <w:t>TTCACATCATCTCCACTT</w:t>
            </w:r>
          </w:p>
        </w:tc>
      </w:tr>
      <w:tr w14:paraId="0983E3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3D2962D5">
            <w:pPr>
              <w:spacing w:line="360" w:lineRule="auto"/>
              <w:rPr>
                <w:kern w:val="32"/>
                <w:szCs w:val="24"/>
              </w:rPr>
            </w:pPr>
          </w:p>
        </w:tc>
        <w:tc>
          <w:tcPr>
            <w:tcW w:w="2390" w:type="dxa"/>
            <w:tcBorders>
              <w:top w:val="nil"/>
              <w:left w:val="nil"/>
              <w:bottom w:val="nil"/>
              <w:right w:val="nil"/>
            </w:tcBorders>
            <w:vAlign w:val="bottom"/>
          </w:tcPr>
          <w:p w14:paraId="77C163C9">
            <w:pPr>
              <w:widowControl w:val="0"/>
              <w:autoSpaceDE w:val="0"/>
              <w:spacing w:line="360" w:lineRule="auto"/>
              <w:jc w:val="both"/>
              <w:rPr>
                <w:kern w:val="32"/>
                <w:szCs w:val="24"/>
              </w:rPr>
            </w:pPr>
            <w:r>
              <w:rPr>
                <w:kern w:val="32"/>
                <w:szCs w:val="24"/>
              </w:rPr>
              <w:t>Canis-OAS1-qR</w:t>
            </w:r>
          </w:p>
        </w:tc>
        <w:tc>
          <w:tcPr>
            <w:tcW w:w="4390" w:type="dxa"/>
            <w:tcBorders>
              <w:top w:val="nil"/>
              <w:left w:val="nil"/>
              <w:bottom w:val="nil"/>
              <w:right w:val="nil"/>
            </w:tcBorders>
            <w:vAlign w:val="bottom"/>
          </w:tcPr>
          <w:p w14:paraId="511E1120">
            <w:pPr>
              <w:widowControl w:val="0"/>
              <w:autoSpaceDE w:val="0"/>
              <w:spacing w:line="360" w:lineRule="auto"/>
              <w:jc w:val="both"/>
              <w:rPr>
                <w:kern w:val="32"/>
                <w:szCs w:val="24"/>
              </w:rPr>
            </w:pPr>
            <w:r>
              <w:rPr>
                <w:kern w:val="32"/>
                <w:szCs w:val="24"/>
              </w:rPr>
              <w:t>ACCCTTGACAACTTTAGA</w:t>
            </w:r>
          </w:p>
        </w:tc>
      </w:tr>
      <w:tr w14:paraId="6DBD758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43" w:type="dxa"/>
            <w:vMerge w:val="restart"/>
            <w:tcBorders>
              <w:top w:val="nil"/>
              <w:left w:val="nil"/>
              <w:bottom w:val="nil"/>
              <w:right w:val="nil"/>
            </w:tcBorders>
            <w:vAlign w:val="center"/>
          </w:tcPr>
          <w:p w14:paraId="23B1D3EF">
            <w:pPr>
              <w:widowControl w:val="0"/>
              <w:autoSpaceDE w:val="0"/>
              <w:spacing w:line="360" w:lineRule="auto"/>
              <w:jc w:val="both"/>
              <w:rPr>
                <w:kern w:val="32"/>
                <w:szCs w:val="24"/>
              </w:rPr>
            </w:pPr>
            <w:r>
              <w:rPr>
                <w:kern w:val="32"/>
                <w:szCs w:val="24"/>
              </w:rPr>
              <w:t>PKR</w:t>
            </w:r>
          </w:p>
        </w:tc>
        <w:tc>
          <w:tcPr>
            <w:tcW w:w="2390" w:type="dxa"/>
            <w:tcBorders>
              <w:top w:val="nil"/>
              <w:left w:val="nil"/>
              <w:bottom w:val="nil"/>
              <w:right w:val="nil"/>
            </w:tcBorders>
            <w:vAlign w:val="bottom"/>
          </w:tcPr>
          <w:p w14:paraId="781C4ED0">
            <w:pPr>
              <w:widowControl w:val="0"/>
              <w:autoSpaceDE w:val="0"/>
              <w:spacing w:line="360" w:lineRule="auto"/>
              <w:jc w:val="both"/>
              <w:rPr>
                <w:kern w:val="32"/>
                <w:szCs w:val="24"/>
              </w:rPr>
            </w:pPr>
            <w:r>
              <w:rPr>
                <w:kern w:val="32"/>
                <w:szCs w:val="24"/>
              </w:rPr>
              <w:t>Canis-PKR-qF</w:t>
            </w:r>
          </w:p>
        </w:tc>
        <w:tc>
          <w:tcPr>
            <w:tcW w:w="4390" w:type="dxa"/>
            <w:tcBorders>
              <w:top w:val="nil"/>
              <w:left w:val="nil"/>
              <w:bottom w:val="nil"/>
              <w:right w:val="nil"/>
            </w:tcBorders>
            <w:vAlign w:val="bottom"/>
          </w:tcPr>
          <w:p w14:paraId="71087D57">
            <w:pPr>
              <w:widowControl w:val="0"/>
              <w:autoSpaceDE w:val="0"/>
              <w:spacing w:line="360" w:lineRule="auto"/>
              <w:jc w:val="both"/>
              <w:rPr>
                <w:kern w:val="32"/>
                <w:szCs w:val="24"/>
              </w:rPr>
            </w:pPr>
            <w:r>
              <w:rPr>
                <w:kern w:val="32"/>
                <w:szCs w:val="24"/>
              </w:rPr>
              <w:t>AATTGGCTCAGGTGGATATGG</w:t>
            </w:r>
          </w:p>
        </w:tc>
      </w:tr>
      <w:tr w14:paraId="7AC1561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1851BC4B">
            <w:pPr>
              <w:spacing w:line="360" w:lineRule="auto"/>
              <w:rPr>
                <w:kern w:val="32"/>
                <w:szCs w:val="24"/>
              </w:rPr>
            </w:pPr>
          </w:p>
        </w:tc>
        <w:tc>
          <w:tcPr>
            <w:tcW w:w="2390" w:type="dxa"/>
            <w:tcBorders>
              <w:top w:val="nil"/>
              <w:left w:val="nil"/>
              <w:bottom w:val="nil"/>
              <w:right w:val="nil"/>
            </w:tcBorders>
            <w:vAlign w:val="bottom"/>
          </w:tcPr>
          <w:p w14:paraId="12B1486A">
            <w:pPr>
              <w:widowControl w:val="0"/>
              <w:autoSpaceDE w:val="0"/>
              <w:spacing w:line="360" w:lineRule="auto"/>
              <w:jc w:val="both"/>
              <w:rPr>
                <w:kern w:val="32"/>
                <w:szCs w:val="24"/>
              </w:rPr>
            </w:pPr>
            <w:r>
              <w:rPr>
                <w:kern w:val="32"/>
                <w:szCs w:val="24"/>
              </w:rPr>
              <w:t>Canis-PKR-qR</w:t>
            </w:r>
          </w:p>
        </w:tc>
        <w:tc>
          <w:tcPr>
            <w:tcW w:w="4390" w:type="dxa"/>
            <w:tcBorders>
              <w:top w:val="nil"/>
              <w:left w:val="nil"/>
              <w:bottom w:val="nil"/>
              <w:right w:val="nil"/>
            </w:tcBorders>
            <w:vAlign w:val="bottom"/>
          </w:tcPr>
          <w:p w14:paraId="3633C2B4">
            <w:pPr>
              <w:widowControl w:val="0"/>
              <w:autoSpaceDE w:val="0"/>
              <w:spacing w:line="360" w:lineRule="auto"/>
              <w:jc w:val="both"/>
              <w:rPr>
                <w:kern w:val="32"/>
                <w:szCs w:val="24"/>
              </w:rPr>
            </w:pPr>
            <w:r>
              <w:rPr>
                <w:kern w:val="32"/>
                <w:szCs w:val="24"/>
              </w:rPr>
              <w:t>ACCTTCTTGTCGCTATCGTATTT</w:t>
            </w:r>
          </w:p>
        </w:tc>
      </w:tr>
      <w:tr w14:paraId="793A5E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543" w:type="dxa"/>
            <w:vMerge w:val="restart"/>
            <w:tcBorders>
              <w:top w:val="nil"/>
              <w:left w:val="nil"/>
              <w:bottom w:val="nil"/>
              <w:right w:val="nil"/>
            </w:tcBorders>
            <w:vAlign w:val="center"/>
          </w:tcPr>
          <w:p w14:paraId="660FD2D8">
            <w:pPr>
              <w:widowControl w:val="0"/>
              <w:autoSpaceDE w:val="0"/>
              <w:spacing w:line="360" w:lineRule="auto"/>
              <w:jc w:val="both"/>
              <w:rPr>
                <w:kern w:val="32"/>
                <w:szCs w:val="24"/>
              </w:rPr>
            </w:pPr>
            <w:r>
              <w:rPr>
                <w:kern w:val="32"/>
                <w:szCs w:val="24"/>
              </w:rPr>
              <w:t>Myd88</w:t>
            </w:r>
          </w:p>
        </w:tc>
        <w:tc>
          <w:tcPr>
            <w:tcW w:w="2390" w:type="dxa"/>
            <w:tcBorders>
              <w:top w:val="nil"/>
              <w:left w:val="nil"/>
              <w:bottom w:val="nil"/>
              <w:right w:val="nil"/>
            </w:tcBorders>
            <w:vAlign w:val="bottom"/>
          </w:tcPr>
          <w:p w14:paraId="08188E4D">
            <w:pPr>
              <w:widowControl w:val="0"/>
              <w:autoSpaceDE w:val="0"/>
              <w:spacing w:line="360" w:lineRule="auto"/>
              <w:jc w:val="both"/>
              <w:rPr>
                <w:kern w:val="32"/>
                <w:szCs w:val="24"/>
              </w:rPr>
            </w:pPr>
            <w:r>
              <w:rPr>
                <w:kern w:val="32"/>
                <w:szCs w:val="24"/>
              </w:rPr>
              <w:t>Canis-Myd88-qF</w:t>
            </w:r>
          </w:p>
        </w:tc>
        <w:tc>
          <w:tcPr>
            <w:tcW w:w="4390" w:type="dxa"/>
            <w:tcBorders>
              <w:top w:val="nil"/>
              <w:left w:val="nil"/>
              <w:bottom w:val="nil"/>
              <w:right w:val="nil"/>
            </w:tcBorders>
            <w:vAlign w:val="bottom"/>
          </w:tcPr>
          <w:p w14:paraId="3117CDAE">
            <w:pPr>
              <w:widowControl w:val="0"/>
              <w:autoSpaceDE w:val="0"/>
              <w:spacing w:line="360" w:lineRule="auto"/>
              <w:jc w:val="both"/>
              <w:rPr>
                <w:kern w:val="32"/>
                <w:szCs w:val="24"/>
              </w:rPr>
            </w:pPr>
            <w:r>
              <w:rPr>
                <w:kern w:val="32"/>
                <w:szCs w:val="24"/>
              </w:rPr>
              <w:t>TCACCATGCTTGATGATCCCT</w:t>
            </w:r>
          </w:p>
        </w:tc>
      </w:tr>
      <w:tr w14:paraId="741B0AA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4F449F96">
            <w:pPr>
              <w:spacing w:line="360" w:lineRule="auto"/>
              <w:rPr>
                <w:kern w:val="32"/>
                <w:szCs w:val="24"/>
              </w:rPr>
            </w:pPr>
          </w:p>
        </w:tc>
        <w:tc>
          <w:tcPr>
            <w:tcW w:w="2390" w:type="dxa"/>
            <w:tcBorders>
              <w:top w:val="nil"/>
              <w:left w:val="nil"/>
              <w:bottom w:val="nil"/>
              <w:right w:val="nil"/>
            </w:tcBorders>
            <w:vAlign w:val="bottom"/>
          </w:tcPr>
          <w:p w14:paraId="16AB153C">
            <w:pPr>
              <w:widowControl w:val="0"/>
              <w:autoSpaceDE w:val="0"/>
              <w:spacing w:line="360" w:lineRule="auto"/>
              <w:jc w:val="both"/>
              <w:rPr>
                <w:kern w:val="32"/>
                <w:szCs w:val="24"/>
              </w:rPr>
            </w:pPr>
            <w:r>
              <w:rPr>
                <w:kern w:val="32"/>
                <w:szCs w:val="24"/>
              </w:rPr>
              <w:t>Canis-Myd88-qR</w:t>
            </w:r>
          </w:p>
        </w:tc>
        <w:tc>
          <w:tcPr>
            <w:tcW w:w="4390" w:type="dxa"/>
            <w:tcBorders>
              <w:top w:val="nil"/>
              <w:left w:val="nil"/>
              <w:bottom w:val="nil"/>
              <w:right w:val="nil"/>
            </w:tcBorders>
            <w:vAlign w:val="bottom"/>
          </w:tcPr>
          <w:p w14:paraId="3C5A6D2C">
            <w:pPr>
              <w:widowControl w:val="0"/>
              <w:autoSpaceDE w:val="0"/>
              <w:spacing w:line="360" w:lineRule="auto"/>
              <w:jc w:val="both"/>
              <w:rPr>
                <w:kern w:val="32"/>
                <w:szCs w:val="24"/>
              </w:rPr>
            </w:pPr>
            <w:r>
              <w:rPr>
                <w:kern w:val="32"/>
                <w:szCs w:val="24"/>
              </w:rPr>
              <w:t>TTCCAGCTGCCGGATCATTT</w:t>
            </w:r>
          </w:p>
        </w:tc>
      </w:tr>
      <w:tr w14:paraId="4A615B3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543" w:type="dxa"/>
            <w:vMerge w:val="restart"/>
            <w:tcBorders>
              <w:top w:val="nil"/>
              <w:left w:val="nil"/>
              <w:bottom w:val="nil"/>
              <w:right w:val="nil"/>
            </w:tcBorders>
            <w:vAlign w:val="center"/>
          </w:tcPr>
          <w:p w14:paraId="4C755295">
            <w:pPr>
              <w:widowControl w:val="0"/>
              <w:autoSpaceDE w:val="0"/>
              <w:spacing w:line="360" w:lineRule="auto"/>
              <w:jc w:val="both"/>
              <w:rPr>
                <w:kern w:val="32"/>
                <w:szCs w:val="24"/>
              </w:rPr>
            </w:pPr>
            <w:r>
              <w:rPr>
                <w:kern w:val="32"/>
                <w:szCs w:val="24"/>
              </w:rPr>
              <w:t>Mx1</w:t>
            </w:r>
          </w:p>
        </w:tc>
        <w:tc>
          <w:tcPr>
            <w:tcW w:w="2390" w:type="dxa"/>
            <w:tcBorders>
              <w:top w:val="nil"/>
              <w:left w:val="nil"/>
              <w:bottom w:val="nil"/>
              <w:right w:val="nil"/>
            </w:tcBorders>
            <w:vAlign w:val="bottom"/>
          </w:tcPr>
          <w:p w14:paraId="4BEDFFC3">
            <w:pPr>
              <w:widowControl w:val="0"/>
              <w:autoSpaceDE w:val="0"/>
              <w:spacing w:line="360" w:lineRule="auto"/>
              <w:jc w:val="both"/>
              <w:rPr>
                <w:kern w:val="32"/>
                <w:szCs w:val="24"/>
              </w:rPr>
            </w:pPr>
            <w:r>
              <w:rPr>
                <w:kern w:val="32"/>
                <w:szCs w:val="24"/>
              </w:rPr>
              <w:t>Canis-Mx1-qF</w:t>
            </w:r>
          </w:p>
        </w:tc>
        <w:tc>
          <w:tcPr>
            <w:tcW w:w="4390" w:type="dxa"/>
            <w:tcBorders>
              <w:top w:val="nil"/>
              <w:left w:val="nil"/>
              <w:bottom w:val="nil"/>
              <w:right w:val="nil"/>
            </w:tcBorders>
            <w:vAlign w:val="bottom"/>
          </w:tcPr>
          <w:p w14:paraId="0479A952">
            <w:pPr>
              <w:widowControl w:val="0"/>
              <w:autoSpaceDE w:val="0"/>
              <w:spacing w:line="360" w:lineRule="auto"/>
              <w:jc w:val="both"/>
              <w:rPr>
                <w:kern w:val="32"/>
                <w:szCs w:val="24"/>
              </w:rPr>
            </w:pPr>
            <w:r>
              <w:rPr>
                <w:kern w:val="32"/>
                <w:szCs w:val="24"/>
              </w:rPr>
              <w:t>GAATCCTGTACCCAATCATGTG</w:t>
            </w:r>
          </w:p>
        </w:tc>
      </w:tr>
      <w:tr w14:paraId="63CFCF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13F56889">
            <w:pPr>
              <w:spacing w:line="360" w:lineRule="auto"/>
              <w:rPr>
                <w:kern w:val="32"/>
                <w:szCs w:val="24"/>
              </w:rPr>
            </w:pPr>
          </w:p>
        </w:tc>
        <w:tc>
          <w:tcPr>
            <w:tcW w:w="2390" w:type="dxa"/>
            <w:tcBorders>
              <w:top w:val="nil"/>
              <w:left w:val="nil"/>
              <w:bottom w:val="nil"/>
              <w:right w:val="nil"/>
            </w:tcBorders>
            <w:vAlign w:val="bottom"/>
          </w:tcPr>
          <w:p w14:paraId="48B8068B">
            <w:pPr>
              <w:widowControl w:val="0"/>
              <w:autoSpaceDE w:val="0"/>
              <w:spacing w:line="360" w:lineRule="auto"/>
              <w:jc w:val="both"/>
              <w:rPr>
                <w:kern w:val="32"/>
                <w:szCs w:val="24"/>
              </w:rPr>
            </w:pPr>
            <w:r>
              <w:rPr>
                <w:kern w:val="32"/>
                <w:szCs w:val="24"/>
              </w:rPr>
              <w:t>Canis-Mx1-qR</w:t>
            </w:r>
          </w:p>
        </w:tc>
        <w:tc>
          <w:tcPr>
            <w:tcW w:w="4390" w:type="dxa"/>
            <w:tcBorders>
              <w:top w:val="nil"/>
              <w:left w:val="nil"/>
              <w:bottom w:val="nil"/>
              <w:right w:val="nil"/>
            </w:tcBorders>
            <w:vAlign w:val="bottom"/>
          </w:tcPr>
          <w:p w14:paraId="56DFD3DE">
            <w:pPr>
              <w:widowControl w:val="0"/>
              <w:autoSpaceDE w:val="0"/>
              <w:spacing w:line="360" w:lineRule="auto"/>
              <w:jc w:val="both"/>
              <w:rPr>
                <w:kern w:val="32"/>
                <w:szCs w:val="24"/>
              </w:rPr>
            </w:pPr>
            <w:r>
              <w:rPr>
                <w:kern w:val="32"/>
                <w:szCs w:val="24"/>
              </w:rPr>
              <w:t>TACCTTCTCCTCATATTGGCT</w:t>
            </w:r>
          </w:p>
        </w:tc>
      </w:tr>
      <w:tr w14:paraId="53BA903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543" w:type="dxa"/>
            <w:vMerge w:val="restart"/>
            <w:tcBorders>
              <w:top w:val="nil"/>
              <w:left w:val="nil"/>
              <w:bottom w:val="nil"/>
              <w:right w:val="nil"/>
            </w:tcBorders>
            <w:vAlign w:val="center"/>
          </w:tcPr>
          <w:p w14:paraId="36594CC1">
            <w:pPr>
              <w:widowControl w:val="0"/>
              <w:autoSpaceDE w:val="0"/>
              <w:spacing w:line="360" w:lineRule="auto"/>
              <w:jc w:val="both"/>
              <w:rPr>
                <w:kern w:val="32"/>
                <w:szCs w:val="24"/>
              </w:rPr>
            </w:pPr>
            <w:r>
              <w:rPr>
                <w:kern w:val="32"/>
                <w:szCs w:val="24"/>
              </w:rPr>
              <w:t>Mx2</w:t>
            </w:r>
          </w:p>
        </w:tc>
        <w:tc>
          <w:tcPr>
            <w:tcW w:w="2390" w:type="dxa"/>
            <w:tcBorders>
              <w:top w:val="nil"/>
              <w:left w:val="nil"/>
              <w:bottom w:val="nil"/>
              <w:right w:val="nil"/>
            </w:tcBorders>
            <w:vAlign w:val="bottom"/>
          </w:tcPr>
          <w:p w14:paraId="1AE2525F">
            <w:pPr>
              <w:widowControl w:val="0"/>
              <w:autoSpaceDE w:val="0"/>
              <w:spacing w:line="360" w:lineRule="auto"/>
              <w:jc w:val="both"/>
              <w:rPr>
                <w:kern w:val="32"/>
                <w:szCs w:val="24"/>
              </w:rPr>
            </w:pPr>
            <w:r>
              <w:rPr>
                <w:kern w:val="32"/>
                <w:szCs w:val="24"/>
              </w:rPr>
              <w:t>Canis-Mx2-qF</w:t>
            </w:r>
          </w:p>
        </w:tc>
        <w:tc>
          <w:tcPr>
            <w:tcW w:w="4390" w:type="dxa"/>
            <w:tcBorders>
              <w:top w:val="nil"/>
              <w:left w:val="nil"/>
              <w:bottom w:val="nil"/>
              <w:right w:val="nil"/>
            </w:tcBorders>
            <w:vAlign w:val="bottom"/>
          </w:tcPr>
          <w:p w14:paraId="777EBA36">
            <w:pPr>
              <w:widowControl w:val="0"/>
              <w:autoSpaceDE w:val="0"/>
              <w:spacing w:line="360" w:lineRule="auto"/>
              <w:jc w:val="both"/>
              <w:rPr>
                <w:kern w:val="32"/>
                <w:szCs w:val="24"/>
              </w:rPr>
            </w:pPr>
            <w:r>
              <w:rPr>
                <w:kern w:val="32"/>
                <w:szCs w:val="24"/>
              </w:rPr>
              <w:t>CAAGCTTTCACCGACACAGC</w:t>
            </w:r>
          </w:p>
        </w:tc>
      </w:tr>
      <w:tr w14:paraId="11B909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373A9B44">
            <w:pPr>
              <w:spacing w:line="360" w:lineRule="auto"/>
              <w:rPr>
                <w:kern w:val="32"/>
                <w:szCs w:val="24"/>
              </w:rPr>
            </w:pPr>
          </w:p>
        </w:tc>
        <w:tc>
          <w:tcPr>
            <w:tcW w:w="2390" w:type="dxa"/>
            <w:tcBorders>
              <w:top w:val="nil"/>
              <w:left w:val="nil"/>
              <w:bottom w:val="nil"/>
              <w:right w:val="nil"/>
            </w:tcBorders>
            <w:vAlign w:val="bottom"/>
          </w:tcPr>
          <w:p w14:paraId="5E635605">
            <w:pPr>
              <w:widowControl w:val="0"/>
              <w:autoSpaceDE w:val="0"/>
              <w:spacing w:line="360" w:lineRule="auto"/>
              <w:jc w:val="both"/>
              <w:rPr>
                <w:kern w:val="32"/>
                <w:szCs w:val="24"/>
              </w:rPr>
            </w:pPr>
            <w:r>
              <w:rPr>
                <w:kern w:val="32"/>
                <w:szCs w:val="24"/>
              </w:rPr>
              <w:t>Canis-Mx2-qR</w:t>
            </w:r>
          </w:p>
        </w:tc>
        <w:tc>
          <w:tcPr>
            <w:tcW w:w="4390" w:type="dxa"/>
            <w:tcBorders>
              <w:top w:val="nil"/>
              <w:left w:val="nil"/>
              <w:bottom w:val="nil"/>
              <w:right w:val="nil"/>
            </w:tcBorders>
            <w:vAlign w:val="bottom"/>
          </w:tcPr>
          <w:p w14:paraId="23E7E140">
            <w:pPr>
              <w:widowControl w:val="0"/>
              <w:autoSpaceDE w:val="0"/>
              <w:spacing w:line="360" w:lineRule="auto"/>
              <w:jc w:val="both"/>
              <w:rPr>
                <w:kern w:val="32"/>
                <w:szCs w:val="24"/>
              </w:rPr>
            </w:pPr>
            <w:r>
              <w:rPr>
                <w:kern w:val="32"/>
                <w:szCs w:val="24"/>
              </w:rPr>
              <w:t>GGACCTTCCTCAGAACCACG</w:t>
            </w:r>
          </w:p>
        </w:tc>
      </w:tr>
      <w:tr w14:paraId="4CAF869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43" w:type="dxa"/>
            <w:vMerge w:val="restart"/>
            <w:tcBorders>
              <w:top w:val="nil"/>
              <w:left w:val="nil"/>
              <w:bottom w:val="nil"/>
              <w:right w:val="nil"/>
            </w:tcBorders>
            <w:vAlign w:val="center"/>
          </w:tcPr>
          <w:p w14:paraId="02A0D9CA">
            <w:pPr>
              <w:widowControl w:val="0"/>
              <w:autoSpaceDE w:val="0"/>
              <w:spacing w:line="360" w:lineRule="auto"/>
              <w:jc w:val="both"/>
              <w:rPr>
                <w:kern w:val="32"/>
                <w:szCs w:val="24"/>
              </w:rPr>
            </w:pPr>
            <w:r>
              <w:rPr>
                <w:kern w:val="32"/>
                <w:szCs w:val="24"/>
              </w:rPr>
              <w:t>IL6</w:t>
            </w:r>
          </w:p>
        </w:tc>
        <w:tc>
          <w:tcPr>
            <w:tcW w:w="2390" w:type="dxa"/>
            <w:tcBorders>
              <w:top w:val="nil"/>
              <w:left w:val="nil"/>
              <w:bottom w:val="nil"/>
              <w:right w:val="nil"/>
            </w:tcBorders>
            <w:vAlign w:val="bottom"/>
          </w:tcPr>
          <w:p w14:paraId="6FCFCBD5">
            <w:pPr>
              <w:widowControl w:val="0"/>
              <w:autoSpaceDE w:val="0"/>
              <w:spacing w:line="360" w:lineRule="auto"/>
              <w:jc w:val="both"/>
              <w:rPr>
                <w:kern w:val="32"/>
                <w:szCs w:val="24"/>
              </w:rPr>
            </w:pPr>
            <w:r>
              <w:rPr>
                <w:kern w:val="32"/>
                <w:szCs w:val="24"/>
              </w:rPr>
              <w:t>Canis-IL6-qF</w:t>
            </w:r>
          </w:p>
        </w:tc>
        <w:tc>
          <w:tcPr>
            <w:tcW w:w="4390" w:type="dxa"/>
            <w:tcBorders>
              <w:top w:val="nil"/>
              <w:left w:val="nil"/>
              <w:bottom w:val="nil"/>
              <w:right w:val="nil"/>
            </w:tcBorders>
            <w:vAlign w:val="bottom"/>
          </w:tcPr>
          <w:p w14:paraId="11CBA617">
            <w:pPr>
              <w:widowControl w:val="0"/>
              <w:autoSpaceDE w:val="0"/>
              <w:spacing w:line="360" w:lineRule="auto"/>
              <w:jc w:val="both"/>
              <w:rPr>
                <w:kern w:val="32"/>
                <w:szCs w:val="24"/>
              </w:rPr>
            </w:pPr>
            <w:r>
              <w:rPr>
                <w:kern w:val="32"/>
                <w:szCs w:val="24"/>
              </w:rPr>
              <w:t>CTCTGCACTGAGAAAGGAGATG</w:t>
            </w:r>
          </w:p>
        </w:tc>
      </w:tr>
      <w:tr w14:paraId="295EE4D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04CA23B9">
            <w:pPr>
              <w:spacing w:line="360" w:lineRule="auto"/>
              <w:rPr>
                <w:kern w:val="32"/>
                <w:szCs w:val="24"/>
              </w:rPr>
            </w:pPr>
          </w:p>
        </w:tc>
        <w:tc>
          <w:tcPr>
            <w:tcW w:w="2390" w:type="dxa"/>
            <w:tcBorders>
              <w:top w:val="nil"/>
              <w:left w:val="nil"/>
              <w:bottom w:val="nil"/>
              <w:right w:val="nil"/>
            </w:tcBorders>
            <w:vAlign w:val="bottom"/>
          </w:tcPr>
          <w:p w14:paraId="59C928C7">
            <w:pPr>
              <w:widowControl w:val="0"/>
              <w:autoSpaceDE w:val="0"/>
              <w:spacing w:line="360" w:lineRule="auto"/>
              <w:jc w:val="both"/>
              <w:rPr>
                <w:kern w:val="32"/>
                <w:szCs w:val="24"/>
              </w:rPr>
            </w:pPr>
            <w:r>
              <w:rPr>
                <w:kern w:val="32"/>
                <w:szCs w:val="24"/>
              </w:rPr>
              <w:t>Canis-IL6-qR</w:t>
            </w:r>
          </w:p>
        </w:tc>
        <w:tc>
          <w:tcPr>
            <w:tcW w:w="4390" w:type="dxa"/>
            <w:tcBorders>
              <w:top w:val="nil"/>
              <w:left w:val="nil"/>
              <w:bottom w:val="nil"/>
              <w:right w:val="nil"/>
            </w:tcBorders>
            <w:vAlign w:val="bottom"/>
          </w:tcPr>
          <w:p w14:paraId="152E3974">
            <w:pPr>
              <w:widowControl w:val="0"/>
              <w:autoSpaceDE w:val="0"/>
              <w:spacing w:line="360" w:lineRule="auto"/>
              <w:jc w:val="both"/>
              <w:rPr>
                <w:kern w:val="32"/>
                <w:szCs w:val="24"/>
              </w:rPr>
            </w:pPr>
            <w:r>
              <w:rPr>
                <w:kern w:val="32"/>
                <w:szCs w:val="24"/>
              </w:rPr>
              <w:t>CTCCAGTTTGGGAAGATGTAGG</w:t>
            </w:r>
          </w:p>
        </w:tc>
      </w:tr>
      <w:tr w14:paraId="0CE3BED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543" w:type="dxa"/>
            <w:vMerge w:val="restart"/>
            <w:tcBorders>
              <w:top w:val="nil"/>
              <w:left w:val="nil"/>
              <w:bottom w:val="nil"/>
              <w:right w:val="nil"/>
            </w:tcBorders>
            <w:vAlign w:val="center"/>
          </w:tcPr>
          <w:p w14:paraId="387DF3CF">
            <w:pPr>
              <w:widowControl w:val="0"/>
              <w:autoSpaceDE w:val="0"/>
              <w:spacing w:line="360" w:lineRule="auto"/>
              <w:jc w:val="both"/>
              <w:rPr>
                <w:kern w:val="32"/>
                <w:szCs w:val="24"/>
              </w:rPr>
            </w:pPr>
            <w:r>
              <w:rPr>
                <w:kern w:val="32"/>
                <w:szCs w:val="24"/>
              </w:rPr>
              <w:t>Caspase3</w:t>
            </w:r>
          </w:p>
        </w:tc>
        <w:tc>
          <w:tcPr>
            <w:tcW w:w="2390" w:type="dxa"/>
            <w:tcBorders>
              <w:top w:val="nil"/>
              <w:left w:val="nil"/>
              <w:bottom w:val="nil"/>
              <w:right w:val="nil"/>
            </w:tcBorders>
            <w:vAlign w:val="bottom"/>
          </w:tcPr>
          <w:p w14:paraId="52FF0EA9">
            <w:pPr>
              <w:widowControl w:val="0"/>
              <w:autoSpaceDE w:val="0"/>
              <w:spacing w:line="360" w:lineRule="auto"/>
              <w:jc w:val="both"/>
              <w:rPr>
                <w:kern w:val="32"/>
                <w:szCs w:val="24"/>
              </w:rPr>
            </w:pPr>
            <w:r>
              <w:rPr>
                <w:kern w:val="32"/>
                <w:szCs w:val="24"/>
              </w:rPr>
              <w:t>Canis-Caspase3-qF</w:t>
            </w:r>
          </w:p>
        </w:tc>
        <w:tc>
          <w:tcPr>
            <w:tcW w:w="4390" w:type="dxa"/>
            <w:tcBorders>
              <w:top w:val="nil"/>
              <w:left w:val="nil"/>
              <w:bottom w:val="nil"/>
              <w:right w:val="nil"/>
            </w:tcBorders>
            <w:vAlign w:val="bottom"/>
          </w:tcPr>
          <w:p w14:paraId="1DE247A8">
            <w:pPr>
              <w:widowControl w:val="0"/>
              <w:autoSpaceDE w:val="0"/>
              <w:spacing w:line="360" w:lineRule="auto"/>
              <w:jc w:val="both"/>
              <w:rPr>
                <w:kern w:val="32"/>
                <w:szCs w:val="24"/>
              </w:rPr>
            </w:pPr>
            <w:r>
              <w:rPr>
                <w:kern w:val="32"/>
                <w:szCs w:val="24"/>
              </w:rPr>
              <w:t>TGCCGAGGTACAGAACTAGA</w:t>
            </w:r>
          </w:p>
        </w:tc>
      </w:tr>
      <w:tr w14:paraId="4F8DAF0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181D0A89">
            <w:pPr>
              <w:spacing w:line="360" w:lineRule="auto"/>
              <w:rPr>
                <w:kern w:val="32"/>
                <w:szCs w:val="24"/>
              </w:rPr>
            </w:pPr>
          </w:p>
        </w:tc>
        <w:tc>
          <w:tcPr>
            <w:tcW w:w="2390" w:type="dxa"/>
            <w:tcBorders>
              <w:top w:val="nil"/>
              <w:left w:val="nil"/>
              <w:bottom w:val="nil"/>
              <w:right w:val="nil"/>
            </w:tcBorders>
            <w:vAlign w:val="bottom"/>
          </w:tcPr>
          <w:p w14:paraId="2D29E7BD">
            <w:pPr>
              <w:widowControl w:val="0"/>
              <w:autoSpaceDE w:val="0"/>
              <w:spacing w:line="360" w:lineRule="auto"/>
              <w:jc w:val="both"/>
              <w:rPr>
                <w:kern w:val="32"/>
                <w:szCs w:val="24"/>
              </w:rPr>
            </w:pPr>
            <w:r>
              <w:rPr>
                <w:kern w:val="32"/>
                <w:szCs w:val="24"/>
              </w:rPr>
              <w:t>Canis-Caspase3-qR</w:t>
            </w:r>
          </w:p>
        </w:tc>
        <w:tc>
          <w:tcPr>
            <w:tcW w:w="4390" w:type="dxa"/>
            <w:tcBorders>
              <w:top w:val="nil"/>
              <w:left w:val="nil"/>
              <w:bottom w:val="nil"/>
              <w:right w:val="nil"/>
            </w:tcBorders>
            <w:vAlign w:val="bottom"/>
          </w:tcPr>
          <w:p w14:paraId="3BABF974">
            <w:pPr>
              <w:widowControl w:val="0"/>
              <w:autoSpaceDE w:val="0"/>
              <w:spacing w:line="360" w:lineRule="auto"/>
              <w:jc w:val="both"/>
              <w:rPr>
                <w:kern w:val="32"/>
                <w:szCs w:val="24"/>
              </w:rPr>
            </w:pPr>
            <w:r>
              <w:rPr>
                <w:kern w:val="32"/>
                <w:szCs w:val="24"/>
              </w:rPr>
              <w:t>GTCCGCTTCGACTGGTATTT</w:t>
            </w:r>
          </w:p>
        </w:tc>
      </w:tr>
      <w:tr w14:paraId="0DC0E90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543" w:type="dxa"/>
            <w:vMerge w:val="restart"/>
            <w:tcBorders>
              <w:top w:val="nil"/>
              <w:left w:val="nil"/>
              <w:bottom w:val="nil"/>
              <w:right w:val="nil"/>
            </w:tcBorders>
            <w:vAlign w:val="center"/>
          </w:tcPr>
          <w:p w14:paraId="0980A239">
            <w:pPr>
              <w:widowControl w:val="0"/>
              <w:autoSpaceDE w:val="0"/>
              <w:spacing w:line="360" w:lineRule="auto"/>
              <w:jc w:val="both"/>
              <w:rPr>
                <w:kern w:val="32"/>
                <w:szCs w:val="24"/>
              </w:rPr>
            </w:pPr>
            <w:r>
              <w:rPr>
                <w:kern w:val="32"/>
                <w:szCs w:val="24"/>
              </w:rPr>
              <w:t>TNFα</w:t>
            </w:r>
          </w:p>
        </w:tc>
        <w:tc>
          <w:tcPr>
            <w:tcW w:w="2390" w:type="dxa"/>
            <w:tcBorders>
              <w:top w:val="nil"/>
              <w:left w:val="nil"/>
              <w:bottom w:val="nil"/>
              <w:right w:val="nil"/>
            </w:tcBorders>
            <w:vAlign w:val="bottom"/>
          </w:tcPr>
          <w:p w14:paraId="26DC0FCB">
            <w:pPr>
              <w:widowControl w:val="0"/>
              <w:autoSpaceDE w:val="0"/>
              <w:spacing w:line="360" w:lineRule="auto"/>
              <w:jc w:val="both"/>
              <w:rPr>
                <w:kern w:val="32"/>
                <w:szCs w:val="24"/>
              </w:rPr>
            </w:pPr>
            <w:r>
              <w:rPr>
                <w:kern w:val="32"/>
                <w:szCs w:val="24"/>
              </w:rPr>
              <w:t>Canis-TNFα-qF</w:t>
            </w:r>
          </w:p>
        </w:tc>
        <w:tc>
          <w:tcPr>
            <w:tcW w:w="4390" w:type="dxa"/>
            <w:tcBorders>
              <w:top w:val="nil"/>
              <w:left w:val="nil"/>
              <w:bottom w:val="nil"/>
              <w:right w:val="nil"/>
            </w:tcBorders>
            <w:vAlign w:val="bottom"/>
          </w:tcPr>
          <w:p w14:paraId="6356A33B">
            <w:pPr>
              <w:widowControl w:val="0"/>
              <w:autoSpaceDE w:val="0"/>
              <w:spacing w:line="360" w:lineRule="auto"/>
              <w:jc w:val="both"/>
              <w:rPr>
                <w:kern w:val="32"/>
                <w:szCs w:val="24"/>
              </w:rPr>
            </w:pPr>
            <w:r>
              <w:rPr>
                <w:kern w:val="32"/>
                <w:szCs w:val="24"/>
              </w:rPr>
              <w:t>ATCTACTCCCAGGTCCTCTTC</w:t>
            </w:r>
          </w:p>
        </w:tc>
      </w:tr>
      <w:tr w14:paraId="764E838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3CB855CF">
            <w:pPr>
              <w:spacing w:line="360" w:lineRule="auto"/>
              <w:rPr>
                <w:kern w:val="32"/>
                <w:szCs w:val="24"/>
              </w:rPr>
            </w:pPr>
          </w:p>
        </w:tc>
        <w:tc>
          <w:tcPr>
            <w:tcW w:w="2390" w:type="dxa"/>
            <w:tcBorders>
              <w:top w:val="nil"/>
              <w:left w:val="nil"/>
              <w:bottom w:val="nil"/>
              <w:right w:val="nil"/>
            </w:tcBorders>
            <w:vAlign w:val="bottom"/>
          </w:tcPr>
          <w:p w14:paraId="06C0BCBF">
            <w:pPr>
              <w:widowControl w:val="0"/>
              <w:autoSpaceDE w:val="0"/>
              <w:spacing w:line="360" w:lineRule="auto"/>
              <w:jc w:val="both"/>
              <w:rPr>
                <w:kern w:val="32"/>
                <w:szCs w:val="24"/>
              </w:rPr>
            </w:pPr>
            <w:r>
              <w:rPr>
                <w:kern w:val="32"/>
                <w:szCs w:val="24"/>
              </w:rPr>
              <w:t>Canis-TNFα-qR</w:t>
            </w:r>
          </w:p>
        </w:tc>
        <w:tc>
          <w:tcPr>
            <w:tcW w:w="4390" w:type="dxa"/>
            <w:tcBorders>
              <w:top w:val="nil"/>
              <w:left w:val="nil"/>
              <w:bottom w:val="nil"/>
              <w:right w:val="nil"/>
            </w:tcBorders>
            <w:vAlign w:val="bottom"/>
          </w:tcPr>
          <w:p w14:paraId="2B1596FF">
            <w:pPr>
              <w:widowControl w:val="0"/>
              <w:autoSpaceDE w:val="0"/>
              <w:spacing w:line="360" w:lineRule="auto"/>
              <w:jc w:val="both"/>
              <w:rPr>
                <w:kern w:val="32"/>
                <w:szCs w:val="24"/>
              </w:rPr>
            </w:pPr>
            <w:r>
              <w:rPr>
                <w:kern w:val="32"/>
                <w:szCs w:val="24"/>
              </w:rPr>
              <w:t>GGTTGACCTTTGTCTGGTAGG</w:t>
            </w:r>
          </w:p>
        </w:tc>
      </w:tr>
      <w:tr w14:paraId="064EE26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543" w:type="dxa"/>
            <w:vMerge w:val="restart"/>
            <w:tcBorders>
              <w:top w:val="nil"/>
              <w:left w:val="nil"/>
              <w:bottom w:val="nil"/>
              <w:right w:val="nil"/>
            </w:tcBorders>
            <w:vAlign w:val="center"/>
          </w:tcPr>
          <w:p w14:paraId="3D1902E0">
            <w:pPr>
              <w:widowControl w:val="0"/>
              <w:autoSpaceDE w:val="0"/>
              <w:spacing w:line="360" w:lineRule="auto"/>
              <w:jc w:val="both"/>
              <w:rPr>
                <w:kern w:val="32"/>
                <w:szCs w:val="24"/>
              </w:rPr>
            </w:pPr>
            <w:r>
              <w:rPr>
                <w:kern w:val="32"/>
                <w:szCs w:val="24"/>
              </w:rPr>
              <w:t>Bax</w:t>
            </w:r>
          </w:p>
        </w:tc>
        <w:tc>
          <w:tcPr>
            <w:tcW w:w="2390" w:type="dxa"/>
            <w:tcBorders>
              <w:top w:val="nil"/>
              <w:left w:val="nil"/>
              <w:bottom w:val="nil"/>
              <w:right w:val="nil"/>
            </w:tcBorders>
            <w:vAlign w:val="bottom"/>
          </w:tcPr>
          <w:p w14:paraId="039018A1">
            <w:pPr>
              <w:widowControl w:val="0"/>
              <w:autoSpaceDE w:val="0"/>
              <w:spacing w:line="360" w:lineRule="auto"/>
              <w:jc w:val="both"/>
              <w:rPr>
                <w:kern w:val="32"/>
                <w:szCs w:val="24"/>
              </w:rPr>
            </w:pPr>
            <w:r>
              <w:rPr>
                <w:kern w:val="32"/>
                <w:szCs w:val="24"/>
              </w:rPr>
              <w:t>Canis-Bax-qF</w:t>
            </w:r>
          </w:p>
        </w:tc>
        <w:tc>
          <w:tcPr>
            <w:tcW w:w="4390" w:type="dxa"/>
            <w:tcBorders>
              <w:top w:val="nil"/>
              <w:left w:val="nil"/>
              <w:bottom w:val="nil"/>
              <w:right w:val="nil"/>
            </w:tcBorders>
            <w:vAlign w:val="bottom"/>
          </w:tcPr>
          <w:p w14:paraId="4A0D9661">
            <w:pPr>
              <w:widowControl w:val="0"/>
              <w:autoSpaceDE w:val="0"/>
              <w:spacing w:line="360" w:lineRule="auto"/>
              <w:jc w:val="both"/>
              <w:rPr>
                <w:kern w:val="32"/>
                <w:szCs w:val="24"/>
              </w:rPr>
            </w:pPr>
            <w:r>
              <w:rPr>
                <w:kern w:val="32"/>
                <w:szCs w:val="24"/>
              </w:rPr>
              <w:t>GGTTGTTGCCCTCTTCTACTT</w:t>
            </w:r>
          </w:p>
        </w:tc>
      </w:tr>
      <w:tr w14:paraId="071840A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nil"/>
              <w:right w:val="nil"/>
            </w:tcBorders>
            <w:vAlign w:val="center"/>
          </w:tcPr>
          <w:p w14:paraId="1B514B9D">
            <w:pPr>
              <w:spacing w:line="360" w:lineRule="auto"/>
              <w:rPr>
                <w:kern w:val="32"/>
                <w:szCs w:val="24"/>
              </w:rPr>
            </w:pPr>
          </w:p>
        </w:tc>
        <w:tc>
          <w:tcPr>
            <w:tcW w:w="2390" w:type="dxa"/>
            <w:tcBorders>
              <w:top w:val="nil"/>
              <w:left w:val="nil"/>
              <w:bottom w:val="nil"/>
              <w:right w:val="nil"/>
            </w:tcBorders>
            <w:vAlign w:val="bottom"/>
          </w:tcPr>
          <w:p w14:paraId="18CE7B9D">
            <w:pPr>
              <w:widowControl w:val="0"/>
              <w:autoSpaceDE w:val="0"/>
              <w:spacing w:line="360" w:lineRule="auto"/>
              <w:jc w:val="both"/>
              <w:rPr>
                <w:kern w:val="32"/>
                <w:szCs w:val="24"/>
              </w:rPr>
            </w:pPr>
            <w:r>
              <w:rPr>
                <w:kern w:val="32"/>
                <w:szCs w:val="24"/>
              </w:rPr>
              <w:t>Canis-Bax-qR</w:t>
            </w:r>
          </w:p>
        </w:tc>
        <w:tc>
          <w:tcPr>
            <w:tcW w:w="4390" w:type="dxa"/>
            <w:tcBorders>
              <w:top w:val="nil"/>
              <w:left w:val="nil"/>
              <w:bottom w:val="nil"/>
              <w:right w:val="nil"/>
            </w:tcBorders>
            <w:vAlign w:val="bottom"/>
          </w:tcPr>
          <w:p w14:paraId="4468E4A4">
            <w:pPr>
              <w:widowControl w:val="0"/>
              <w:autoSpaceDE w:val="0"/>
              <w:spacing w:line="360" w:lineRule="auto"/>
              <w:jc w:val="both"/>
              <w:rPr>
                <w:kern w:val="32"/>
                <w:szCs w:val="24"/>
              </w:rPr>
            </w:pPr>
            <w:r>
              <w:rPr>
                <w:kern w:val="32"/>
                <w:szCs w:val="24"/>
              </w:rPr>
              <w:t>TCTCGAAGGAAGTCCAGTGT</w:t>
            </w:r>
          </w:p>
        </w:tc>
      </w:tr>
      <w:tr w14:paraId="560B5A5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543" w:type="dxa"/>
            <w:vMerge w:val="restart"/>
            <w:tcBorders>
              <w:top w:val="nil"/>
              <w:left w:val="nil"/>
              <w:bottom w:val="nil"/>
              <w:right w:val="nil"/>
            </w:tcBorders>
            <w:vAlign w:val="center"/>
          </w:tcPr>
          <w:p w14:paraId="4875B8D6">
            <w:pPr>
              <w:widowControl w:val="0"/>
              <w:autoSpaceDE w:val="0"/>
              <w:spacing w:line="360" w:lineRule="auto"/>
              <w:jc w:val="both"/>
              <w:rPr>
                <w:kern w:val="32"/>
                <w:szCs w:val="24"/>
              </w:rPr>
            </w:pPr>
            <w:r>
              <w:rPr>
                <w:kern w:val="32"/>
                <w:szCs w:val="24"/>
              </w:rPr>
              <w:t>GAPDH</w:t>
            </w:r>
          </w:p>
        </w:tc>
        <w:tc>
          <w:tcPr>
            <w:tcW w:w="2390" w:type="dxa"/>
            <w:tcBorders>
              <w:top w:val="nil"/>
              <w:left w:val="nil"/>
              <w:bottom w:val="nil"/>
              <w:right w:val="nil"/>
            </w:tcBorders>
            <w:vAlign w:val="bottom"/>
          </w:tcPr>
          <w:p w14:paraId="6740C5FA">
            <w:pPr>
              <w:widowControl w:val="0"/>
              <w:autoSpaceDE w:val="0"/>
              <w:spacing w:line="360" w:lineRule="auto"/>
              <w:jc w:val="both"/>
              <w:rPr>
                <w:kern w:val="32"/>
                <w:szCs w:val="24"/>
              </w:rPr>
            </w:pPr>
            <w:r>
              <w:rPr>
                <w:kern w:val="32"/>
                <w:szCs w:val="24"/>
              </w:rPr>
              <w:t>Canis-GAPDH-qF</w:t>
            </w:r>
          </w:p>
        </w:tc>
        <w:tc>
          <w:tcPr>
            <w:tcW w:w="4390" w:type="dxa"/>
            <w:tcBorders>
              <w:top w:val="nil"/>
              <w:left w:val="nil"/>
              <w:bottom w:val="nil"/>
              <w:right w:val="nil"/>
            </w:tcBorders>
            <w:vAlign w:val="bottom"/>
          </w:tcPr>
          <w:p w14:paraId="3AF7F8AA">
            <w:pPr>
              <w:widowControl w:val="0"/>
              <w:autoSpaceDE w:val="0"/>
              <w:spacing w:line="360" w:lineRule="auto"/>
              <w:jc w:val="both"/>
              <w:rPr>
                <w:kern w:val="32"/>
                <w:szCs w:val="24"/>
              </w:rPr>
            </w:pPr>
            <w:r>
              <w:rPr>
                <w:kern w:val="32"/>
                <w:szCs w:val="24"/>
              </w:rPr>
              <w:t>GTGATGCTGGTGCTGAGTATGT</w:t>
            </w:r>
          </w:p>
        </w:tc>
      </w:tr>
      <w:tr w14:paraId="1B1036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vMerge w:val="continue"/>
            <w:tcBorders>
              <w:top w:val="nil"/>
              <w:left w:val="nil"/>
              <w:bottom w:val="single" w:color="auto" w:sz="4" w:space="0"/>
              <w:right w:val="nil"/>
            </w:tcBorders>
            <w:vAlign w:val="center"/>
          </w:tcPr>
          <w:p w14:paraId="0C967C01">
            <w:pPr>
              <w:spacing w:line="360" w:lineRule="auto"/>
              <w:rPr>
                <w:kern w:val="32"/>
                <w:szCs w:val="24"/>
              </w:rPr>
            </w:pPr>
          </w:p>
        </w:tc>
        <w:tc>
          <w:tcPr>
            <w:tcW w:w="2390" w:type="dxa"/>
            <w:tcBorders>
              <w:top w:val="nil"/>
              <w:left w:val="nil"/>
              <w:bottom w:val="single" w:color="auto" w:sz="4" w:space="0"/>
              <w:right w:val="nil"/>
            </w:tcBorders>
            <w:vAlign w:val="bottom"/>
          </w:tcPr>
          <w:p w14:paraId="041FDA27">
            <w:pPr>
              <w:widowControl w:val="0"/>
              <w:autoSpaceDE w:val="0"/>
              <w:spacing w:line="360" w:lineRule="auto"/>
              <w:jc w:val="both"/>
              <w:rPr>
                <w:kern w:val="32"/>
                <w:szCs w:val="24"/>
              </w:rPr>
            </w:pPr>
            <w:r>
              <w:rPr>
                <w:kern w:val="32"/>
                <w:szCs w:val="24"/>
              </w:rPr>
              <w:t>Canis-GAPDH-qR</w:t>
            </w:r>
          </w:p>
        </w:tc>
        <w:tc>
          <w:tcPr>
            <w:tcW w:w="4390" w:type="dxa"/>
            <w:tcBorders>
              <w:top w:val="nil"/>
              <w:left w:val="nil"/>
              <w:bottom w:val="single" w:color="auto" w:sz="4" w:space="0"/>
              <w:right w:val="nil"/>
            </w:tcBorders>
            <w:vAlign w:val="bottom"/>
          </w:tcPr>
          <w:p w14:paraId="5500CEF4">
            <w:pPr>
              <w:widowControl w:val="0"/>
              <w:autoSpaceDE w:val="0"/>
              <w:spacing w:line="360" w:lineRule="auto"/>
              <w:jc w:val="both"/>
              <w:rPr>
                <w:kern w:val="32"/>
                <w:szCs w:val="24"/>
              </w:rPr>
            </w:pPr>
            <w:r>
              <w:rPr>
                <w:kern w:val="32"/>
                <w:szCs w:val="24"/>
              </w:rPr>
              <w:t>GGTTCACGCCCATCAC</w:t>
            </w:r>
          </w:p>
        </w:tc>
      </w:tr>
    </w:tbl>
    <w:p w14:paraId="5810D12B">
      <w:pPr>
        <w:spacing w:line="360" w:lineRule="auto"/>
        <w:rPr>
          <w:b/>
          <w:bCs/>
        </w:rPr>
      </w:pPr>
    </w:p>
    <w:sectPr>
      <w:headerReference r:id="rId3" w:type="default"/>
      <w:footerReference r:id="rId4" w:type="default"/>
      <w:pgSz w:w="12240" w:h="15840"/>
      <w:pgMar w:top="1440" w:right="1440" w:bottom="1440" w:left="1440" w:header="720" w:footer="720"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imes">
    <w:altName w:val="Times New Roman"/>
    <w:panose1 w:val="02020603050405020304"/>
    <w:charset w:val="00"/>
    <w:family w:val="auto"/>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21C71">
    <w:pPr>
      <w:pStyle w:val="55"/>
      <w:jc w:val="center"/>
    </w:pPr>
    <w:r>
      <w:fldChar w:fldCharType="begin"/>
    </w:r>
    <w:r>
      <w:instrText xml:space="preserve"> PAGE   \* MERGEFORMAT </w:instrText>
    </w:r>
    <w:r>
      <w:fldChar w:fldCharType="separate"/>
    </w:r>
    <w:r>
      <w:t>3</w:t>
    </w:r>
    <w:r>
      <w:fldChar w:fldCharType="end"/>
    </w:r>
  </w:p>
  <w:p w14:paraId="7E79F20A">
    <w:pPr>
      <w:pStyle w:val="5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EFE3C">
    <w:pPr>
      <w:jc w:val="right"/>
      <w:rPr>
        <w:sz w:val="20"/>
      </w:rPr>
    </w:pPr>
  </w:p>
  <w:p w14:paraId="64CC2E9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1800"/>
        </w:tabs>
        <w:ind w:left="1800" w:hanging="360"/>
      </w:pPr>
    </w:lvl>
  </w:abstractNum>
  <w:abstractNum w:abstractNumId="1">
    <w:nsid w:val="FFFFFF7D"/>
    <w:multiLevelType w:val="singleLevel"/>
    <w:tmpl w:val="FFFFFF7D"/>
    <w:lvl w:ilvl="0" w:tentative="0">
      <w:start w:val="1"/>
      <w:numFmt w:val="decimal"/>
      <w:pStyle w:val="47"/>
      <w:lvlText w:val="%1."/>
      <w:lvlJc w:val="left"/>
      <w:pPr>
        <w:tabs>
          <w:tab w:val="left" w:pos="1440"/>
        </w:tabs>
        <w:ind w:left="1440" w:hanging="360"/>
      </w:pPr>
    </w:lvl>
  </w:abstractNum>
  <w:abstractNum w:abstractNumId="2">
    <w:nsid w:val="FFFFFF7E"/>
    <w:multiLevelType w:val="singleLevel"/>
    <w:tmpl w:val="FFFFFF7E"/>
    <w:lvl w:ilvl="0" w:tentative="0">
      <w:start w:val="1"/>
      <w:numFmt w:val="decimal"/>
      <w:pStyle w:val="36"/>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4">
    <w:nsid w:val="FFFFFF80"/>
    <w:multiLevelType w:val="singleLevel"/>
    <w:tmpl w:val="FFFFFF80"/>
    <w:lvl w:ilvl="0" w:tentative="0">
      <w:start w:val="1"/>
      <w:numFmt w:val="bullet"/>
      <w:pStyle w:val="46"/>
      <w:lvlText w:val=""/>
      <w:lvlJc w:val="left"/>
      <w:pPr>
        <w:tabs>
          <w:tab w:val="left" w:pos="1800"/>
        </w:tabs>
        <w:ind w:left="1800" w:hanging="360"/>
      </w:pPr>
      <w:rPr>
        <w:rFonts w:hint="default" w:ascii="Symbol" w:hAnsi="Symbol"/>
      </w:rPr>
    </w:lvl>
  </w:abstractNum>
  <w:abstractNum w:abstractNumId="5">
    <w:nsid w:val="FFFFFF81"/>
    <w:multiLevelType w:val="singleLevel"/>
    <w:tmpl w:val="FFFFFF81"/>
    <w:lvl w:ilvl="0" w:tentative="0">
      <w:start w:val="1"/>
      <w:numFmt w:val="bullet"/>
      <w:pStyle w:val="17"/>
      <w:lvlText w:val=""/>
      <w:lvlJc w:val="left"/>
      <w:pPr>
        <w:tabs>
          <w:tab w:val="left" w:pos="1440"/>
        </w:tabs>
        <w:ind w:left="1440" w:hanging="360"/>
      </w:pPr>
      <w:rPr>
        <w:rFonts w:hint="default" w:ascii="Symbol" w:hAnsi="Symbol"/>
      </w:rPr>
    </w:lvl>
  </w:abstractNum>
  <w:abstractNum w:abstractNumId="6">
    <w:nsid w:val="FFFFFF82"/>
    <w:multiLevelType w:val="singleLevel"/>
    <w:tmpl w:val="FFFFFF82"/>
    <w:lvl w:ilvl="0" w:tentative="0">
      <w:start w:val="1"/>
      <w:numFmt w:val="bullet"/>
      <w:pStyle w:val="33"/>
      <w:lvlText w:val=""/>
      <w:lvlJc w:val="left"/>
      <w:pPr>
        <w:tabs>
          <w:tab w:val="left" w:pos="1080"/>
        </w:tabs>
        <w:ind w:left="1080" w:hanging="360"/>
      </w:pPr>
      <w:rPr>
        <w:rFonts w:hint="default" w:ascii="Symbol" w:hAnsi="Symbol"/>
      </w:rPr>
    </w:lvl>
  </w:abstractNum>
  <w:abstractNum w:abstractNumId="7">
    <w:nsid w:val="FFFFFF83"/>
    <w:multiLevelType w:val="singleLevel"/>
    <w:tmpl w:val="FFFFFF83"/>
    <w:lvl w:ilvl="0" w:tentative="0">
      <w:start w:val="1"/>
      <w:numFmt w:val="bullet"/>
      <w:pStyle w:val="40"/>
      <w:lvlText w:val=""/>
      <w:lvlJc w:val="left"/>
      <w:pPr>
        <w:tabs>
          <w:tab w:val="left" w:pos="720"/>
        </w:tabs>
        <w:ind w:left="720" w:hanging="360"/>
      </w:pPr>
      <w:rPr>
        <w:rFonts w:hint="default" w:ascii="Symbol" w:hAnsi="Symbol"/>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0"/>
  <w:bordersDoNotSurroundFooter w:val="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yODlhYmE3ZWQ1Y2FlZGJjN2NmOTQ3ZGNlNmQ3Y2YifQ=="/>
  </w:docVars>
  <w:rsids>
    <w:rsidRoot w:val="002C030F"/>
    <w:rsid w:val="00015F74"/>
    <w:rsid w:val="00035B84"/>
    <w:rsid w:val="00065EBD"/>
    <w:rsid w:val="00066D0C"/>
    <w:rsid w:val="00074895"/>
    <w:rsid w:val="00083B44"/>
    <w:rsid w:val="000850DC"/>
    <w:rsid w:val="000C07BF"/>
    <w:rsid w:val="000C2771"/>
    <w:rsid w:val="000D46F4"/>
    <w:rsid w:val="000F0DCE"/>
    <w:rsid w:val="000F3B2A"/>
    <w:rsid w:val="000F6BE3"/>
    <w:rsid w:val="00105EF4"/>
    <w:rsid w:val="00112C5B"/>
    <w:rsid w:val="00114193"/>
    <w:rsid w:val="00115A38"/>
    <w:rsid w:val="0011687B"/>
    <w:rsid w:val="00124F82"/>
    <w:rsid w:val="0016337A"/>
    <w:rsid w:val="00164269"/>
    <w:rsid w:val="0017400C"/>
    <w:rsid w:val="00193E56"/>
    <w:rsid w:val="001A1BDE"/>
    <w:rsid w:val="001B13CE"/>
    <w:rsid w:val="001B7AA8"/>
    <w:rsid w:val="001D26AE"/>
    <w:rsid w:val="001D59C9"/>
    <w:rsid w:val="001F0876"/>
    <w:rsid w:val="001F167C"/>
    <w:rsid w:val="001F5E91"/>
    <w:rsid w:val="002077B9"/>
    <w:rsid w:val="00255271"/>
    <w:rsid w:val="00262D72"/>
    <w:rsid w:val="002732EC"/>
    <w:rsid w:val="00274E72"/>
    <w:rsid w:val="00294FBB"/>
    <w:rsid w:val="002B7DFE"/>
    <w:rsid w:val="002C030F"/>
    <w:rsid w:val="002F0FB6"/>
    <w:rsid w:val="0031671A"/>
    <w:rsid w:val="00331D75"/>
    <w:rsid w:val="00340597"/>
    <w:rsid w:val="00355362"/>
    <w:rsid w:val="00363E44"/>
    <w:rsid w:val="003659A8"/>
    <w:rsid w:val="003669F9"/>
    <w:rsid w:val="00392402"/>
    <w:rsid w:val="00393BAB"/>
    <w:rsid w:val="00395E86"/>
    <w:rsid w:val="003A2FD8"/>
    <w:rsid w:val="003A4954"/>
    <w:rsid w:val="003B40E6"/>
    <w:rsid w:val="003B68C3"/>
    <w:rsid w:val="003C1AEB"/>
    <w:rsid w:val="003E74FB"/>
    <w:rsid w:val="003F5904"/>
    <w:rsid w:val="003F6E14"/>
    <w:rsid w:val="00405336"/>
    <w:rsid w:val="00435ABE"/>
    <w:rsid w:val="004571D5"/>
    <w:rsid w:val="00461D81"/>
    <w:rsid w:val="0046356B"/>
    <w:rsid w:val="00477182"/>
    <w:rsid w:val="004779CB"/>
    <w:rsid w:val="004939B9"/>
    <w:rsid w:val="004A6F57"/>
    <w:rsid w:val="004D0135"/>
    <w:rsid w:val="004E42D8"/>
    <w:rsid w:val="004E5B01"/>
    <w:rsid w:val="004E7BA2"/>
    <w:rsid w:val="004F1AB9"/>
    <w:rsid w:val="004F7EDF"/>
    <w:rsid w:val="005001AC"/>
    <w:rsid w:val="00515895"/>
    <w:rsid w:val="00527D71"/>
    <w:rsid w:val="00533910"/>
    <w:rsid w:val="005520A8"/>
    <w:rsid w:val="005607DD"/>
    <w:rsid w:val="00597326"/>
    <w:rsid w:val="005A558C"/>
    <w:rsid w:val="005B382A"/>
    <w:rsid w:val="005D712F"/>
    <w:rsid w:val="005E28F8"/>
    <w:rsid w:val="005E6513"/>
    <w:rsid w:val="00603C21"/>
    <w:rsid w:val="00607E8E"/>
    <w:rsid w:val="00632CA3"/>
    <w:rsid w:val="00635A4D"/>
    <w:rsid w:val="00651114"/>
    <w:rsid w:val="006521CD"/>
    <w:rsid w:val="00664560"/>
    <w:rsid w:val="00670299"/>
    <w:rsid w:val="00677227"/>
    <w:rsid w:val="00691985"/>
    <w:rsid w:val="00697611"/>
    <w:rsid w:val="006A1B64"/>
    <w:rsid w:val="006D6D74"/>
    <w:rsid w:val="006E22EA"/>
    <w:rsid w:val="006E382E"/>
    <w:rsid w:val="007108F5"/>
    <w:rsid w:val="00713E5B"/>
    <w:rsid w:val="007402FC"/>
    <w:rsid w:val="007411A1"/>
    <w:rsid w:val="00793072"/>
    <w:rsid w:val="007A33B3"/>
    <w:rsid w:val="007C45B3"/>
    <w:rsid w:val="007D1EA4"/>
    <w:rsid w:val="007E2786"/>
    <w:rsid w:val="007E324D"/>
    <w:rsid w:val="007E7A28"/>
    <w:rsid w:val="00807D35"/>
    <w:rsid w:val="008218C4"/>
    <w:rsid w:val="0086342F"/>
    <w:rsid w:val="00867A98"/>
    <w:rsid w:val="00870867"/>
    <w:rsid w:val="00874201"/>
    <w:rsid w:val="00885C9B"/>
    <w:rsid w:val="008B6562"/>
    <w:rsid w:val="008D11C4"/>
    <w:rsid w:val="008D2F13"/>
    <w:rsid w:val="008D5D2A"/>
    <w:rsid w:val="0090724A"/>
    <w:rsid w:val="00914B63"/>
    <w:rsid w:val="009200E5"/>
    <w:rsid w:val="009354F3"/>
    <w:rsid w:val="009447DC"/>
    <w:rsid w:val="00945471"/>
    <w:rsid w:val="00950234"/>
    <w:rsid w:val="009546F8"/>
    <w:rsid w:val="00961BA5"/>
    <w:rsid w:val="009743A9"/>
    <w:rsid w:val="009A5287"/>
    <w:rsid w:val="009A7C5F"/>
    <w:rsid w:val="009B2AC5"/>
    <w:rsid w:val="009B7984"/>
    <w:rsid w:val="009F157C"/>
    <w:rsid w:val="009F49CE"/>
    <w:rsid w:val="009F4BED"/>
    <w:rsid w:val="009F5C7D"/>
    <w:rsid w:val="009F7D93"/>
    <w:rsid w:val="00A02E0C"/>
    <w:rsid w:val="00A03FD0"/>
    <w:rsid w:val="00A21EC7"/>
    <w:rsid w:val="00A3403B"/>
    <w:rsid w:val="00A51A12"/>
    <w:rsid w:val="00A53A78"/>
    <w:rsid w:val="00A627D4"/>
    <w:rsid w:val="00A7213D"/>
    <w:rsid w:val="00A74DA2"/>
    <w:rsid w:val="00A77632"/>
    <w:rsid w:val="00A808EE"/>
    <w:rsid w:val="00A90D93"/>
    <w:rsid w:val="00AB399E"/>
    <w:rsid w:val="00AC59D0"/>
    <w:rsid w:val="00AD16B1"/>
    <w:rsid w:val="00AD499C"/>
    <w:rsid w:val="00AE1FB6"/>
    <w:rsid w:val="00B36869"/>
    <w:rsid w:val="00B43B31"/>
    <w:rsid w:val="00B47CFA"/>
    <w:rsid w:val="00B574A3"/>
    <w:rsid w:val="00B57F00"/>
    <w:rsid w:val="00B63245"/>
    <w:rsid w:val="00B73C69"/>
    <w:rsid w:val="00B77B2A"/>
    <w:rsid w:val="00B82C22"/>
    <w:rsid w:val="00B93DBA"/>
    <w:rsid w:val="00B9440A"/>
    <w:rsid w:val="00BB2D2A"/>
    <w:rsid w:val="00BC1C93"/>
    <w:rsid w:val="00BC290E"/>
    <w:rsid w:val="00BC3E04"/>
    <w:rsid w:val="00BD58CF"/>
    <w:rsid w:val="00BF0C92"/>
    <w:rsid w:val="00C04CC1"/>
    <w:rsid w:val="00C0684C"/>
    <w:rsid w:val="00C11211"/>
    <w:rsid w:val="00C4096C"/>
    <w:rsid w:val="00C50C6D"/>
    <w:rsid w:val="00C600D9"/>
    <w:rsid w:val="00C7078D"/>
    <w:rsid w:val="00C75527"/>
    <w:rsid w:val="00C92B22"/>
    <w:rsid w:val="00CC1384"/>
    <w:rsid w:val="00CD3720"/>
    <w:rsid w:val="00CE0606"/>
    <w:rsid w:val="00CF1848"/>
    <w:rsid w:val="00CF5C2F"/>
    <w:rsid w:val="00D02B7C"/>
    <w:rsid w:val="00D04BCF"/>
    <w:rsid w:val="00D11A56"/>
    <w:rsid w:val="00D143D9"/>
    <w:rsid w:val="00D30C95"/>
    <w:rsid w:val="00D51C15"/>
    <w:rsid w:val="00D5511B"/>
    <w:rsid w:val="00D766F1"/>
    <w:rsid w:val="00DC292E"/>
    <w:rsid w:val="00DD2E17"/>
    <w:rsid w:val="00DD761B"/>
    <w:rsid w:val="00DE2701"/>
    <w:rsid w:val="00DF7D88"/>
    <w:rsid w:val="00E257C8"/>
    <w:rsid w:val="00E40A10"/>
    <w:rsid w:val="00E41512"/>
    <w:rsid w:val="00E4519A"/>
    <w:rsid w:val="00E47633"/>
    <w:rsid w:val="00E65D87"/>
    <w:rsid w:val="00E8179B"/>
    <w:rsid w:val="00E853D5"/>
    <w:rsid w:val="00E9773B"/>
    <w:rsid w:val="00EA6F42"/>
    <w:rsid w:val="00EB36D3"/>
    <w:rsid w:val="00EC13A3"/>
    <w:rsid w:val="00EC7C85"/>
    <w:rsid w:val="00ED2CBE"/>
    <w:rsid w:val="00EE26BE"/>
    <w:rsid w:val="00F125EE"/>
    <w:rsid w:val="00F12E98"/>
    <w:rsid w:val="00F22029"/>
    <w:rsid w:val="00F227DE"/>
    <w:rsid w:val="00F32EAB"/>
    <w:rsid w:val="00F515FB"/>
    <w:rsid w:val="00F61B01"/>
    <w:rsid w:val="00F629DD"/>
    <w:rsid w:val="00F630EA"/>
    <w:rsid w:val="00F7007E"/>
    <w:rsid w:val="00F73193"/>
    <w:rsid w:val="00F74F95"/>
    <w:rsid w:val="00F80705"/>
    <w:rsid w:val="00FA1481"/>
    <w:rsid w:val="00FB0171"/>
    <w:rsid w:val="00FD4B42"/>
    <w:rsid w:val="00FF04E3"/>
    <w:rsid w:val="016B1E47"/>
    <w:rsid w:val="01C7267B"/>
    <w:rsid w:val="0B284E9A"/>
    <w:rsid w:val="0E4532A6"/>
    <w:rsid w:val="14B0454C"/>
    <w:rsid w:val="1B773D35"/>
    <w:rsid w:val="1DE71C83"/>
    <w:rsid w:val="1EA75E00"/>
    <w:rsid w:val="1F4E7AE0"/>
    <w:rsid w:val="27B8643F"/>
    <w:rsid w:val="30073ABF"/>
    <w:rsid w:val="34C401D1"/>
    <w:rsid w:val="34CA77B1"/>
    <w:rsid w:val="34F309E9"/>
    <w:rsid w:val="35243365"/>
    <w:rsid w:val="36C22E36"/>
    <w:rsid w:val="38E01351"/>
    <w:rsid w:val="3F375A43"/>
    <w:rsid w:val="3FEB6D63"/>
    <w:rsid w:val="40412A80"/>
    <w:rsid w:val="453B38E6"/>
    <w:rsid w:val="49592D5B"/>
    <w:rsid w:val="4C900266"/>
    <w:rsid w:val="4CFE5DF2"/>
    <w:rsid w:val="4D241EF7"/>
    <w:rsid w:val="51AC22C1"/>
    <w:rsid w:val="66FB1331"/>
    <w:rsid w:val="67FC29C1"/>
    <w:rsid w:val="6D3451EC"/>
    <w:rsid w:val="77C74EAF"/>
    <w:rsid w:val="783E1615"/>
    <w:rsid w:val="7E1E7F1F"/>
    <w:rsid w:val="7F2A4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nhideWhenUsed="0" w:uiPriority="0" w:name="heading 6"/>
    <w:lsdException w:qFormat="1" w:unhideWhenUsed="0" w:uiPriority="0" w:name="heading 7"/>
    <w:lsdException w:qFormat="1" w:unhideWhenUsed="0" w:uiPriority="0" w:name="heading 8"/>
    <w:lsdException w:qFormat="1" w:unhideWhenUsed="0" w:uiPriority="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name="Normal Indent"/>
    <w:lsdException w:qFormat="1" w:unhideWhenUsed="0" w:uiPriority="0" w:name="footnote text"/>
    <w:lsdException w:qFormat="1" w:unhideWhenUsed="0" w:uiPriority="0" w:name="annotation text"/>
    <w:lsdException w:qFormat="1" w:unhideWhenUsed="0" w:uiPriority="0" w:name="header"/>
    <w:lsdException w:qFormat="1" w:unhideWhenUsed="0" w:uiPriority="0" w:name="footer"/>
    <w:lsdException w:qFormat="1" w:unhideWhenUsed="0" w:uiPriority="0" w:name="index heading"/>
    <w:lsdException w:qFormat="1" w:unhideWhenUsed="0" w:uiPriority="0" w:name="caption"/>
    <w:lsdException w:qFormat="1" w:unhideWhenUsed="0" w:uiPriority="0" w:name="table of figures"/>
    <w:lsdException w:qFormat="1" w:unhideWhenUsed="0" w:uiPriority="0" w:name="envelope address"/>
    <w:lsdException w:qFormat="1" w:unhideWhenUsed="0" w:uiPriority="0" w:name="envelope return"/>
    <w:lsdException w:uiPriority="0" w:name="footnote reference"/>
    <w:lsdException w:qFormat="1" w:uiPriority="0" w:name="annotation reference"/>
    <w:lsdException w:uiPriority="0" w:name="line number"/>
    <w:lsdException w:qFormat="1" w:unhideWhenUsed="0" w:uiPriority="0" w:name="page number"/>
    <w:lsdException w:uiPriority="0" w:name="endnote reference"/>
    <w:lsdException w:qFormat="1" w:unhideWhenUsed="0" w:uiPriority="0" w:name="endnote text"/>
    <w:lsdException w:qFormat="1" w:unhideWhenUsed="0" w:uiPriority="0" w:name="table of authorities"/>
    <w:lsdException w:qFormat="1" w:unhideWhenUsed="0" w:uiPriority="0" w:name="macro"/>
    <w:lsdException w:qFormat="1" w:unhideWhenUsed="0" w:uiPriority="0" w:name="toa heading"/>
    <w:lsdException w:qFormat="1" w:unhideWhenUsed="0" w:uiPriority="0" w:name="List"/>
    <w:lsdException w:qFormat="1" w:unhideWhenUsed="0" w:uiPriority="0" w:name="List Bullet"/>
    <w:lsdException w:qFormat="1" w:unhideWhenUsed="0" w:uiPriority="0" w:name="List Number"/>
    <w:lsdException w:qFormat="1" w:unhideWhenUsed="0" w:uiPriority="0" w:name="List 2"/>
    <w:lsdException w:qFormat="1" w:unhideWhenUsed="0" w:uiPriority="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qFormat="1" w:unhideWhenUsed="0" w:uiPriority="0" w:name="List Bullet 5"/>
    <w:lsdException w:qFormat="1" w:unhideWhenUsed="0" w:uiPriority="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name="Title"/>
    <w:lsdException w:qFormat="1" w:unhideWhenUsed="0" w:uiPriority="0" w:name="Closing"/>
    <w:lsdException w:qFormat="1" w:unhideWhenUsed="0" w:uiPriority="0" w:name="Signature"/>
    <w:lsdException w:qFormat="1" w:uiPriority="1" w:name="Default Paragraph Font"/>
    <w:lsdException w:qFormat="1" w:unhideWhenUsed="0" w:uiPriority="0" w:name="Body Text"/>
    <w:lsdException w:qFormat="1" w:unhideWhenUsed="0" w:uiPriority="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0" w:name="Subtitle"/>
    <w:lsdException w:qFormat="1" w:unhideWhenUsed="0" w:uiPriority="0" w:name="Salutation"/>
    <w:lsdException w:qFormat="1" w:unhideWhenUsed="0" w:uiPriority="0" w:name="Date"/>
    <w:lsdException w:qFormat="1" w:unhideWhenUsed="0" w:uiPriority="0" w:name="Body Text First Indent"/>
    <w:lsdException w:qFormat="1" w:unhideWhenUsed="0" w:uiPriority="0" w:name="Body Text First Indent 2"/>
    <w:lsdException w:qFormat="1" w:unhideWhenUsed="0" w:uiPriority="0" w:name="Note Heading"/>
    <w:lsdException w:qFormat="1" w:unhideWhenUsed="0" w:uiPriority="0" w:name="Body Text 2"/>
    <w:lsdException w:qFormat="1" w:unhideWhenUsed="0" w:uiPriority="0" w:name="Body Text 3"/>
    <w:lsdException w:qFormat="1" w:unhideWhenUsed="0" w:uiPriority="0" w:name="Body Text Indent 2"/>
    <w:lsdException w:qFormat="1" w:unhideWhenUsed="0" w:uiPriority="0" w:name="Body Text Indent 3"/>
    <w:lsdException w:qFormat="1" w:unhideWhenUsed="0" w:uiPriority="0" w:name="Block Text"/>
    <w:lsdException w:qFormat="1" w:unhideWhenUsed="0" w:uiPriority="0" w:name="Hyperlink"/>
    <w:lsdException w:qFormat="1"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name="Plain Text"/>
    <w:lsdException w:qFormat="1" w:unhideWhenUsed="0" w:uiPriority="0" w:name="E-mail Signature"/>
    <w:lsdException w:qFormat="1" w:unhideWhenUsed="0" w:uiPriority="99" w:name="Normal (Web)"/>
    <w:lsdException w:uiPriority="0" w:name="HTML Acronym"/>
    <w:lsdException w:qFormat="1" w:unhideWhenUsed="0" w:uiPriority="0" w:name="HTML Address"/>
    <w:lsdException w:uiPriority="0" w:name="HTML Cite"/>
    <w:lsdException w:uiPriority="0" w:name="HTML Code"/>
    <w:lsdException w:uiPriority="0" w:name="HTML Definition"/>
    <w:lsdException w:uiPriority="0" w:name="HTML Keyboard"/>
    <w:lsdException w:qFormat="1" w:unhideWhenUsed="0"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99" w:semiHidden="0" w:name="Table Grid"/>
    <w:lsdException w:uiPriority="0" w:name="Table Theme"/>
    <w:lsdException w:qFormat="1" w:unhideWhenUsed="0" w:uiPriority="1"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name="List Paragraph"/>
    <w:lsdException w:qFormat="1" w:unhideWhenUsed="0" w:uiPriority="29" w:name="Quote"/>
    <w:lsdException w:qFormat="1" w:unhideWhenUsed="0"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lang w:val="en-US" w:eastAsia="en-US" w:bidi="ar-SA"/>
    </w:rPr>
  </w:style>
  <w:style w:type="paragraph" w:styleId="3">
    <w:name w:val="heading 1"/>
    <w:basedOn w:val="1"/>
    <w:next w:val="1"/>
    <w:link w:val="95"/>
    <w:semiHidden/>
    <w:qFormat/>
    <w:uiPriority w:val="0"/>
    <w:pPr>
      <w:keepNext/>
      <w:spacing w:before="240" w:after="60"/>
      <w:outlineLvl w:val="0"/>
    </w:pPr>
    <w:rPr>
      <w:b/>
      <w:bCs/>
      <w:kern w:val="32"/>
      <w:szCs w:val="24"/>
    </w:rPr>
  </w:style>
  <w:style w:type="paragraph" w:styleId="4">
    <w:name w:val="heading 2"/>
    <w:basedOn w:val="1"/>
    <w:next w:val="1"/>
    <w:link w:val="96"/>
    <w:semiHidden/>
    <w:qFormat/>
    <w:uiPriority w:val="0"/>
    <w:pPr>
      <w:keepNext/>
      <w:spacing w:before="240" w:after="60"/>
      <w:outlineLvl w:val="1"/>
    </w:pPr>
    <w:rPr>
      <w:rFonts w:ascii="Cambria" w:hAnsi="Cambria"/>
      <w:b/>
      <w:bCs/>
      <w:i/>
      <w:iCs/>
      <w:sz w:val="28"/>
      <w:szCs w:val="28"/>
    </w:rPr>
  </w:style>
  <w:style w:type="paragraph" w:styleId="5">
    <w:name w:val="heading 3"/>
    <w:basedOn w:val="1"/>
    <w:next w:val="1"/>
    <w:semiHidden/>
    <w:qFormat/>
    <w:uiPriority w:val="0"/>
    <w:pPr>
      <w:keepNext/>
      <w:spacing w:line="480" w:lineRule="auto"/>
      <w:outlineLvl w:val="2"/>
    </w:pPr>
    <w:rPr>
      <w:rFonts w:ascii="Times" w:hAnsi="Times" w:eastAsia="Times"/>
      <w:b/>
    </w:rPr>
  </w:style>
  <w:style w:type="paragraph" w:styleId="6">
    <w:name w:val="heading 4"/>
    <w:basedOn w:val="1"/>
    <w:next w:val="1"/>
    <w:semiHidden/>
    <w:qFormat/>
    <w:uiPriority w:val="0"/>
    <w:pPr>
      <w:keepNext/>
      <w:spacing w:line="480" w:lineRule="auto"/>
      <w:outlineLvl w:val="3"/>
    </w:pPr>
    <w:rPr>
      <w:rFonts w:ascii="Times" w:hAnsi="Times"/>
      <w:b/>
      <w:color w:val="0000FF"/>
      <w:sz w:val="44"/>
    </w:rPr>
  </w:style>
  <w:style w:type="paragraph" w:styleId="7">
    <w:name w:val="heading 5"/>
    <w:basedOn w:val="1"/>
    <w:next w:val="1"/>
    <w:link w:val="97"/>
    <w:semiHidden/>
    <w:qFormat/>
    <w:uiPriority w:val="0"/>
    <w:pPr>
      <w:spacing w:before="240" w:after="60"/>
      <w:outlineLvl w:val="4"/>
    </w:pPr>
    <w:rPr>
      <w:rFonts w:ascii="Calibri" w:hAnsi="Calibri"/>
      <w:b/>
      <w:bCs/>
      <w:i/>
      <w:iCs/>
      <w:sz w:val="26"/>
      <w:szCs w:val="26"/>
    </w:rPr>
  </w:style>
  <w:style w:type="paragraph" w:styleId="8">
    <w:name w:val="heading 6"/>
    <w:basedOn w:val="1"/>
    <w:next w:val="1"/>
    <w:link w:val="98"/>
    <w:semiHidden/>
    <w:qFormat/>
    <w:uiPriority w:val="0"/>
    <w:pPr>
      <w:spacing w:before="240" w:after="60"/>
      <w:outlineLvl w:val="5"/>
    </w:pPr>
    <w:rPr>
      <w:rFonts w:ascii="Calibri" w:hAnsi="Calibri"/>
      <w:b/>
      <w:bCs/>
      <w:sz w:val="22"/>
      <w:szCs w:val="22"/>
    </w:rPr>
  </w:style>
  <w:style w:type="paragraph" w:styleId="9">
    <w:name w:val="heading 7"/>
    <w:basedOn w:val="1"/>
    <w:next w:val="1"/>
    <w:link w:val="99"/>
    <w:semiHidden/>
    <w:qFormat/>
    <w:uiPriority w:val="0"/>
    <w:pPr>
      <w:spacing w:before="240" w:after="60"/>
      <w:outlineLvl w:val="6"/>
    </w:pPr>
    <w:rPr>
      <w:rFonts w:ascii="Calibri" w:hAnsi="Calibri"/>
      <w:szCs w:val="24"/>
    </w:rPr>
  </w:style>
  <w:style w:type="paragraph" w:styleId="10">
    <w:name w:val="heading 8"/>
    <w:basedOn w:val="1"/>
    <w:next w:val="1"/>
    <w:link w:val="100"/>
    <w:semiHidden/>
    <w:qFormat/>
    <w:uiPriority w:val="0"/>
    <w:pPr>
      <w:spacing w:before="240" w:after="60"/>
      <w:outlineLvl w:val="7"/>
    </w:pPr>
    <w:rPr>
      <w:rFonts w:ascii="Calibri" w:hAnsi="Calibri"/>
      <w:i/>
      <w:iCs/>
      <w:szCs w:val="24"/>
    </w:rPr>
  </w:style>
  <w:style w:type="paragraph" w:styleId="11">
    <w:name w:val="heading 9"/>
    <w:basedOn w:val="1"/>
    <w:next w:val="1"/>
    <w:link w:val="101"/>
    <w:semiHidden/>
    <w:qFormat/>
    <w:uiPriority w:val="0"/>
    <w:pPr>
      <w:spacing w:before="240" w:after="60"/>
      <w:outlineLvl w:val="8"/>
    </w:pPr>
    <w:rPr>
      <w:rFonts w:ascii="Cambria" w:hAnsi="Cambria"/>
      <w:sz w:val="22"/>
      <w:szCs w:val="22"/>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31"/>
    <w:semiHidden/>
    <w:qFormat/>
    <w:uiPriority w:val="0"/>
    <w:pPr>
      <w:tabs>
        <w:tab w:val="left" w:pos="480"/>
        <w:tab w:val="left" w:pos="960"/>
        <w:tab w:val="left" w:pos="1440"/>
        <w:tab w:val="left" w:pos="1920"/>
        <w:tab w:val="left" w:pos="2400"/>
        <w:tab w:val="left" w:pos="2880"/>
        <w:tab w:val="left" w:pos="3360"/>
        <w:tab w:val="left" w:pos="3840"/>
        <w:tab w:val="left" w:pos="4320"/>
      </w:tabs>
    </w:pPr>
    <w:rPr>
      <w:rFonts w:ascii="Courier New" w:hAnsi="Courier New" w:eastAsia="Times New Roman" w:cs="Courier New"/>
      <w:lang w:val="en-US" w:eastAsia="en-US" w:bidi="ar-SA"/>
    </w:rPr>
  </w:style>
  <w:style w:type="paragraph" w:styleId="12">
    <w:name w:val="List 3"/>
    <w:basedOn w:val="1"/>
    <w:semiHidden/>
    <w:qFormat/>
    <w:uiPriority w:val="0"/>
    <w:pPr>
      <w:ind w:left="1080" w:hanging="360"/>
      <w:contextualSpacing/>
    </w:pPr>
  </w:style>
  <w:style w:type="paragraph" w:styleId="13">
    <w:name w:val="toc 7"/>
    <w:basedOn w:val="1"/>
    <w:next w:val="1"/>
    <w:autoRedefine/>
    <w:semiHidden/>
    <w:qFormat/>
    <w:uiPriority w:val="0"/>
    <w:pPr>
      <w:ind w:left="1440"/>
    </w:pPr>
  </w:style>
  <w:style w:type="paragraph" w:styleId="14">
    <w:name w:val="List Number 2"/>
    <w:basedOn w:val="1"/>
    <w:semiHidden/>
    <w:qFormat/>
    <w:uiPriority w:val="0"/>
    <w:pPr>
      <w:numPr>
        <w:ilvl w:val="0"/>
        <w:numId w:val="1"/>
      </w:numPr>
      <w:contextualSpacing/>
    </w:pPr>
  </w:style>
  <w:style w:type="paragraph" w:styleId="15">
    <w:name w:val="table of authorities"/>
    <w:basedOn w:val="1"/>
    <w:next w:val="1"/>
    <w:semiHidden/>
    <w:qFormat/>
    <w:uiPriority w:val="0"/>
    <w:pPr>
      <w:ind w:left="240" w:hanging="240"/>
    </w:pPr>
  </w:style>
  <w:style w:type="paragraph" w:styleId="16">
    <w:name w:val="Note Heading"/>
    <w:basedOn w:val="1"/>
    <w:next w:val="1"/>
    <w:link w:val="134"/>
    <w:semiHidden/>
    <w:qFormat/>
    <w:uiPriority w:val="0"/>
  </w:style>
  <w:style w:type="paragraph" w:styleId="17">
    <w:name w:val="List Bullet 4"/>
    <w:basedOn w:val="1"/>
    <w:semiHidden/>
    <w:qFormat/>
    <w:uiPriority w:val="0"/>
    <w:pPr>
      <w:numPr>
        <w:ilvl w:val="0"/>
        <w:numId w:val="2"/>
      </w:numPr>
      <w:contextualSpacing/>
    </w:pPr>
  </w:style>
  <w:style w:type="paragraph" w:styleId="18">
    <w:name w:val="index 8"/>
    <w:basedOn w:val="1"/>
    <w:next w:val="1"/>
    <w:autoRedefine/>
    <w:semiHidden/>
    <w:qFormat/>
    <w:uiPriority w:val="0"/>
    <w:pPr>
      <w:ind w:left="1920" w:hanging="240"/>
    </w:pPr>
  </w:style>
  <w:style w:type="paragraph" w:styleId="19">
    <w:name w:val="E-mail Signature"/>
    <w:basedOn w:val="1"/>
    <w:link w:val="121"/>
    <w:semiHidden/>
    <w:qFormat/>
    <w:uiPriority w:val="0"/>
  </w:style>
  <w:style w:type="paragraph" w:styleId="20">
    <w:name w:val="List Number"/>
    <w:basedOn w:val="1"/>
    <w:semiHidden/>
    <w:qFormat/>
    <w:uiPriority w:val="0"/>
    <w:pPr>
      <w:numPr>
        <w:ilvl w:val="0"/>
        <w:numId w:val="3"/>
      </w:numPr>
      <w:contextualSpacing/>
    </w:pPr>
  </w:style>
  <w:style w:type="paragraph" w:styleId="21">
    <w:name w:val="Normal Indent"/>
    <w:basedOn w:val="1"/>
    <w:semiHidden/>
    <w:qFormat/>
    <w:uiPriority w:val="0"/>
    <w:pPr>
      <w:ind w:left="720"/>
    </w:pPr>
  </w:style>
  <w:style w:type="paragraph" w:styleId="22">
    <w:name w:val="caption"/>
    <w:basedOn w:val="1"/>
    <w:next w:val="1"/>
    <w:semiHidden/>
    <w:qFormat/>
    <w:uiPriority w:val="0"/>
    <w:rPr>
      <w:b/>
      <w:bCs/>
      <w:sz w:val="20"/>
    </w:rPr>
  </w:style>
  <w:style w:type="paragraph" w:styleId="23">
    <w:name w:val="index 5"/>
    <w:basedOn w:val="1"/>
    <w:next w:val="1"/>
    <w:autoRedefine/>
    <w:semiHidden/>
    <w:qFormat/>
    <w:uiPriority w:val="0"/>
    <w:pPr>
      <w:ind w:left="1200" w:hanging="240"/>
    </w:pPr>
  </w:style>
  <w:style w:type="paragraph" w:styleId="24">
    <w:name w:val="List Bullet"/>
    <w:basedOn w:val="1"/>
    <w:semiHidden/>
    <w:qFormat/>
    <w:uiPriority w:val="0"/>
    <w:pPr>
      <w:numPr>
        <w:ilvl w:val="0"/>
        <w:numId w:val="4"/>
      </w:numPr>
      <w:contextualSpacing/>
    </w:pPr>
  </w:style>
  <w:style w:type="paragraph" w:styleId="25">
    <w:name w:val="envelope address"/>
    <w:basedOn w:val="1"/>
    <w:semiHidden/>
    <w:qFormat/>
    <w:uiPriority w:val="0"/>
    <w:pPr>
      <w:framePr w:w="7920" w:h="1980" w:hRule="exact" w:hSpace="180" w:wrap="auto" w:vAnchor="margin" w:hAnchor="page" w:xAlign="center" w:yAlign="bottom"/>
      <w:ind w:left="2880"/>
    </w:pPr>
    <w:rPr>
      <w:rFonts w:ascii="Cambria" w:hAnsi="Cambria"/>
      <w:szCs w:val="24"/>
    </w:rPr>
  </w:style>
  <w:style w:type="paragraph" w:styleId="26">
    <w:name w:val="Document Map"/>
    <w:basedOn w:val="1"/>
    <w:link w:val="120"/>
    <w:semiHidden/>
    <w:qFormat/>
    <w:uiPriority w:val="0"/>
    <w:rPr>
      <w:rFonts w:ascii="Tahoma" w:hAnsi="Tahoma" w:cs="Tahoma"/>
      <w:sz w:val="16"/>
      <w:szCs w:val="16"/>
    </w:rPr>
  </w:style>
  <w:style w:type="paragraph" w:styleId="27">
    <w:name w:val="toa heading"/>
    <w:basedOn w:val="1"/>
    <w:next w:val="1"/>
    <w:semiHidden/>
    <w:qFormat/>
    <w:uiPriority w:val="0"/>
    <w:pPr>
      <w:spacing w:before="120"/>
    </w:pPr>
    <w:rPr>
      <w:rFonts w:ascii="Cambria" w:hAnsi="Cambria"/>
      <w:b/>
      <w:bCs/>
      <w:szCs w:val="24"/>
    </w:rPr>
  </w:style>
  <w:style w:type="paragraph" w:styleId="28">
    <w:name w:val="annotation text"/>
    <w:basedOn w:val="1"/>
    <w:link w:val="117"/>
    <w:semiHidden/>
    <w:qFormat/>
    <w:uiPriority w:val="0"/>
    <w:rPr>
      <w:sz w:val="20"/>
    </w:rPr>
  </w:style>
  <w:style w:type="paragraph" w:styleId="29">
    <w:name w:val="index 6"/>
    <w:basedOn w:val="1"/>
    <w:next w:val="1"/>
    <w:autoRedefine/>
    <w:semiHidden/>
    <w:qFormat/>
    <w:uiPriority w:val="0"/>
    <w:pPr>
      <w:ind w:left="1440" w:hanging="240"/>
    </w:pPr>
  </w:style>
  <w:style w:type="paragraph" w:styleId="30">
    <w:name w:val="Salutation"/>
    <w:basedOn w:val="1"/>
    <w:next w:val="1"/>
    <w:link w:val="138"/>
    <w:semiHidden/>
    <w:qFormat/>
    <w:uiPriority w:val="0"/>
  </w:style>
  <w:style w:type="paragraph" w:styleId="31">
    <w:name w:val="Body Text 3"/>
    <w:basedOn w:val="1"/>
    <w:link w:val="110"/>
    <w:semiHidden/>
    <w:qFormat/>
    <w:uiPriority w:val="0"/>
    <w:pPr>
      <w:spacing w:after="120"/>
    </w:pPr>
    <w:rPr>
      <w:sz w:val="16"/>
      <w:szCs w:val="16"/>
    </w:rPr>
  </w:style>
  <w:style w:type="paragraph" w:styleId="32">
    <w:name w:val="Closing"/>
    <w:basedOn w:val="1"/>
    <w:link w:val="116"/>
    <w:semiHidden/>
    <w:qFormat/>
    <w:uiPriority w:val="0"/>
    <w:pPr>
      <w:ind w:left="4320"/>
    </w:pPr>
  </w:style>
  <w:style w:type="paragraph" w:styleId="33">
    <w:name w:val="List Bullet 3"/>
    <w:basedOn w:val="1"/>
    <w:semiHidden/>
    <w:qFormat/>
    <w:uiPriority w:val="0"/>
    <w:pPr>
      <w:numPr>
        <w:ilvl w:val="0"/>
        <w:numId w:val="5"/>
      </w:numPr>
      <w:contextualSpacing/>
    </w:pPr>
  </w:style>
  <w:style w:type="paragraph" w:styleId="34">
    <w:name w:val="Body Text"/>
    <w:basedOn w:val="1"/>
    <w:link w:val="108"/>
    <w:semiHidden/>
    <w:qFormat/>
    <w:uiPriority w:val="0"/>
    <w:pPr>
      <w:spacing w:after="120"/>
    </w:pPr>
  </w:style>
  <w:style w:type="paragraph" w:styleId="35">
    <w:name w:val="Body Text Indent"/>
    <w:basedOn w:val="1"/>
    <w:link w:val="112"/>
    <w:semiHidden/>
    <w:qFormat/>
    <w:uiPriority w:val="0"/>
    <w:pPr>
      <w:spacing w:after="120"/>
      <w:ind w:left="360"/>
    </w:pPr>
  </w:style>
  <w:style w:type="paragraph" w:styleId="36">
    <w:name w:val="List Number 3"/>
    <w:basedOn w:val="1"/>
    <w:semiHidden/>
    <w:qFormat/>
    <w:uiPriority w:val="0"/>
    <w:pPr>
      <w:numPr>
        <w:ilvl w:val="0"/>
        <w:numId w:val="6"/>
      </w:numPr>
      <w:contextualSpacing/>
    </w:pPr>
  </w:style>
  <w:style w:type="paragraph" w:styleId="37">
    <w:name w:val="List 2"/>
    <w:basedOn w:val="1"/>
    <w:semiHidden/>
    <w:qFormat/>
    <w:uiPriority w:val="0"/>
    <w:pPr>
      <w:ind w:left="720" w:hanging="360"/>
      <w:contextualSpacing/>
    </w:pPr>
  </w:style>
  <w:style w:type="paragraph" w:styleId="38">
    <w:name w:val="List Continue"/>
    <w:basedOn w:val="1"/>
    <w:semiHidden/>
    <w:qFormat/>
    <w:uiPriority w:val="0"/>
    <w:pPr>
      <w:spacing w:after="120"/>
      <w:ind w:left="360"/>
      <w:contextualSpacing/>
    </w:pPr>
  </w:style>
  <w:style w:type="paragraph" w:styleId="39">
    <w:name w:val="Block Text"/>
    <w:basedOn w:val="1"/>
    <w:semiHidden/>
    <w:qFormat/>
    <w:uiPriority w:val="0"/>
    <w:pPr>
      <w:spacing w:after="120"/>
      <w:ind w:left="1440" w:right="1440"/>
    </w:pPr>
  </w:style>
  <w:style w:type="paragraph" w:styleId="40">
    <w:name w:val="List Bullet 2"/>
    <w:basedOn w:val="1"/>
    <w:semiHidden/>
    <w:qFormat/>
    <w:uiPriority w:val="0"/>
    <w:pPr>
      <w:numPr>
        <w:ilvl w:val="0"/>
        <w:numId w:val="7"/>
      </w:numPr>
      <w:contextualSpacing/>
    </w:pPr>
  </w:style>
  <w:style w:type="paragraph" w:styleId="41">
    <w:name w:val="HTML Address"/>
    <w:basedOn w:val="1"/>
    <w:link w:val="126"/>
    <w:semiHidden/>
    <w:qFormat/>
    <w:uiPriority w:val="0"/>
    <w:rPr>
      <w:i/>
      <w:iCs/>
    </w:rPr>
  </w:style>
  <w:style w:type="paragraph" w:styleId="42">
    <w:name w:val="index 4"/>
    <w:basedOn w:val="1"/>
    <w:next w:val="1"/>
    <w:autoRedefine/>
    <w:semiHidden/>
    <w:qFormat/>
    <w:uiPriority w:val="0"/>
    <w:pPr>
      <w:ind w:left="960" w:hanging="240"/>
    </w:pPr>
  </w:style>
  <w:style w:type="paragraph" w:styleId="43">
    <w:name w:val="toc 5"/>
    <w:basedOn w:val="1"/>
    <w:next w:val="1"/>
    <w:autoRedefine/>
    <w:semiHidden/>
    <w:qFormat/>
    <w:uiPriority w:val="0"/>
    <w:pPr>
      <w:ind w:left="960"/>
    </w:pPr>
  </w:style>
  <w:style w:type="paragraph" w:styleId="44">
    <w:name w:val="toc 3"/>
    <w:basedOn w:val="1"/>
    <w:next w:val="1"/>
    <w:autoRedefine/>
    <w:semiHidden/>
    <w:qFormat/>
    <w:uiPriority w:val="0"/>
    <w:pPr>
      <w:ind w:left="480"/>
    </w:pPr>
  </w:style>
  <w:style w:type="paragraph" w:styleId="45">
    <w:name w:val="Plain Text"/>
    <w:basedOn w:val="1"/>
    <w:link w:val="135"/>
    <w:semiHidden/>
    <w:qFormat/>
    <w:uiPriority w:val="0"/>
    <w:rPr>
      <w:rFonts w:ascii="Courier New" w:hAnsi="Courier New" w:cs="Courier New"/>
      <w:sz w:val="20"/>
    </w:rPr>
  </w:style>
  <w:style w:type="paragraph" w:styleId="46">
    <w:name w:val="List Bullet 5"/>
    <w:basedOn w:val="1"/>
    <w:semiHidden/>
    <w:qFormat/>
    <w:uiPriority w:val="0"/>
    <w:pPr>
      <w:numPr>
        <w:ilvl w:val="0"/>
        <w:numId w:val="8"/>
      </w:numPr>
      <w:contextualSpacing/>
    </w:pPr>
  </w:style>
  <w:style w:type="paragraph" w:styleId="47">
    <w:name w:val="List Number 4"/>
    <w:basedOn w:val="1"/>
    <w:semiHidden/>
    <w:qFormat/>
    <w:uiPriority w:val="0"/>
    <w:pPr>
      <w:numPr>
        <w:ilvl w:val="0"/>
        <w:numId w:val="9"/>
      </w:numPr>
      <w:contextualSpacing/>
    </w:pPr>
  </w:style>
  <w:style w:type="paragraph" w:styleId="48">
    <w:name w:val="toc 8"/>
    <w:basedOn w:val="1"/>
    <w:next w:val="1"/>
    <w:autoRedefine/>
    <w:semiHidden/>
    <w:qFormat/>
    <w:uiPriority w:val="0"/>
    <w:pPr>
      <w:ind w:left="1680"/>
    </w:pPr>
  </w:style>
  <w:style w:type="paragraph" w:styleId="49">
    <w:name w:val="index 3"/>
    <w:basedOn w:val="1"/>
    <w:next w:val="1"/>
    <w:autoRedefine/>
    <w:semiHidden/>
    <w:qFormat/>
    <w:uiPriority w:val="0"/>
    <w:pPr>
      <w:ind w:left="720" w:hanging="240"/>
    </w:pPr>
  </w:style>
  <w:style w:type="paragraph" w:styleId="50">
    <w:name w:val="Date"/>
    <w:basedOn w:val="1"/>
    <w:next w:val="1"/>
    <w:link w:val="119"/>
    <w:semiHidden/>
    <w:qFormat/>
    <w:uiPriority w:val="0"/>
  </w:style>
  <w:style w:type="paragraph" w:styleId="51">
    <w:name w:val="Body Text Indent 2"/>
    <w:basedOn w:val="1"/>
    <w:link w:val="114"/>
    <w:semiHidden/>
    <w:qFormat/>
    <w:uiPriority w:val="0"/>
    <w:pPr>
      <w:spacing w:after="120" w:line="480" w:lineRule="auto"/>
      <w:ind w:left="360"/>
    </w:pPr>
  </w:style>
  <w:style w:type="paragraph" w:styleId="52">
    <w:name w:val="endnote text"/>
    <w:basedOn w:val="1"/>
    <w:link w:val="122"/>
    <w:semiHidden/>
    <w:qFormat/>
    <w:uiPriority w:val="0"/>
    <w:rPr>
      <w:sz w:val="20"/>
    </w:rPr>
  </w:style>
  <w:style w:type="paragraph" w:styleId="53">
    <w:name w:val="List Continue 5"/>
    <w:basedOn w:val="1"/>
    <w:semiHidden/>
    <w:qFormat/>
    <w:uiPriority w:val="0"/>
    <w:pPr>
      <w:spacing w:after="120"/>
      <w:ind w:left="1800"/>
      <w:contextualSpacing/>
    </w:pPr>
  </w:style>
  <w:style w:type="paragraph" w:styleId="54">
    <w:name w:val="Balloon Text"/>
    <w:basedOn w:val="1"/>
    <w:link w:val="106"/>
    <w:semiHidden/>
    <w:qFormat/>
    <w:uiPriority w:val="0"/>
    <w:rPr>
      <w:rFonts w:ascii="Tahoma" w:hAnsi="Tahoma" w:cs="Tahoma"/>
      <w:sz w:val="16"/>
      <w:szCs w:val="16"/>
    </w:rPr>
  </w:style>
  <w:style w:type="paragraph" w:styleId="55">
    <w:name w:val="footer"/>
    <w:basedOn w:val="1"/>
    <w:link w:val="123"/>
    <w:semiHidden/>
    <w:qFormat/>
    <w:uiPriority w:val="0"/>
    <w:pPr>
      <w:tabs>
        <w:tab w:val="center" w:pos="4680"/>
        <w:tab w:val="right" w:pos="9360"/>
      </w:tabs>
    </w:pPr>
  </w:style>
  <w:style w:type="paragraph" w:styleId="56">
    <w:name w:val="envelope return"/>
    <w:basedOn w:val="1"/>
    <w:semiHidden/>
    <w:qFormat/>
    <w:uiPriority w:val="0"/>
    <w:rPr>
      <w:rFonts w:ascii="Cambria" w:hAnsi="Cambria"/>
      <w:sz w:val="20"/>
    </w:rPr>
  </w:style>
  <w:style w:type="paragraph" w:styleId="57">
    <w:name w:val="header"/>
    <w:basedOn w:val="1"/>
    <w:link w:val="125"/>
    <w:semiHidden/>
    <w:qFormat/>
    <w:uiPriority w:val="0"/>
    <w:pPr>
      <w:tabs>
        <w:tab w:val="center" w:pos="4680"/>
        <w:tab w:val="right" w:pos="9360"/>
      </w:tabs>
    </w:pPr>
  </w:style>
  <w:style w:type="paragraph" w:styleId="58">
    <w:name w:val="Signature"/>
    <w:basedOn w:val="1"/>
    <w:link w:val="139"/>
    <w:semiHidden/>
    <w:qFormat/>
    <w:uiPriority w:val="0"/>
    <w:pPr>
      <w:ind w:left="4320"/>
    </w:pPr>
  </w:style>
  <w:style w:type="paragraph" w:styleId="59">
    <w:name w:val="toc 1"/>
    <w:basedOn w:val="1"/>
    <w:next w:val="1"/>
    <w:autoRedefine/>
    <w:semiHidden/>
    <w:qFormat/>
    <w:uiPriority w:val="0"/>
  </w:style>
  <w:style w:type="paragraph" w:styleId="60">
    <w:name w:val="List Continue 4"/>
    <w:basedOn w:val="1"/>
    <w:semiHidden/>
    <w:qFormat/>
    <w:uiPriority w:val="0"/>
    <w:pPr>
      <w:spacing w:after="120"/>
      <w:ind w:left="1440"/>
      <w:contextualSpacing/>
    </w:pPr>
  </w:style>
  <w:style w:type="paragraph" w:styleId="61">
    <w:name w:val="toc 4"/>
    <w:basedOn w:val="1"/>
    <w:next w:val="1"/>
    <w:autoRedefine/>
    <w:semiHidden/>
    <w:qFormat/>
    <w:uiPriority w:val="0"/>
    <w:pPr>
      <w:ind w:left="720"/>
    </w:pPr>
  </w:style>
  <w:style w:type="paragraph" w:styleId="62">
    <w:name w:val="index heading"/>
    <w:basedOn w:val="1"/>
    <w:next w:val="63"/>
    <w:semiHidden/>
    <w:qFormat/>
    <w:uiPriority w:val="0"/>
    <w:rPr>
      <w:rFonts w:ascii="Cambria" w:hAnsi="Cambria"/>
      <w:b/>
      <w:bCs/>
    </w:rPr>
  </w:style>
  <w:style w:type="paragraph" w:styleId="63">
    <w:name w:val="index 1"/>
    <w:basedOn w:val="1"/>
    <w:next w:val="1"/>
    <w:autoRedefine/>
    <w:semiHidden/>
    <w:qFormat/>
    <w:uiPriority w:val="0"/>
    <w:pPr>
      <w:ind w:left="240" w:hanging="240"/>
    </w:pPr>
  </w:style>
  <w:style w:type="paragraph" w:styleId="64">
    <w:name w:val="Subtitle"/>
    <w:basedOn w:val="1"/>
    <w:next w:val="1"/>
    <w:link w:val="140"/>
    <w:semiHidden/>
    <w:qFormat/>
    <w:uiPriority w:val="0"/>
    <w:pPr>
      <w:spacing w:after="60"/>
      <w:jc w:val="center"/>
      <w:outlineLvl w:val="1"/>
    </w:pPr>
    <w:rPr>
      <w:rFonts w:ascii="Cambria" w:hAnsi="Cambria"/>
      <w:szCs w:val="24"/>
    </w:rPr>
  </w:style>
  <w:style w:type="paragraph" w:styleId="65">
    <w:name w:val="List Number 5"/>
    <w:basedOn w:val="1"/>
    <w:semiHidden/>
    <w:qFormat/>
    <w:uiPriority w:val="0"/>
    <w:pPr>
      <w:numPr>
        <w:ilvl w:val="0"/>
        <w:numId w:val="10"/>
      </w:numPr>
      <w:contextualSpacing/>
    </w:pPr>
  </w:style>
  <w:style w:type="paragraph" w:styleId="66">
    <w:name w:val="List"/>
    <w:basedOn w:val="1"/>
    <w:semiHidden/>
    <w:qFormat/>
    <w:uiPriority w:val="0"/>
    <w:pPr>
      <w:ind w:left="360" w:hanging="360"/>
      <w:contextualSpacing/>
    </w:pPr>
  </w:style>
  <w:style w:type="paragraph" w:styleId="67">
    <w:name w:val="footnote text"/>
    <w:basedOn w:val="1"/>
    <w:link w:val="124"/>
    <w:semiHidden/>
    <w:qFormat/>
    <w:uiPriority w:val="0"/>
    <w:rPr>
      <w:sz w:val="20"/>
    </w:rPr>
  </w:style>
  <w:style w:type="paragraph" w:styleId="68">
    <w:name w:val="toc 6"/>
    <w:basedOn w:val="1"/>
    <w:next w:val="1"/>
    <w:autoRedefine/>
    <w:semiHidden/>
    <w:qFormat/>
    <w:uiPriority w:val="0"/>
    <w:pPr>
      <w:ind w:left="1200"/>
    </w:pPr>
  </w:style>
  <w:style w:type="paragraph" w:styleId="69">
    <w:name w:val="List 5"/>
    <w:basedOn w:val="1"/>
    <w:semiHidden/>
    <w:qFormat/>
    <w:uiPriority w:val="0"/>
    <w:pPr>
      <w:ind w:left="1800" w:hanging="360"/>
      <w:contextualSpacing/>
    </w:pPr>
  </w:style>
  <w:style w:type="paragraph" w:styleId="70">
    <w:name w:val="Body Text Indent 3"/>
    <w:basedOn w:val="1"/>
    <w:link w:val="115"/>
    <w:semiHidden/>
    <w:qFormat/>
    <w:uiPriority w:val="0"/>
    <w:pPr>
      <w:spacing w:after="120"/>
      <w:ind w:left="360"/>
    </w:pPr>
    <w:rPr>
      <w:sz w:val="16"/>
      <w:szCs w:val="16"/>
    </w:rPr>
  </w:style>
  <w:style w:type="paragraph" w:styleId="71">
    <w:name w:val="index 7"/>
    <w:basedOn w:val="1"/>
    <w:next w:val="1"/>
    <w:autoRedefine/>
    <w:semiHidden/>
    <w:qFormat/>
    <w:uiPriority w:val="0"/>
    <w:pPr>
      <w:ind w:left="1680" w:hanging="240"/>
    </w:pPr>
  </w:style>
  <w:style w:type="paragraph" w:styleId="72">
    <w:name w:val="index 9"/>
    <w:basedOn w:val="1"/>
    <w:next w:val="1"/>
    <w:autoRedefine/>
    <w:semiHidden/>
    <w:qFormat/>
    <w:uiPriority w:val="0"/>
    <w:pPr>
      <w:ind w:left="2160" w:hanging="240"/>
    </w:pPr>
  </w:style>
  <w:style w:type="paragraph" w:styleId="73">
    <w:name w:val="table of figures"/>
    <w:basedOn w:val="1"/>
    <w:next w:val="1"/>
    <w:semiHidden/>
    <w:qFormat/>
    <w:uiPriority w:val="0"/>
  </w:style>
  <w:style w:type="paragraph" w:styleId="74">
    <w:name w:val="toc 2"/>
    <w:basedOn w:val="1"/>
    <w:next w:val="1"/>
    <w:autoRedefine/>
    <w:semiHidden/>
    <w:qFormat/>
    <w:uiPriority w:val="0"/>
    <w:pPr>
      <w:ind w:left="240"/>
    </w:pPr>
  </w:style>
  <w:style w:type="paragraph" w:styleId="75">
    <w:name w:val="toc 9"/>
    <w:basedOn w:val="1"/>
    <w:next w:val="1"/>
    <w:autoRedefine/>
    <w:semiHidden/>
    <w:qFormat/>
    <w:uiPriority w:val="0"/>
    <w:pPr>
      <w:ind w:left="1920"/>
    </w:pPr>
  </w:style>
  <w:style w:type="paragraph" w:styleId="76">
    <w:name w:val="Body Text 2"/>
    <w:basedOn w:val="1"/>
    <w:link w:val="109"/>
    <w:semiHidden/>
    <w:qFormat/>
    <w:uiPriority w:val="0"/>
    <w:pPr>
      <w:spacing w:after="120" w:line="480" w:lineRule="auto"/>
    </w:pPr>
  </w:style>
  <w:style w:type="paragraph" w:styleId="77">
    <w:name w:val="List 4"/>
    <w:basedOn w:val="1"/>
    <w:semiHidden/>
    <w:qFormat/>
    <w:uiPriority w:val="0"/>
    <w:pPr>
      <w:ind w:left="1440" w:hanging="360"/>
      <w:contextualSpacing/>
    </w:pPr>
  </w:style>
  <w:style w:type="paragraph" w:styleId="78">
    <w:name w:val="List Continue 2"/>
    <w:basedOn w:val="1"/>
    <w:semiHidden/>
    <w:qFormat/>
    <w:uiPriority w:val="0"/>
    <w:pPr>
      <w:spacing w:after="120"/>
      <w:ind w:left="720"/>
      <w:contextualSpacing/>
    </w:pPr>
  </w:style>
  <w:style w:type="paragraph" w:styleId="79">
    <w:name w:val="Message Header"/>
    <w:basedOn w:val="1"/>
    <w:link w:val="132"/>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Cambria" w:hAnsi="Cambria"/>
      <w:szCs w:val="24"/>
    </w:rPr>
  </w:style>
  <w:style w:type="paragraph" w:styleId="80">
    <w:name w:val="HTML Preformatted"/>
    <w:basedOn w:val="1"/>
    <w:link w:val="127"/>
    <w:semiHidden/>
    <w:qFormat/>
    <w:uiPriority w:val="0"/>
    <w:rPr>
      <w:rFonts w:ascii="Courier New" w:hAnsi="Courier New" w:cs="Courier New"/>
      <w:sz w:val="20"/>
    </w:rPr>
  </w:style>
  <w:style w:type="paragraph" w:styleId="81">
    <w:name w:val="Normal (Web)"/>
    <w:basedOn w:val="1"/>
    <w:semiHidden/>
    <w:qFormat/>
    <w:uiPriority w:val="99"/>
    <w:rPr>
      <w:szCs w:val="24"/>
    </w:rPr>
  </w:style>
  <w:style w:type="paragraph" w:styleId="82">
    <w:name w:val="List Continue 3"/>
    <w:basedOn w:val="1"/>
    <w:semiHidden/>
    <w:qFormat/>
    <w:uiPriority w:val="0"/>
    <w:pPr>
      <w:spacing w:after="120"/>
      <w:ind w:left="1080"/>
      <w:contextualSpacing/>
    </w:pPr>
  </w:style>
  <w:style w:type="paragraph" w:styleId="83">
    <w:name w:val="index 2"/>
    <w:basedOn w:val="1"/>
    <w:next w:val="1"/>
    <w:autoRedefine/>
    <w:semiHidden/>
    <w:qFormat/>
    <w:uiPriority w:val="0"/>
    <w:pPr>
      <w:ind w:left="480" w:hanging="240"/>
    </w:pPr>
  </w:style>
  <w:style w:type="paragraph" w:styleId="84">
    <w:name w:val="Title"/>
    <w:basedOn w:val="1"/>
    <w:next w:val="1"/>
    <w:link w:val="141"/>
    <w:semiHidden/>
    <w:qFormat/>
    <w:uiPriority w:val="0"/>
    <w:pPr>
      <w:spacing w:before="240" w:after="60"/>
      <w:jc w:val="center"/>
      <w:outlineLvl w:val="0"/>
    </w:pPr>
    <w:rPr>
      <w:rFonts w:ascii="Cambria" w:hAnsi="Cambria"/>
      <w:b/>
      <w:bCs/>
      <w:kern w:val="28"/>
      <w:sz w:val="32"/>
      <w:szCs w:val="32"/>
    </w:rPr>
  </w:style>
  <w:style w:type="paragraph" w:styleId="85">
    <w:name w:val="annotation subject"/>
    <w:basedOn w:val="28"/>
    <w:next w:val="28"/>
    <w:link w:val="118"/>
    <w:semiHidden/>
    <w:qFormat/>
    <w:uiPriority w:val="0"/>
    <w:rPr>
      <w:b/>
      <w:bCs/>
    </w:rPr>
  </w:style>
  <w:style w:type="paragraph" w:styleId="86">
    <w:name w:val="Body Text First Indent"/>
    <w:basedOn w:val="34"/>
    <w:link w:val="111"/>
    <w:semiHidden/>
    <w:qFormat/>
    <w:uiPriority w:val="0"/>
    <w:pPr>
      <w:ind w:firstLine="210"/>
    </w:pPr>
  </w:style>
  <w:style w:type="paragraph" w:styleId="87">
    <w:name w:val="Body Text First Indent 2"/>
    <w:basedOn w:val="35"/>
    <w:link w:val="113"/>
    <w:semiHidden/>
    <w:qFormat/>
    <w:uiPriority w:val="0"/>
    <w:pPr>
      <w:ind w:firstLine="210"/>
    </w:pPr>
  </w:style>
  <w:style w:type="table" w:styleId="89">
    <w:name w:val="Table Grid"/>
    <w:basedOn w:val="88"/>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qFormat/>
    <w:uiPriority w:val="0"/>
  </w:style>
  <w:style w:type="character" w:styleId="92">
    <w:name w:val="FollowedHyperlink"/>
    <w:semiHidden/>
    <w:unhideWhenUsed/>
    <w:qFormat/>
    <w:uiPriority w:val="0"/>
    <w:rPr>
      <w:color w:val="800080"/>
      <w:u w:val="single"/>
    </w:rPr>
  </w:style>
  <w:style w:type="character" w:styleId="93">
    <w:name w:val="Hyperlink"/>
    <w:semiHidden/>
    <w:qFormat/>
    <w:uiPriority w:val="0"/>
    <w:rPr>
      <w:color w:val="0000FF"/>
      <w:u w:val="single"/>
    </w:rPr>
  </w:style>
  <w:style w:type="character" w:styleId="94">
    <w:name w:val="annotation reference"/>
    <w:semiHidden/>
    <w:unhideWhenUsed/>
    <w:qFormat/>
    <w:uiPriority w:val="0"/>
    <w:rPr>
      <w:sz w:val="16"/>
      <w:szCs w:val="16"/>
    </w:rPr>
  </w:style>
  <w:style w:type="character" w:customStyle="1" w:styleId="95">
    <w:name w:val="标题 1 字符"/>
    <w:link w:val="3"/>
    <w:semiHidden/>
    <w:qFormat/>
    <w:uiPriority w:val="0"/>
    <w:rPr>
      <w:b/>
      <w:bCs/>
      <w:kern w:val="32"/>
      <w:sz w:val="24"/>
      <w:szCs w:val="24"/>
    </w:rPr>
  </w:style>
  <w:style w:type="character" w:customStyle="1" w:styleId="96">
    <w:name w:val="标题 2 字符"/>
    <w:link w:val="4"/>
    <w:semiHidden/>
    <w:qFormat/>
    <w:uiPriority w:val="0"/>
    <w:rPr>
      <w:rFonts w:ascii="Cambria" w:hAnsi="Cambria"/>
      <w:b/>
      <w:bCs/>
      <w:i/>
      <w:iCs/>
      <w:sz w:val="28"/>
      <w:szCs w:val="28"/>
    </w:rPr>
  </w:style>
  <w:style w:type="character" w:customStyle="1" w:styleId="97">
    <w:name w:val="标题 5 字符"/>
    <w:link w:val="7"/>
    <w:semiHidden/>
    <w:qFormat/>
    <w:uiPriority w:val="0"/>
    <w:rPr>
      <w:rFonts w:ascii="Calibri" w:hAnsi="Calibri"/>
      <w:b/>
      <w:bCs/>
      <w:i/>
      <w:iCs/>
      <w:sz w:val="26"/>
      <w:szCs w:val="26"/>
    </w:rPr>
  </w:style>
  <w:style w:type="character" w:customStyle="1" w:styleId="98">
    <w:name w:val="标题 6 字符"/>
    <w:link w:val="8"/>
    <w:semiHidden/>
    <w:qFormat/>
    <w:uiPriority w:val="0"/>
    <w:rPr>
      <w:rFonts w:ascii="Calibri" w:hAnsi="Calibri"/>
      <w:b/>
      <w:bCs/>
      <w:sz w:val="22"/>
      <w:szCs w:val="22"/>
    </w:rPr>
  </w:style>
  <w:style w:type="character" w:customStyle="1" w:styleId="99">
    <w:name w:val="标题 7 字符"/>
    <w:link w:val="9"/>
    <w:semiHidden/>
    <w:qFormat/>
    <w:uiPriority w:val="0"/>
    <w:rPr>
      <w:rFonts w:ascii="Calibri" w:hAnsi="Calibri"/>
      <w:sz w:val="24"/>
      <w:szCs w:val="24"/>
    </w:rPr>
  </w:style>
  <w:style w:type="character" w:customStyle="1" w:styleId="100">
    <w:name w:val="标题 8 字符"/>
    <w:link w:val="10"/>
    <w:semiHidden/>
    <w:qFormat/>
    <w:uiPriority w:val="0"/>
    <w:rPr>
      <w:rFonts w:ascii="Calibri" w:hAnsi="Calibri"/>
      <w:i/>
      <w:iCs/>
      <w:sz w:val="24"/>
      <w:szCs w:val="24"/>
    </w:rPr>
  </w:style>
  <w:style w:type="character" w:customStyle="1" w:styleId="101">
    <w:name w:val="标题 9 字符"/>
    <w:link w:val="11"/>
    <w:semiHidden/>
    <w:qFormat/>
    <w:uiPriority w:val="0"/>
    <w:rPr>
      <w:rFonts w:ascii="Cambria" w:hAnsi="Cambria"/>
      <w:sz w:val="22"/>
      <w:szCs w:val="22"/>
    </w:rPr>
  </w:style>
  <w:style w:type="paragraph" w:customStyle="1" w:styleId="102">
    <w:name w:val="SM Heading"/>
    <w:basedOn w:val="3"/>
    <w:qFormat/>
    <w:uiPriority w:val="0"/>
  </w:style>
  <w:style w:type="paragraph" w:customStyle="1" w:styleId="103">
    <w:name w:val="SM Subheading"/>
    <w:basedOn w:val="1"/>
    <w:qFormat/>
    <w:uiPriority w:val="0"/>
    <w:rPr>
      <w:u w:val="words"/>
    </w:rPr>
  </w:style>
  <w:style w:type="paragraph" w:customStyle="1" w:styleId="104">
    <w:name w:val="SM Text"/>
    <w:basedOn w:val="1"/>
    <w:qFormat/>
    <w:uiPriority w:val="0"/>
    <w:pPr>
      <w:ind w:firstLine="480"/>
    </w:pPr>
  </w:style>
  <w:style w:type="paragraph" w:customStyle="1" w:styleId="105">
    <w:name w:val="SM caption"/>
    <w:basedOn w:val="104"/>
    <w:qFormat/>
    <w:uiPriority w:val="0"/>
    <w:pPr>
      <w:ind w:firstLine="0"/>
    </w:pPr>
  </w:style>
  <w:style w:type="character" w:customStyle="1" w:styleId="106">
    <w:name w:val="批注框文本 字符"/>
    <w:link w:val="54"/>
    <w:semiHidden/>
    <w:qFormat/>
    <w:uiPriority w:val="0"/>
    <w:rPr>
      <w:rFonts w:ascii="Tahoma" w:hAnsi="Tahoma" w:cs="Tahoma"/>
      <w:sz w:val="16"/>
      <w:szCs w:val="16"/>
    </w:rPr>
  </w:style>
  <w:style w:type="paragraph" w:customStyle="1" w:styleId="107">
    <w:name w:val="书目1"/>
    <w:basedOn w:val="1"/>
    <w:next w:val="1"/>
    <w:semiHidden/>
    <w:qFormat/>
    <w:uiPriority w:val="37"/>
  </w:style>
  <w:style w:type="character" w:customStyle="1" w:styleId="108">
    <w:name w:val="正文文本 字符"/>
    <w:link w:val="34"/>
    <w:semiHidden/>
    <w:qFormat/>
    <w:uiPriority w:val="0"/>
    <w:rPr>
      <w:sz w:val="24"/>
    </w:rPr>
  </w:style>
  <w:style w:type="character" w:customStyle="1" w:styleId="109">
    <w:name w:val="正文文本 2 字符"/>
    <w:link w:val="76"/>
    <w:semiHidden/>
    <w:qFormat/>
    <w:uiPriority w:val="0"/>
    <w:rPr>
      <w:sz w:val="24"/>
    </w:rPr>
  </w:style>
  <w:style w:type="character" w:customStyle="1" w:styleId="110">
    <w:name w:val="正文文本 3 字符"/>
    <w:link w:val="31"/>
    <w:semiHidden/>
    <w:qFormat/>
    <w:uiPriority w:val="0"/>
    <w:rPr>
      <w:sz w:val="16"/>
      <w:szCs w:val="16"/>
    </w:rPr>
  </w:style>
  <w:style w:type="character" w:customStyle="1" w:styleId="111">
    <w:name w:val="正文文本首行缩进 字符"/>
    <w:link w:val="86"/>
    <w:semiHidden/>
    <w:qFormat/>
    <w:uiPriority w:val="0"/>
    <w:rPr>
      <w:sz w:val="24"/>
    </w:rPr>
  </w:style>
  <w:style w:type="character" w:customStyle="1" w:styleId="112">
    <w:name w:val="正文文本缩进 字符"/>
    <w:link w:val="35"/>
    <w:semiHidden/>
    <w:qFormat/>
    <w:uiPriority w:val="0"/>
    <w:rPr>
      <w:sz w:val="24"/>
    </w:rPr>
  </w:style>
  <w:style w:type="character" w:customStyle="1" w:styleId="113">
    <w:name w:val="正文文本首行缩进 2 字符"/>
    <w:link w:val="87"/>
    <w:semiHidden/>
    <w:qFormat/>
    <w:uiPriority w:val="0"/>
    <w:rPr>
      <w:sz w:val="24"/>
    </w:rPr>
  </w:style>
  <w:style w:type="character" w:customStyle="1" w:styleId="114">
    <w:name w:val="正文文本缩进 2 字符"/>
    <w:link w:val="51"/>
    <w:semiHidden/>
    <w:qFormat/>
    <w:uiPriority w:val="0"/>
    <w:rPr>
      <w:sz w:val="24"/>
    </w:rPr>
  </w:style>
  <w:style w:type="character" w:customStyle="1" w:styleId="115">
    <w:name w:val="正文文本缩进 3 字符"/>
    <w:link w:val="70"/>
    <w:semiHidden/>
    <w:qFormat/>
    <w:uiPriority w:val="0"/>
    <w:rPr>
      <w:sz w:val="16"/>
      <w:szCs w:val="16"/>
    </w:rPr>
  </w:style>
  <w:style w:type="character" w:customStyle="1" w:styleId="116">
    <w:name w:val="结束语 字符"/>
    <w:link w:val="32"/>
    <w:semiHidden/>
    <w:qFormat/>
    <w:uiPriority w:val="0"/>
    <w:rPr>
      <w:sz w:val="24"/>
    </w:rPr>
  </w:style>
  <w:style w:type="character" w:customStyle="1" w:styleId="117">
    <w:name w:val="批注文字 字符"/>
    <w:basedOn w:val="90"/>
    <w:link w:val="28"/>
    <w:semiHidden/>
    <w:qFormat/>
    <w:uiPriority w:val="0"/>
  </w:style>
  <w:style w:type="character" w:customStyle="1" w:styleId="118">
    <w:name w:val="批注主题 字符"/>
    <w:link w:val="85"/>
    <w:semiHidden/>
    <w:qFormat/>
    <w:uiPriority w:val="0"/>
    <w:rPr>
      <w:b/>
      <w:bCs/>
    </w:rPr>
  </w:style>
  <w:style w:type="character" w:customStyle="1" w:styleId="119">
    <w:name w:val="日期 字符"/>
    <w:link w:val="50"/>
    <w:semiHidden/>
    <w:qFormat/>
    <w:uiPriority w:val="0"/>
    <w:rPr>
      <w:sz w:val="24"/>
    </w:rPr>
  </w:style>
  <w:style w:type="character" w:customStyle="1" w:styleId="120">
    <w:name w:val="文档结构图 字符"/>
    <w:link w:val="26"/>
    <w:semiHidden/>
    <w:qFormat/>
    <w:uiPriority w:val="0"/>
    <w:rPr>
      <w:rFonts w:ascii="Tahoma" w:hAnsi="Tahoma" w:cs="Tahoma"/>
      <w:sz w:val="16"/>
      <w:szCs w:val="16"/>
    </w:rPr>
  </w:style>
  <w:style w:type="character" w:customStyle="1" w:styleId="121">
    <w:name w:val="电子邮件签名 字符"/>
    <w:link w:val="19"/>
    <w:semiHidden/>
    <w:qFormat/>
    <w:uiPriority w:val="0"/>
    <w:rPr>
      <w:sz w:val="24"/>
    </w:rPr>
  </w:style>
  <w:style w:type="character" w:customStyle="1" w:styleId="122">
    <w:name w:val="尾注文本 字符"/>
    <w:basedOn w:val="90"/>
    <w:link w:val="52"/>
    <w:semiHidden/>
    <w:qFormat/>
    <w:uiPriority w:val="0"/>
  </w:style>
  <w:style w:type="character" w:customStyle="1" w:styleId="123">
    <w:name w:val="页脚 字符"/>
    <w:link w:val="55"/>
    <w:semiHidden/>
    <w:qFormat/>
    <w:uiPriority w:val="0"/>
    <w:rPr>
      <w:sz w:val="24"/>
    </w:rPr>
  </w:style>
  <w:style w:type="character" w:customStyle="1" w:styleId="124">
    <w:name w:val="脚注文本 字符"/>
    <w:basedOn w:val="90"/>
    <w:link w:val="67"/>
    <w:semiHidden/>
    <w:qFormat/>
    <w:uiPriority w:val="0"/>
  </w:style>
  <w:style w:type="character" w:customStyle="1" w:styleId="125">
    <w:name w:val="页眉 字符"/>
    <w:link w:val="57"/>
    <w:semiHidden/>
    <w:qFormat/>
    <w:uiPriority w:val="0"/>
    <w:rPr>
      <w:sz w:val="24"/>
    </w:rPr>
  </w:style>
  <w:style w:type="character" w:customStyle="1" w:styleId="126">
    <w:name w:val="HTML 地址 字符"/>
    <w:link w:val="41"/>
    <w:semiHidden/>
    <w:qFormat/>
    <w:uiPriority w:val="0"/>
    <w:rPr>
      <w:i/>
      <w:iCs/>
      <w:sz w:val="24"/>
    </w:rPr>
  </w:style>
  <w:style w:type="character" w:customStyle="1" w:styleId="127">
    <w:name w:val="HTML 预设格式 字符"/>
    <w:link w:val="80"/>
    <w:semiHidden/>
    <w:qFormat/>
    <w:uiPriority w:val="0"/>
    <w:rPr>
      <w:rFonts w:ascii="Courier New" w:hAnsi="Courier New" w:cs="Courier New"/>
    </w:rPr>
  </w:style>
  <w:style w:type="paragraph" w:styleId="128">
    <w:name w:val="Intense Quote"/>
    <w:basedOn w:val="1"/>
    <w:next w:val="1"/>
    <w:link w:val="129"/>
    <w:semiHidden/>
    <w:qFormat/>
    <w:uiPriority w:val="30"/>
    <w:pPr>
      <w:pBdr>
        <w:bottom w:val="single" w:color="4F81BD" w:sz="4" w:space="4"/>
      </w:pBdr>
      <w:spacing w:before="200" w:after="280"/>
      <w:ind w:left="936" w:right="936"/>
    </w:pPr>
    <w:rPr>
      <w:b/>
      <w:bCs/>
      <w:i/>
      <w:iCs/>
      <w:color w:val="4F81BD"/>
    </w:rPr>
  </w:style>
  <w:style w:type="character" w:customStyle="1" w:styleId="129">
    <w:name w:val="明显引用 字符"/>
    <w:link w:val="128"/>
    <w:semiHidden/>
    <w:qFormat/>
    <w:uiPriority w:val="30"/>
    <w:rPr>
      <w:b/>
      <w:bCs/>
      <w:i/>
      <w:iCs/>
      <w:color w:val="4F81BD"/>
      <w:sz w:val="24"/>
    </w:rPr>
  </w:style>
  <w:style w:type="paragraph" w:styleId="130">
    <w:name w:val="List Paragraph"/>
    <w:basedOn w:val="1"/>
    <w:semiHidden/>
    <w:qFormat/>
    <w:uiPriority w:val="34"/>
    <w:pPr>
      <w:ind w:left="720"/>
    </w:pPr>
  </w:style>
  <w:style w:type="character" w:customStyle="1" w:styleId="131">
    <w:name w:val="宏文本 字符"/>
    <w:link w:val="2"/>
    <w:semiHidden/>
    <w:qFormat/>
    <w:uiPriority w:val="0"/>
    <w:rPr>
      <w:rFonts w:ascii="Courier New" w:hAnsi="Courier New" w:cs="Courier New"/>
      <w:lang w:val="en-US" w:eastAsia="en-US" w:bidi="ar-SA"/>
    </w:rPr>
  </w:style>
  <w:style w:type="character" w:customStyle="1" w:styleId="132">
    <w:name w:val="信息标题 字符"/>
    <w:link w:val="79"/>
    <w:semiHidden/>
    <w:qFormat/>
    <w:uiPriority w:val="0"/>
    <w:rPr>
      <w:rFonts w:ascii="Cambria" w:hAnsi="Cambria"/>
      <w:sz w:val="24"/>
      <w:szCs w:val="24"/>
      <w:shd w:val="pct20" w:color="auto" w:fill="auto"/>
    </w:rPr>
  </w:style>
  <w:style w:type="paragraph" w:styleId="133">
    <w:name w:val="No Spacing"/>
    <w:semiHidden/>
    <w:qFormat/>
    <w:uiPriority w:val="1"/>
    <w:rPr>
      <w:rFonts w:ascii="Times New Roman" w:hAnsi="Times New Roman" w:eastAsia="Times New Roman" w:cs="Times New Roman"/>
      <w:sz w:val="24"/>
      <w:lang w:val="en-US" w:eastAsia="en-US" w:bidi="ar-SA"/>
    </w:rPr>
  </w:style>
  <w:style w:type="character" w:customStyle="1" w:styleId="134">
    <w:name w:val="注释标题 字符"/>
    <w:link w:val="16"/>
    <w:semiHidden/>
    <w:qFormat/>
    <w:uiPriority w:val="0"/>
    <w:rPr>
      <w:sz w:val="24"/>
    </w:rPr>
  </w:style>
  <w:style w:type="character" w:customStyle="1" w:styleId="135">
    <w:name w:val="纯文本 字符"/>
    <w:link w:val="45"/>
    <w:semiHidden/>
    <w:qFormat/>
    <w:uiPriority w:val="0"/>
    <w:rPr>
      <w:rFonts w:ascii="Courier New" w:hAnsi="Courier New" w:cs="Courier New"/>
    </w:rPr>
  </w:style>
  <w:style w:type="paragraph" w:styleId="136">
    <w:name w:val="Quote"/>
    <w:basedOn w:val="1"/>
    <w:next w:val="1"/>
    <w:link w:val="137"/>
    <w:semiHidden/>
    <w:qFormat/>
    <w:uiPriority w:val="29"/>
    <w:rPr>
      <w:i/>
      <w:iCs/>
      <w:color w:val="000000"/>
    </w:rPr>
  </w:style>
  <w:style w:type="character" w:customStyle="1" w:styleId="137">
    <w:name w:val="引用 字符"/>
    <w:link w:val="136"/>
    <w:semiHidden/>
    <w:qFormat/>
    <w:uiPriority w:val="29"/>
    <w:rPr>
      <w:i/>
      <w:iCs/>
      <w:color w:val="000000"/>
      <w:sz w:val="24"/>
    </w:rPr>
  </w:style>
  <w:style w:type="character" w:customStyle="1" w:styleId="138">
    <w:name w:val="称呼 字符"/>
    <w:link w:val="30"/>
    <w:semiHidden/>
    <w:qFormat/>
    <w:uiPriority w:val="0"/>
    <w:rPr>
      <w:sz w:val="24"/>
    </w:rPr>
  </w:style>
  <w:style w:type="character" w:customStyle="1" w:styleId="139">
    <w:name w:val="签名 字符"/>
    <w:link w:val="58"/>
    <w:semiHidden/>
    <w:qFormat/>
    <w:uiPriority w:val="0"/>
    <w:rPr>
      <w:sz w:val="24"/>
    </w:rPr>
  </w:style>
  <w:style w:type="character" w:customStyle="1" w:styleId="140">
    <w:name w:val="副标题 字符"/>
    <w:link w:val="64"/>
    <w:semiHidden/>
    <w:qFormat/>
    <w:uiPriority w:val="0"/>
    <w:rPr>
      <w:rFonts w:ascii="Cambria" w:hAnsi="Cambria"/>
      <w:sz w:val="24"/>
      <w:szCs w:val="24"/>
    </w:rPr>
  </w:style>
  <w:style w:type="character" w:customStyle="1" w:styleId="141">
    <w:name w:val="标题 字符"/>
    <w:link w:val="84"/>
    <w:semiHidden/>
    <w:qFormat/>
    <w:uiPriority w:val="0"/>
    <w:rPr>
      <w:rFonts w:ascii="Cambria" w:hAnsi="Cambria"/>
      <w:b/>
      <w:bCs/>
      <w:kern w:val="28"/>
      <w:sz w:val="32"/>
      <w:szCs w:val="32"/>
    </w:rPr>
  </w:style>
  <w:style w:type="paragraph" w:customStyle="1" w:styleId="142">
    <w:name w:val="TOC 标题1"/>
    <w:basedOn w:val="3"/>
    <w:next w:val="1"/>
    <w:semiHidden/>
    <w:unhideWhenUsed/>
    <w:qFormat/>
    <w:uiPriority w:val="39"/>
    <w:pPr>
      <w:outlineLvl w:val="9"/>
    </w:pPr>
    <w:rPr>
      <w:rFonts w:ascii="Cambria" w:hAnsi="Cambria"/>
      <w:sz w:val="32"/>
      <w:szCs w:val="32"/>
    </w:rPr>
  </w:style>
  <w:style w:type="character" w:customStyle="1" w:styleId="143">
    <w:name w:val="未处理的提及1"/>
    <w:basedOn w:val="90"/>
    <w:semiHidden/>
    <w:unhideWhenUsed/>
    <w:qFormat/>
    <w:uiPriority w:val="99"/>
    <w:rPr>
      <w:color w:val="808080"/>
      <w:shd w:val="clear" w:color="auto" w:fill="E6E6E6"/>
    </w:rPr>
  </w:style>
  <w:style w:type="paragraph" w:customStyle="1" w:styleId="144">
    <w:name w:val="PubInfo"/>
    <w:basedOn w:val="1"/>
    <w:qFormat/>
    <w:uiPriority w:val="0"/>
    <w:pPr>
      <w:suppressAutoHyphens/>
      <w:jc w:val="center"/>
    </w:pPr>
    <w:rPr>
      <w:sz w:val="20"/>
      <w:lang w:eastAsia="ar-SA"/>
    </w:rPr>
  </w:style>
  <w:style w:type="paragraph" w:customStyle="1" w:styleId="145">
    <w:name w:val="DoiInfo"/>
    <w:basedOn w:val="1"/>
    <w:qFormat/>
    <w:uiPriority w:val="0"/>
    <w:pPr>
      <w:suppressAutoHyphens/>
      <w:jc w:val="center"/>
    </w:pPr>
    <w:rPr>
      <w:sz w:val="20"/>
      <w:lang w:eastAsia="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3.xml"/><Relationship Id="rId23" Type="http://schemas.openxmlformats.org/officeDocument/2006/relationships/customXml" Target="../customXml/item2.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F523CB-42AC-406D-90D9-CA3AE16CA9D3}">
  <ds:schemaRefs/>
</ds:datastoreItem>
</file>

<file path=customXml/itemProps2.xml><?xml version="1.0" encoding="utf-8"?>
<ds:datastoreItem xmlns:ds="http://schemas.openxmlformats.org/officeDocument/2006/customXml" ds:itemID="{6876C972-A183-49AB-BF18-FB119101A461}">
  <ds:schemaRefs/>
</ds:datastoreItem>
</file>

<file path=customXml/itemProps3.xml><?xml version="1.0" encoding="utf-8"?>
<ds:datastoreItem xmlns:ds="http://schemas.openxmlformats.org/officeDocument/2006/customXml" ds:itemID="{606A6A5F-BF35-401C-A3A1-63045C831006}">
  <ds:schemaRefs/>
</ds:datastoreItem>
</file>

<file path=docProps/app.xml><?xml version="1.0" encoding="utf-8"?>
<Properties xmlns="http://schemas.openxmlformats.org/officeDocument/2006/extended-properties" xmlns:vt="http://schemas.openxmlformats.org/officeDocument/2006/docPropsVTypes">
  <Template>Normal.dotm</Template>
  <Company>AAAS</Company>
  <Pages>20</Pages>
  <Words>1748</Words>
  <Characters>10569</Characters>
  <Lines>87</Lines>
  <Paragraphs>24</Paragraphs>
  <TotalTime>3</TotalTime>
  <ScaleCrop>false</ScaleCrop>
  <LinksUpToDate>false</LinksUpToDate>
  <CharactersWithSpaces>12237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2024-10-21T06:42:00Z</dcterms:created>
  <dc:creator>NINGMEI</dc:creator>
  <cp:lastModifiedBy>圭淼</cp:lastModifiedBy>
  <cp:lastPrinted>2018-01-11T19:53:00Z</cp:lastPrinted>
  <dcterms:modified xsi:type="dcterms:W3CDTF">2024-10-28T04:22:36Z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KSOProductBuildVer">
    <vt:lpwstr>2052-12.1.0.18608</vt:lpwstr>
  </property>
  <property fmtid="{D5CDD505-2E9C-101B-9397-08002B2CF9AE}" pid="4" name="ICV">
    <vt:lpwstr>5879BFEC6B0D4B30B78BEF289FDC483E_13</vt:lpwstr>
  </property>
</Properties>
</file>