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/>
          <w:color w:val="0070C0"/>
        </w:rPr>
      </w:pPr>
      <w:r w:rsidRPr="001241F8">
        <w:rPr>
          <w:rFonts w:ascii="Times New Roman" w:eastAsia="MS Mincho" w:hAnsi="Times New Roman"/>
          <w:noProof/>
          <w:color w:val="000000" w:themeColor="text1"/>
          <w:lang w:val="en-PH" w:eastAsia="en-PH"/>
        </w:rPr>
        <w:drawing>
          <wp:inline distT="0" distB="0" distL="0" distR="0" wp14:anchorId="17D56686" wp14:editId="70CAF1BA">
            <wp:extent cx="6120130" cy="7385050"/>
            <wp:effectExtent l="0" t="0" r="1270" b="6350"/>
            <wp:docPr id="1354047949" name="Grafik 5" descr="Ein Bild, das Text, Screenshot, Multimedia-Software, Grafiksoftwar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047949" name="Grafik 5" descr="Ein Bild, das Text, Screenshot, Multimedia-Software, Grafiksoftware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8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70C0"/>
        </w:rPr>
      </w:pPr>
      <w:r w:rsidRPr="001241F8">
        <w:rPr>
          <w:rFonts w:ascii="Times New Roman" w:hAnsi="Times New Roman"/>
          <w:b/>
          <w:color w:val="0070C0"/>
        </w:rPr>
        <w:t xml:space="preserve">Figure S1: Bulk transcriptional adaptations to the microbiome rejuvenation in ileum tissue. </w:t>
      </w:r>
      <w:r w:rsidRPr="001241F8">
        <w:rPr>
          <w:rFonts w:ascii="Times New Roman" w:hAnsi="Times New Roman"/>
          <w:bCs/>
          <w:color w:val="0070C0"/>
        </w:rPr>
        <w:t xml:space="preserve">Bulk RNA sequencing was performed on ileum tissue of 40- and 120-week-old </w:t>
      </w:r>
      <w:proofErr w:type="spellStart"/>
      <w:r w:rsidRPr="001241F8">
        <w:rPr>
          <w:rFonts w:ascii="Times New Roman" w:hAnsi="Times New Roman"/>
          <w:bCs/>
          <w:color w:val="0070C0"/>
        </w:rPr>
        <w:t>yMB</w:t>
      </w:r>
      <w:proofErr w:type="spellEnd"/>
      <w:r w:rsidRPr="001241F8">
        <w:rPr>
          <w:rFonts w:ascii="Times New Roman" w:hAnsi="Times New Roman"/>
          <w:bCs/>
          <w:color w:val="0070C0"/>
        </w:rPr>
        <w:t xml:space="preserve"> and </w:t>
      </w:r>
      <w:proofErr w:type="spellStart"/>
      <w:r w:rsidRPr="001241F8">
        <w:rPr>
          <w:rFonts w:ascii="Times New Roman" w:hAnsi="Times New Roman"/>
          <w:bCs/>
          <w:color w:val="0070C0"/>
        </w:rPr>
        <w:t>iMB</w:t>
      </w:r>
      <w:proofErr w:type="spellEnd"/>
      <w:r w:rsidRPr="001241F8">
        <w:rPr>
          <w:rFonts w:ascii="Times New Roman" w:hAnsi="Times New Roman"/>
          <w:bCs/>
          <w:color w:val="0070C0"/>
        </w:rPr>
        <w:t xml:space="preserve"> </w:t>
      </w:r>
      <w:r w:rsidRPr="001241F8">
        <w:rPr>
          <w:rFonts w:ascii="Times New Roman" w:hAnsi="Times New Roman"/>
          <w:bCs/>
          <w:color w:val="0070C0"/>
        </w:rPr>
        <w:lastRenderedPageBreak/>
        <w:t xml:space="preserve">mice. </w:t>
      </w:r>
      <w:r w:rsidRPr="001241F8">
        <w:rPr>
          <w:rFonts w:ascii="Times New Roman" w:hAnsi="Times New Roman"/>
          <w:b/>
          <w:color w:val="0070C0"/>
        </w:rPr>
        <w:t>A)</w:t>
      </w:r>
      <w:r w:rsidRPr="001241F8">
        <w:rPr>
          <w:rFonts w:ascii="Times New Roman" w:hAnsi="Times New Roman"/>
          <w:bCs/>
          <w:color w:val="0070C0"/>
        </w:rPr>
        <w:t xml:space="preserve"> Principal component plot. </w:t>
      </w:r>
      <w:r w:rsidRPr="001241F8">
        <w:rPr>
          <w:rFonts w:ascii="Times New Roman" w:hAnsi="Times New Roman"/>
          <w:b/>
          <w:color w:val="0070C0"/>
        </w:rPr>
        <w:t>B)</w:t>
      </w:r>
      <w:r w:rsidRPr="001241F8">
        <w:rPr>
          <w:rFonts w:ascii="Times New Roman" w:hAnsi="Times New Roman"/>
          <w:bCs/>
          <w:color w:val="0070C0"/>
        </w:rPr>
        <w:t xml:space="preserve"> Genes which expression changes contributed to the observed variance attributed to </w:t>
      </w:r>
      <w:proofErr w:type="spellStart"/>
      <w:r w:rsidRPr="001241F8">
        <w:rPr>
          <w:rFonts w:ascii="Times New Roman" w:hAnsi="Times New Roman"/>
          <w:bCs/>
          <w:color w:val="0070C0"/>
        </w:rPr>
        <w:t>timepoint</w:t>
      </w:r>
      <w:proofErr w:type="spellEnd"/>
      <w:r w:rsidRPr="001241F8">
        <w:rPr>
          <w:rFonts w:ascii="Times New Roman" w:hAnsi="Times New Roman"/>
          <w:bCs/>
          <w:color w:val="0070C0"/>
        </w:rPr>
        <w:t xml:space="preserve"> or treatment model. </w:t>
      </w:r>
      <w:r w:rsidRPr="001241F8">
        <w:rPr>
          <w:rFonts w:ascii="Times New Roman" w:hAnsi="Times New Roman"/>
          <w:b/>
          <w:color w:val="0070C0"/>
        </w:rPr>
        <w:t>C)</w:t>
      </w:r>
      <w:r w:rsidRPr="001241F8">
        <w:rPr>
          <w:rFonts w:ascii="Times New Roman" w:hAnsi="Times New Roman"/>
          <w:bCs/>
          <w:color w:val="0070C0"/>
        </w:rPr>
        <w:t xml:space="preserve"> Enriched functions among genes that were contributed to treatment explained variance.</w:t>
      </w:r>
      <w:r w:rsidRPr="001241F8">
        <w:rPr>
          <w:rFonts w:ascii="Times New Roman" w:hAnsi="Times New Roman"/>
          <w:bCs/>
          <w:color w:val="0070C0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/>
          <w:color w:val="0070C0"/>
        </w:rPr>
      </w:pPr>
      <w:r w:rsidRPr="001241F8">
        <w:rPr>
          <w:rFonts w:ascii="Times New Roman" w:hAnsi="Times New Roman"/>
          <w:b/>
          <w:noProof/>
          <w:color w:val="0070C0"/>
          <w:lang w:val="en-PH" w:eastAsia="en-PH"/>
        </w:rPr>
        <w:lastRenderedPageBreak/>
        <w:drawing>
          <wp:inline distT="0" distB="0" distL="0" distR="0" wp14:anchorId="34A85E9D" wp14:editId="3A427232">
            <wp:extent cx="3009900" cy="2755900"/>
            <wp:effectExtent l="0" t="0" r="0" b="0"/>
            <wp:docPr id="371956523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956523" name="Grafik 1" descr="Ein Bild, das Text, Screenshot, Zahl, Schrif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70C0"/>
        </w:rPr>
      </w:pPr>
      <w:r w:rsidRPr="001241F8">
        <w:rPr>
          <w:rFonts w:ascii="Times New Roman" w:hAnsi="Times New Roman"/>
          <w:b/>
          <w:color w:val="0070C0"/>
        </w:rPr>
        <w:t xml:space="preserve">Figure S2: Principal component analysis for bulk </w:t>
      </w:r>
      <w:proofErr w:type="spellStart"/>
      <w:r w:rsidRPr="001241F8">
        <w:rPr>
          <w:rFonts w:ascii="Times New Roman" w:hAnsi="Times New Roman"/>
          <w:b/>
          <w:color w:val="0070C0"/>
        </w:rPr>
        <w:t>RNAseq</w:t>
      </w:r>
      <w:proofErr w:type="spellEnd"/>
      <w:r w:rsidRPr="001241F8">
        <w:rPr>
          <w:rFonts w:ascii="Times New Roman" w:hAnsi="Times New Roman"/>
          <w:b/>
          <w:color w:val="0070C0"/>
        </w:rPr>
        <w:t xml:space="preserve"> data. </w:t>
      </w:r>
      <w:proofErr w:type="gramStart"/>
      <w:r w:rsidRPr="001241F8">
        <w:rPr>
          <w:rFonts w:ascii="Times New Roman" w:hAnsi="Times New Roman"/>
          <w:bCs/>
          <w:color w:val="0070C0"/>
        </w:rPr>
        <w:t>Canonical correlation of the relationship between the five first principal components and the particular groups of interest.</w:t>
      </w:r>
      <w:proofErr w:type="gramEnd"/>
      <w:r w:rsidRPr="001241F8">
        <w:rPr>
          <w:rFonts w:ascii="Times New Roman" w:hAnsi="Times New Roman"/>
          <w:bCs/>
          <w:color w:val="0070C0"/>
        </w:rPr>
        <w:t xml:space="preserve"> “Treatment” corresponds to either </w:t>
      </w:r>
      <w:proofErr w:type="spellStart"/>
      <w:r w:rsidRPr="001241F8">
        <w:rPr>
          <w:rFonts w:ascii="Times New Roman" w:hAnsi="Times New Roman"/>
          <w:bCs/>
          <w:color w:val="0070C0"/>
        </w:rPr>
        <w:t>iMB</w:t>
      </w:r>
      <w:proofErr w:type="spellEnd"/>
      <w:r w:rsidRPr="001241F8">
        <w:rPr>
          <w:rFonts w:ascii="Times New Roman" w:hAnsi="Times New Roman"/>
          <w:bCs/>
          <w:color w:val="0070C0"/>
        </w:rPr>
        <w:t xml:space="preserve"> or </w:t>
      </w:r>
      <w:proofErr w:type="spellStart"/>
      <w:r w:rsidRPr="001241F8">
        <w:rPr>
          <w:rFonts w:ascii="Times New Roman" w:hAnsi="Times New Roman"/>
          <w:bCs/>
          <w:color w:val="0070C0"/>
        </w:rPr>
        <w:t>yMB</w:t>
      </w:r>
      <w:proofErr w:type="spellEnd"/>
      <w:r w:rsidRPr="001241F8">
        <w:rPr>
          <w:rFonts w:ascii="Times New Roman" w:hAnsi="Times New Roman"/>
          <w:bCs/>
          <w:color w:val="0070C0"/>
        </w:rPr>
        <w:t>, “</w:t>
      </w:r>
      <w:proofErr w:type="spellStart"/>
      <w:r w:rsidRPr="001241F8">
        <w:rPr>
          <w:rFonts w:ascii="Times New Roman" w:hAnsi="Times New Roman"/>
          <w:bCs/>
          <w:color w:val="0070C0"/>
        </w:rPr>
        <w:t>Timepoint</w:t>
      </w:r>
      <w:proofErr w:type="spellEnd"/>
      <w:r w:rsidRPr="001241F8">
        <w:rPr>
          <w:rFonts w:ascii="Times New Roman" w:hAnsi="Times New Roman"/>
          <w:bCs/>
          <w:color w:val="0070C0"/>
        </w:rPr>
        <w:t>” corresponds to the time of microbial transfer, “Reads” corresponds to a measure of library depth per sample, and “Genes” corresponds to a measure of library depth for genes present in all samples.</w:t>
      </w:r>
      <w:r w:rsidRPr="001241F8">
        <w:rPr>
          <w:rFonts w:ascii="Times New Roman" w:hAnsi="Times New Roman"/>
          <w:bCs/>
          <w:color w:val="0070C0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color w:val="000000" w:themeColor="text1"/>
        </w:rPr>
      </w:pPr>
      <w:r w:rsidRPr="001241F8">
        <w:rPr>
          <w:rFonts w:ascii="Times New Roman" w:hAnsi="Times New Roman"/>
          <w:noProof/>
          <w:color w:val="000000" w:themeColor="text1"/>
          <w:lang w:val="en-PH" w:eastAsia="en-PH"/>
        </w:rPr>
        <w:lastRenderedPageBreak/>
        <w:drawing>
          <wp:inline distT="0" distB="0" distL="0" distR="0" wp14:anchorId="2223B4BE" wp14:editId="4ED9A8ED">
            <wp:extent cx="6120130" cy="7026105"/>
            <wp:effectExtent l="0" t="0" r="1270" b="0"/>
            <wp:docPr id="6" name="Grafik 3" descr="Ein Bild, das Text, Screenshot, Diagramm, Pla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3" descr="Ein Bild, das Text, Screenshot, Diagramm, Pla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r w:rsidRPr="001241F8">
        <w:rPr>
          <w:rFonts w:ascii="Times New Roman" w:hAnsi="Times New Roman"/>
          <w:b/>
          <w:color w:val="000000" w:themeColor="text1"/>
        </w:rPr>
        <w:t>Figure S</w:t>
      </w:r>
      <w:r w:rsidRPr="001241F8">
        <w:rPr>
          <w:rFonts w:ascii="Times New Roman" w:hAnsi="Times New Roman"/>
          <w:b/>
          <w:color w:val="0070C0"/>
        </w:rPr>
        <w:t>3</w:t>
      </w:r>
      <w:r w:rsidRPr="001241F8">
        <w:rPr>
          <w:rFonts w:ascii="Times New Roman" w:hAnsi="Times New Roman"/>
          <w:b/>
          <w:color w:val="000000" w:themeColor="text1"/>
        </w:rPr>
        <w:t xml:space="preserve">: Cell proportions as determined from single cell </w:t>
      </w:r>
      <w:proofErr w:type="spellStart"/>
      <w:r w:rsidRPr="001241F8">
        <w:rPr>
          <w:rFonts w:ascii="Times New Roman" w:hAnsi="Times New Roman"/>
          <w:b/>
          <w:color w:val="000000" w:themeColor="text1"/>
        </w:rPr>
        <w:t>RNAseq</w:t>
      </w:r>
      <w:proofErr w:type="spellEnd"/>
      <w:r w:rsidRPr="001241F8">
        <w:rPr>
          <w:rFonts w:ascii="Times New Roman" w:hAnsi="Times New Roman"/>
          <w:b/>
          <w:color w:val="000000" w:themeColor="text1"/>
        </w:rPr>
        <w:t xml:space="preserve"> data. A-B) </w:t>
      </w:r>
      <w:r w:rsidRPr="001241F8">
        <w:rPr>
          <w:rFonts w:ascii="Times New Roman" w:hAnsi="Times New Roman"/>
          <w:bCs/>
          <w:color w:val="000000" w:themeColor="text1"/>
        </w:rPr>
        <w:t xml:space="preserve">Box plots of cell type proportions in epithelial cells </w:t>
      </w:r>
      <w:r w:rsidRPr="001241F8">
        <w:rPr>
          <w:rFonts w:ascii="Times New Roman" w:hAnsi="Times New Roman"/>
          <w:b/>
          <w:color w:val="000000" w:themeColor="text1"/>
        </w:rPr>
        <w:t>(A)</w:t>
      </w:r>
      <w:r w:rsidRPr="001241F8">
        <w:rPr>
          <w:rFonts w:ascii="Times New Roman" w:hAnsi="Times New Roman"/>
          <w:bCs/>
          <w:color w:val="000000" w:themeColor="text1"/>
        </w:rPr>
        <w:t xml:space="preserve"> and immune cells </w:t>
      </w:r>
      <w:r w:rsidRPr="001241F8">
        <w:rPr>
          <w:rFonts w:ascii="Times New Roman" w:hAnsi="Times New Roman"/>
          <w:b/>
          <w:color w:val="000000" w:themeColor="text1"/>
        </w:rPr>
        <w:t>(B)</w:t>
      </w:r>
      <w:r w:rsidRPr="001241F8">
        <w:rPr>
          <w:rFonts w:ascii="Times New Roman" w:hAnsi="Times New Roman"/>
          <w:bCs/>
          <w:color w:val="000000" w:themeColor="text1"/>
        </w:rPr>
        <w:t xml:space="preserve"> separated by treatment. </w:t>
      </w:r>
      <w:proofErr w:type="spellStart"/>
      <w:proofErr w:type="gramStart"/>
      <w:r w:rsidRPr="001241F8">
        <w:rPr>
          <w:rFonts w:ascii="Times New Roman" w:hAnsi="Times New Roman"/>
          <w:bCs/>
          <w:color w:val="000000" w:themeColor="text1"/>
        </w:rPr>
        <w:t>iMB</w:t>
      </w:r>
      <w:proofErr w:type="spellEnd"/>
      <w:proofErr w:type="gramEnd"/>
      <w:r w:rsidRPr="001241F8">
        <w:rPr>
          <w:rFonts w:ascii="Times New Roman" w:hAnsi="Times New Roman"/>
          <w:bCs/>
          <w:color w:val="000000" w:themeColor="text1"/>
        </w:rPr>
        <w:t xml:space="preserve"> cell proportions are colored in blue and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yMB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in red. Cell proportions were calculated for each </w:t>
      </w:r>
      <w:r w:rsidRPr="001241F8">
        <w:rPr>
          <w:rFonts w:ascii="Times New Roman" w:hAnsi="Times New Roman"/>
          <w:bCs/>
          <w:color w:val="000000" w:themeColor="text1"/>
        </w:rPr>
        <w:lastRenderedPageBreak/>
        <w:t>individual sample. Nonparametric t test statistics were used to compare the two treatments with corresponding p-value for each comparison.</w:t>
      </w:r>
      <w:r w:rsidRPr="001241F8">
        <w:rPr>
          <w:rFonts w:ascii="Times New Roman" w:hAnsi="Times New Roman"/>
          <w:color w:val="000000" w:themeColor="text1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color w:val="000000" w:themeColor="text1"/>
        </w:rPr>
      </w:pPr>
      <w:r w:rsidRPr="001241F8">
        <w:rPr>
          <w:rFonts w:ascii="Times New Roman" w:hAnsi="Times New Roman"/>
          <w:noProof/>
          <w:color w:val="000000" w:themeColor="text1"/>
          <w:lang w:val="en-PH" w:eastAsia="en-PH"/>
        </w:rPr>
        <w:lastRenderedPageBreak/>
        <w:drawing>
          <wp:inline distT="0" distB="0" distL="0" distR="0" wp14:anchorId="0F326604" wp14:editId="1B8059BC">
            <wp:extent cx="6120130" cy="6353810"/>
            <wp:effectExtent l="0" t="0" r="1270" b="0"/>
            <wp:docPr id="1388021572" name="Grafik 6" descr="Ein Bild, das Screenshot, Farbigkeit, Quadra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021572" name="Grafik 6" descr="Ein Bild, das Screenshot, Farbigkeit, Quadra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r w:rsidRPr="001241F8">
        <w:rPr>
          <w:rFonts w:ascii="Times New Roman" w:hAnsi="Times New Roman"/>
          <w:b/>
          <w:color w:val="000000" w:themeColor="text1"/>
        </w:rPr>
        <w:t>Figure S</w:t>
      </w:r>
      <w:r w:rsidRPr="001241F8">
        <w:rPr>
          <w:rFonts w:ascii="Times New Roman" w:hAnsi="Times New Roman"/>
          <w:b/>
          <w:color w:val="0070C0"/>
        </w:rPr>
        <w:t>4</w:t>
      </w:r>
      <w:r w:rsidRPr="001241F8">
        <w:rPr>
          <w:rFonts w:ascii="Times New Roman" w:hAnsi="Times New Roman"/>
          <w:b/>
          <w:color w:val="000000" w:themeColor="text1"/>
        </w:rPr>
        <w:t xml:space="preserve">: Antibiotic resistance gene counts do not differ among </w:t>
      </w:r>
      <w:proofErr w:type="spellStart"/>
      <w:r w:rsidRPr="001241F8">
        <w:rPr>
          <w:rFonts w:ascii="Times New Roman" w:hAnsi="Times New Roman"/>
          <w:b/>
          <w:color w:val="000000" w:themeColor="text1"/>
        </w:rPr>
        <w:t>yMB</w:t>
      </w:r>
      <w:proofErr w:type="spellEnd"/>
      <w:r w:rsidRPr="001241F8">
        <w:rPr>
          <w:rFonts w:ascii="Times New Roman" w:hAnsi="Times New Roman"/>
          <w:b/>
          <w:color w:val="000000" w:themeColor="text1"/>
        </w:rPr>
        <w:t xml:space="preserve"> and </w:t>
      </w:r>
      <w:proofErr w:type="spellStart"/>
      <w:r w:rsidRPr="001241F8">
        <w:rPr>
          <w:rFonts w:ascii="Times New Roman" w:hAnsi="Times New Roman"/>
          <w:b/>
          <w:color w:val="000000" w:themeColor="text1"/>
        </w:rPr>
        <w:t>iMB</w:t>
      </w:r>
      <w:proofErr w:type="spellEnd"/>
      <w:r w:rsidRPr="001241F8">
        <w:rPr>
          <w:rFonts w:ascii="Times New Roman" w:hAnsi="Times New Roman"/>
          <w:b/>
          <w:color w:val="000000" w:themeColor="text1"/>
        </w:rPr>
        <w:t xml:space="preserve">. </w:t>
      </w:r>
      <w:r w:rsidRPr="001241F8">
        <w:rPr>
          <w:rFonts w:ascii="Times New Roman" w:hAnsi="Times New Roman"/>
          <w:bCs/>
          <w:color w:val="000000" w:themeColor="text1"/>
        </w:rPr>
        <w:t xml:space="preserve">Counts of </w:t>
      </w:r>
      <w:r w:rsidRPr="001241F8">
        <w:rPr>
          <w:rFonts w:ascii="Times New Roman" w:hAnsi="Times New Roman"/>
          <w:b/>
          <w:color w:val="0070C0"/>
        </w:rPr>
        <w:t>(A)</w:t>
      </w:r>
      <w:r w:rsidRPr="001241F8">
        <w:rPr>
          <w:rFonts w:ascii="Times New Roman" w:hAnsi="Times New Roman"/>
          <w:bCs/>
          <w:color w:val="0070C0"/>
        </w:rPr>
        <w:t xml:space="preserve"> total</w:t>
      </w:r>
      <w:r w:rsidRPr="001241F8">
        <w:rPr>
          <w:rFonts w:ascii="Times New Roman" w:hAnsi="Times New Roman"/>
          <w:bCs/>
          <w:color w:val="000000" w:themeColor="text1"/>
        </w:rPr>
        <w:t xml:space="preserve"> and </w:t>
      </w:r>
      <w:r w:rsidRPr="001241F8">
        <w:rPr>
          <w:rFonts w:ascii="Times New Roman" w:hAnsi="Times New Roman"/>
          <w:b/>
          <w:color w:val="0070C0"/>
        </w:rPr>
        <w:t>(B)</w:t>
      </w:r>
      <w:r w:rsidRPr="001241F8">
        <w:rPr>
          <w:rFonts w:ascii="Times New Roman" w:hAnsi="Times New Roman"/>
          <w:bCs/>
          <w:color w:val="0070C0"/>
        </w:rPr>
        <w:t xml:space="preserve"> individual</w:t>
      </w:r>
      <w:r w:rsidRPr="001241F8">
        <w:rPr>
          <w:rFonts w:ascii="Times New Roman" w:hAnsi="Times New Roman"/>
          <w:bCs/>
          <w:color w:val="000000" w:themeColor="text1"/>
        </w:rPr>
        <w:t xml:space="preserve"> antibiotic resistance genes were determined in the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metagenomic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data from 72w and 120w samples of the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yMB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and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iMB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treatment groups.</w:t>
      </w:r>
      <w:r w:rsidRPr="001241F8">
        <w:rPr>
          <w:rFonts w:ascii="Times New Roman" w:hAnsi="Times New Roman"/>
          <w:color w:val="000000" w:themeColor="text1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/>
          <w:color w:val="0070C0"/>
        </w:rPr>
      </w:pPr>
      <w:r w:rsidRPr="001241F8">
        <w:rPr>
          <w:rFonts w:ascii="Times New Roman" w:hAnsi="Times New Roman"/>
          <w:b/>
          <w:color w:val="0070C0"/>
        </w:rPr>
        <w:lastRenderedPageBreak/>
        <w:t xml:space="preserve">Table S1: Enriched KEGG pathways in fecal </w:t>
      </w:r>
      <w:proofErr w:type="spellStart"/>
      <w:r w:rsidRPr="001241F8">
        <w:rPr>
          <w:rFonts w:ascii="Times New Roman" w:hAnsi="Times New Roman"/>
          <w:b/>
          <w:color w:val="0070C0"/>
        </w:rPr>
        <w:t>yMB</w:t>
      </w:r>
      <w:proofErr w:type="spellEnd"/>
      <w:r w:rsidRPr="001241F8">
        <w:rPr>
          <w:rFonts w:ascii="Times New Roman" w:hAnsi="Times New Roman"/>
          <w:b/>
          <w:color w:val="0070C0"/>
        </w:rPr>
        <w:t xml:space="preserve"> and </w:t>
      </w:r>
      <w:proofErr w:type="spellStart"/>
      <w:r w:rsidRPr="001241F8">
        <w:rPr>
          <w:rFonts w:ascii="Times New Roman" w:hAnsi="Times New Roman"/>
          <w:b/>
          <w:color w:val="0070C0"/>
        </w:rPr>
        <w:t>iMB</w:t>
      </w:r>
      <w:proofErr w:type="spellEnd"/>
      <w:r w:rsidRPr="001241F8">
        <w:rPr>
          <w:rFonts w:ascii="Times New Roman" w:hAnsi="Times New Roman"/>
          <w:b/>
          <w:color w:val="0070C0"/>
        </w:rPr>
        <w:t xml:space="preserve"> metagenomes.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984"/>
        <w:gridCol w:w="1217"/>
        <w:gridCol w:w="986"/>
        <w:gridCol w:w="1415"/>
      </w:tblGrid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Pathway description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ID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GeneRatio</w:t>
            </w:r>
            <w:proofErr w:type="spellEnd"/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BgRatio</w:t>
            </w:r>
            <w:proofErr w:type="spellEnd"/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p value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Antifolate</w:t>
            </w:r>
            <w:proofErr w:type="spellEnd"/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resistance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ko01523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3/189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4/865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0.03453911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Arginine biosynthesis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ko00220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7/189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16/865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0.0402238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Atrazine degradation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ko00791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3/189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3/865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0.01030198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Biosynthesis of amino acids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ko01230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24/189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60/865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0.00075241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Biosynthesis of cofactors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ko01240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38/189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99/865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5.05E-05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Biosynthesis of secondary metabolites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ko01110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57/189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203/865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0.01015892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DNA replication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ko03030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4/189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6/865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0.0229027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Homologous recombination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ko03440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10/189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14/865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8.84E-05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Mismatch repair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ko03430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7/189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10/865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0.00141367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Nicotinate and nicotinamide metabolism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ko00760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8/189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19/865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0.03647414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Nucleotide excision repair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ko03420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4/189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5/865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0.00920413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One carbon pool by folate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ko00670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8/189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12/865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0.00099776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Oxidative phosphorylation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ko00190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11/189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27/865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0.01931251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Peptidoglycan biosynthesis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ko00550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5/189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10/865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0.04563347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Phenylalanine, tyrosine and tryptophan biosynthesis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ko00400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6/189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11/865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0.01737731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Purine metabolism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ko00230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16/189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48/865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0.04015466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Pyrimidine metabolism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ko00240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12/189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32/865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0.02964892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Terpenoid</w:t>
            </w:r>
            <w:proofErr w:type="spellEnd"/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backbone biosynthesis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ko00900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6/189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10/865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0.00962898</w:t>
            </w:r>
          </w:p>
        </w:tc>
      </w:tr>
      <w:tr w:rsidR="00361E8B" w:rsidRPr="001241F8" w:rsidTr="00637944">
        <w:tc>
          <w:tcPr>
            <w:tcW w:w="4942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Thiamine metabolism</w:t>
            </w:r>
          </w:p>
        </w:tc>
        <w:tc>
          <w:tcPr>
            <w:tcW w:w="984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ko00730</w:t>
            </w:r>
          </w:p>
        </w:tc>
        <w:tc>
          <w:tcPr>
            <w:tcW w:w="1217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8/189</w:t>
            </w:r>
          </w:p>
        </w:tc>
        <w:tc>
          <w:tcPr>
            <w:tcW w:w="986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13/865</w:t>
            </w:r>
          </w:p>
        </w:tc>
        <w:tc>
          <w:tcPr>
            <w:tcW w:w="1415" w:type="dxa"/>
            <w:vAlign w:val="bottom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color w:val="0070C0"/>
                <w:sz w:val="20"/>
                <w:szCs w:val="20"/>
              </w:rPr>
              <w:t>0.00211115</w:t>
            </w:r>
          </w:p>
        </w:tc>
      </w:tr>
    </w:tbl>
    <w:p w:rsidR="00361E8B" w:rsidRPr="001241F8" w:rsidRDefault="00361E8B" w:rsidP="00361E8B">
      <w:pPr>
        <w:rPr>
          <w:rFonts w:ascii="Times New Roman" w:hAnsi="Times New Roman"/>
          <w:b/>
          <w:color w:val="000000" w:themeColor="text1"/>
        </w:rPr>
      </w:pPr>
      <w:r w:rsidRPr="001241F8">
        <w:rPr>
          <w:rFonts w:ascii="Times New Roman" w:hAnsi="Times New Roman"/>
          <w:b/>
          <w:color w:val="000000" w:themeColor="text1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r w:rsidRPr="001241F8">
        <w:rPr>
          <w:rFonts w:ascii="Times New Roman" w:hAnsi="Times New Roman"/>
          <w:b/>
          <w:color w:val="000000" w:themeColor="text1"/>
        </w:rPr>
        <w:lastRenderedPageBreak/>
        <w:t>Table S</w:t>
      </w:r>
      <w:r w:rsidRPr="001241F8">
        <w:rPr>
          <w:rFonts w:ascii="Times New Roman" w:hAnsi="Times New Roman"/>
          <w:b/>
          <w:color w:val="0070C0"/>
        </w:rPr>
        <w:t>2</w:t>
      </w:r>
      <w:r w:rsidRPr="001241F8">
        <w:rPr>
          <w:rFonts w:ascii="Times New Roman" w:hAnsi="Times New Roman"/>
          <w:b/>
          <w:color w:val="000000" w:themeColor="text1"/>
        </w:rPr>
        <w:t xml:space="preserve">: Enriched gene functions in bulk and single cell RNA sequencing data. </w:t>
      </w:r>
      <w:r w:rsidRPr="001241F8">
        <w:rPr>
          <w:rFonts w:ascii="Times New Roman" w:hAnsi="Times New Roman"/>
          <w:bCs/>
          <w:color w:val="000000" w:themeColor="text1"/>
        </w:rPr>
        <w:t>The three worksheets contain (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i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) the legend with information on the terms and data and the enriched gene functions in (ii) bulk and (iii) single cell RNA sequencing data.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Celltype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= Cell type annotated for the single cell analysis. Signal = Gene down- or upregulated when compared between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yMB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and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iMB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interventition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. ID = Gene ontology identification code. Description = Gene ontology description. We focused on Biological process.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GeneRatio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= Ratio of identified genes divided by all genes of the respective GO category.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BgRatio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= Ratio of the size of the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geneset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compared to all unique genes in entire collection. </w:t>
      </w:r>
      <w:proofErr w:type="spellStart"/>
      <w:proofErr w:type="gramStart"/>
      <w:r w:rsidRPr="001241F8">
        <w:rPr>
          <w:rFonts w:ascii="Times New Roman" w:hAnsi="Times New Roman"/>
          <w:bCs/>
          <w:color w:val="000000" w:themeColor="text1"/>
        </w:rPr>
        <w:t>pvalue</w:t>
      </w:r>
      <w:proofErr w:type="spellEnd"/>
      <w:proofErr w:type="gramEnd"/>
      <w:r w:rsidRPr="001241F8">
        <w:rPr>
          <w:rFonts w:ascii="Times New Roman" w:hAnsi="Times New Roman"/>
          <w:bCs/>
          <w:color w:val="000000" w:themeColor="text1"/>
        </w:rPr>
        <w:t xml:space="preserve"> = Significance value. </w:t>
      </w:r>
      <w:proofErr w:type="spellStart"/>
      <w:proofErr w:type="gramStart"/>
      <w:r w:rsidRPr="001241F8">
        <w:rPr>
          <w:rFonts w:ascii="Times New Roman" w:hAnsi="Times New Roman"/>
          <w:bCs/>
          <w:color w:val="000000" w:themeColor="text1"/>
        </w:rPr>
        <w:t>qvalue</w:t>
      </w:r>
      <w:proofErr w:type="spellEnd"/>
      <w:proofErr w:type="gramEnd"/>
      <w:r w:rsidRPr="001241F8">
        <w:rPr>
          <w:rFonts w:ascii="Times New Roman" w:hAnsi="Times New Roman"/>
          <w:bCs/>
          <w:color w:val="000000" w:themeColor="text1"/>
        </w:rPr>
        <w:t xml:space="preserve"> = FDR-adjusted p value. </w:t>
      </w:r>
      <w:proofErr w:type="spellStart"/>
      <w:proofErr w:type="gramStart"/>
      <w:r w:rsidRPr="001241F8">
        <w:rPr>
          <w:rFonts w:ascii="Times New Roman" w:hAnsi="Times New Roman"/>
          <w:bCs/>
          <w:color w:val="000000" w:themeColor="text1"/>
        </w:rPr>
        <w:t>geneID</w:t>
      </w:r>
      <w:proofErr w:type="spellEnd"/>
      <w:proofErr w:type="gramEnd"/>
      <w:r w:rsidRPr="001241F8">
        <w:rPr>
          <w:rFonts w:ascii="Times New Roman" w:hAnsi="Times New Roman"/>
          <w:bCs/>
          <w:color w:val="000000" w:themeColor="text1"/>
        </w:rPr>
        <w:t xml:space="preserve"> = </w:t>
      </w:r>
      <w:proofErr w:type="spellStart"/>
      <w:r w:rsidRPr="001241F8">
        <w:rPr>
          <w:rFonts w:ascii="Times New Roman" w:hAnsi="Times New Roman"/>
          <w:bCs/>
          <w:color w:val="000000" w:themeColor="text1"/>
        </w:rPr>
        <w:t>GeneIDs</w:t>
      </w:r>
      <w:proofErr w:type="spellEnd"/>
      <w:r w:rsidRPr="001241F8">
        <w:rPr>
          <w:rFonts w:ascii="Times New Roman" w:hAnsi="Times New Roman"/>
          <w:bCs/>
          <w:color w:val="000000" w:themeColor="text1"/>
        </w:rPr>
        <w:t xml:space="preserve"> that contributed to the GO term. Count = Number of genes that contributed to the GO term. SYMBOL = Gene SYMBOL that contributed to the GO term. </w:t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r w:rsidRPr="001241F8">
        <w:rPr>
          <w:rFonts w:ascii="Times New Roman" w:hAnsi="Times New Roman"/>
          <w:bCs/>
          <w:color w:val="000000" w:themeColor="text1"/>
        </w:rPr>
        <w:t xml:space="preserve">The table can be accessed via this permanent link: </w:t>
      </w:r>
      <w:hyperlink r:id="rId9" w:history="1">
        <w:r w:rsidRPr="001241F8">
          <w:rPr>
            <w:rStyle w:val="Hyperlink"/>
            <w:rFonts w:ascii="Times New Roman" w:hAnsi="Times New Roman"/>
            <w:bCs/>
          </w:rPr>
          <w:t>https://tinyurl.com/3az899ds</w:t>
        </w:r>
      </w:hyperlink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r w:rsidRPr="001241F8">
        <w:rPr>
          <w:rFonts w:ascii="Times New Roman" w:hAnsi="Times New Roman"/>
          <w:color w:val="000000" w:themeColor="text1"/>
        </w:rPr>
        <w:br w:type="page"/>
      </w:r>
    </w:p>
    <w:p w:rsidR="00361E8B" w:rsidRPr="001241F8" w:rsidRDefault="00361E8B" w:rsidP="00361E8B">
      <w:pPr>
        <w:spacing w:after="120" w:line="360" w:lineRule="auto"/>
        <w:rPr>
          <w:rFonts w:ascii="Times New Roman" w:hAnsi="Times New Roman"/>
          <w:bCs/>
          <w:color w:val="000000" w:themeColor="text1"/>
        </w:rPr>
      </w:pPr>
      <w:proofErr w:type="gramStart"/>
      <w:r w:rsidRPr="001241F8">
        <w:rPr>
          <w:rFonts w:ascii="Times New Roman" w:hAnsi="Times New Roman"/>
          <w:b/>
          <w:color w:val="000000" w:themeColor="text1"/>
        </w:rPr>
        <w:lastRenderedPageBreak/>
        <w:t>Table S</w:t>
      </w:r>
      <w:r w:rsidRPr="001241F8">
        <w:rPr>
          <w:rFonts w:ascii="Times New Roman" w:hAnsi="Times New Roman"/>
          <w:b/>
          <w:color w:val="0070C0"/>
        </w:rPr>
        <w:t>3</w:t>
      </w:r>
      <w:r w:rsidRPr="001241F8">
        <w:rPr>
          <w:rFonts w:ascii="Times New Roman" w:hAnsi="Times New Roman"/>
          <w:b/>
          <w:color w:val="000000" w:themeColor="text1"/>
        </w:rPr>
        <w:t>: Antibodies used for FACS analyses of isolated intestinal cells.</w:t>
      </w:r>
      <w:proofErr w:type="gramEnd"/>
    </w:p>
    <w:tbl>
      <w:tblPr>
        <w:tblStyle w:val="TableGrid"/>
        <w:tblW w:w="9520" w:type="dxa"/>
        <w:tblLayout w:type="fixed"/>
        <w:tblLook w:val="04A0" w:firstRow="1" w:lastRow="0" w:firstColumn="1" w:lastColumn="0" w:noHBand="0" w:noVBand="1"/>
      </w:tblPr>
      <w:tblGrid>
        <w:gridCol w:w="989"/>
        <w:gridCol w:w="938"/>
        <w:gridCol w:w="1612"/>
        <w:gridCol w:w="994"/>
        <w:gridCol w:w="1699"/>
        <w:gridCol w:w="1561"/>
        <w:gridCol w:w="1727"/>
      </w:tblGrid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Type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Target protein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Fluorochrome</w:t>
            </w:r>
            <w:proofErr w:type="spellEnd"/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Dilution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Isotype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Company</w:t>
            </w:r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Catalogue number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CD11b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mono 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12-0112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CD11b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mono rat IgG2bk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17-0112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CD11b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mono rat IgG2bk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17-4031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CD11c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1:50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Armenian Hamster IgG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17-0114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CD11c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1:50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Armenian Hamster IgG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17-4888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CD19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1:40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IgG2a kappa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17-0193-80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CD19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1:40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IgG2a kappa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17-4321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CD25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1:4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mono rat, IgG2b 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Immunotools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22-150253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CD25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1:4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IgG2b, 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Immunotools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22225033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CD4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1:6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Immunotools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22150043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CD4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1:6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mono 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Immunotools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22150044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CD4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1:6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Immunotools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22225034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CD8a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eFluor660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1:40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IgG2a kappa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50-4321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CD95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1:6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Armenian Hamster IgG2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BD</w:t>
            </w:r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554258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CD95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1:6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Hamster IgG2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BD</w:t>
            </w:r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553965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EpCam</w:t>
            </w:r>
            <w:proofErr w:type="spellEnd"/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IgG2aK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118214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EpCam</w:t>
            </w:r>
            <w:proofErr w:type="spellEnd"/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IgG2aK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400512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Ly6G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rat, IgG2b kappa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11-5931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Ly6G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rat-IgG2b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11-4031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MHC I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mouse IgG2a, 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11-4724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MHCI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FITC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mouse IgG2a, k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11-5999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Target antibody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MHCII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12-5322</w:t>
            </w:r>
          </w:p>
        </w:tc>
      </w:tr>
      <w:tr w:rsidR="00361E8B" w:rsidRPr="001241F8" w:rsidTr="00637944">
        <w:tc>
          <w:tcPr>
            <w:tcW w:w="98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Isotype control</w:t>
            </w:r>
          </w:p>
        </w:tc>
        <w:tc>
          <w:tcPr>
            <w:tcW w:w="938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MHCII</w:t>
            </w:r>
          </w:p>
        </w:tc>
        <w:tc>
          <w:tcPr>
            <w:tcW w:w="1612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4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1699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rat IgG2b</w:t>
            </w:r>
          </w:p>
        </w:tc>
        <w:tc>
          <w:tcPr>
            <w:tcW w:w="1561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727" w:type="dxa"/>
            <w:vAlign w:val="center"/>
          </w:tcPr>
          <w:p w:rsidR="00361E8B" w:rsidRPr="001241F8" w:rsidRDefault="00361E8B" w:rsidP="00637944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241F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12-4031</w:t>
            </w:r>
          </w:p>
        </w:tc>
      </w:tr>
    </w:tbl>
    <w:p w:rsidR="00E40A0E" w:rsidRDefault="00E40A0E">
      <w:bookmarkStart w:id="0" w:name="_GoBack"/>
      <w:bookmarkEnd w:id="0"/>
    </w:p>
    <w:sectPr w:rsidR="00E40A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E8B"/>
    <w:rsid w:val="00024C34"/>
    <w:rsid w:val="0004695A"/>
    <w:rsid w:val="0008284D"/>
    <w:rsid w:val="0008462A"/>
    <w:rsid w:val="00096FA1"/>
    <w:rsid w:val="000A13D4"/>
    <w:rsid w:val="000C322B"/>
    <w:rsid w:val="000F58E0"/>
    <w:rsid w:val="000F64A5"/>
    <w:rsid w:val="001218B1"/>
    <w:rsid w:val="00157E09"/>
    <w:rsid w:val="001D4CD7"/>
    <w:rsid w:val="00321B4A"/>
    <w:rsid w:val="00361E8B"/>
    <w:rsid w:val="00383EBE"/>
    <w:rsid w:val="003C73FC"/>
    <w:rsid w:val="003E083C"/>
    <w:rsid w:val="00414364"/>
    <w:rsid w:val="00417809"/>
    <w:rsid w:val="00430103"/>
    <w:rsid w:val="00457510"/>
    <w:rsid w:val="00495E6F"/>
    <w:rsid w:val="00497230"/>
    <w:rsid w:val="004E7627"/>
    <w:rsid w:val="004F30AC"/>
    <w:rsid w:val="004F46B1"/>
    <w:rsid w:val="00506A8E"/>
    <w:rsid w:val="00522972"/>
    <w:rsid w:val="00540177"/>
    <w:rsid w:val="005B3A1D"/>
    <w:rsid w:val="005E06FB"/>
    <w:rsid w:val="005F6E5A"/>
    <w:rsid w:val="006051C0"/>
    <w:rsid w:val="00627E0D"/>
    <w:rsid w:val="00663930"/>
    <w:rsid w:val="00665474"/>
    <w:rsid w:val="006771AF"/>
    <w:rsid w:val="006805F3"/>
    <w:rsid w:val="006D1009"/>
    <w:rsid w:val="00701DE3"/>
    <w:rsid w:val="00712D6C"/>
    <w:rsid w:val="00762D74"/>
    <w:rsid w:val="00775718"/>
    <w:rsid w:val="00781D0A"/>
    <w:rsid w:val="00790FB9"/>
    <w:rsid w:val="007C1A46"/>
    <w:rsid w:val="007D4054"/>
    <w:rsid w:val="008117D6"/>
    <w:rsid w:val="00880B31"/>
    <w:rsid w:val="008B619E"/>
    <w:rsid w:val="008E6150"/>
    <w:rsid w:val="00906A23"/>
    <w:rsid w:val="00980A82"/>
    <w:rsid w:val="00995151"/>
    <w:rsid w:val="009D5706"/>
    <w:rsid w:val="009F002E"/>
    <w:rsid w:val="009F6DD2"/>
    <w:rsid w:val="00A5104D"/>
    <w:rsid w:val="00A52455"/>
    <w:rsid w:val="00A60F07"/>
    <w:rsid w:val="00AB189D"/>
    <w:rsid w:val="00AC1C12"/>
    <w:rsid w:val="00AC2287"/>
    <w:rsid w:val="00AD268A"/>
    <w:rsid w:val="00AD5B50"/>
    <w:rsid w:val="00AD78C4"/>
    <w:rsid w:val="00B50A84"/>
    <w:rsid w:val="00B81024"/>
    <w:rsid w:val="00B818A5"/>
    <w:rsid w:val="00BC32E2"/>
    <w:rsid w:val="00BC7E5E"/>
    <w:rsid w:val="00C35D03"/>
    <w:rsid w:val="00C40A60"/>
    <w:rsid w:val="00C451F4"/>
    <w:rsid w:val="00C86DDC"/>
    <w:rsid w:val="00CA3E01"/>
    <w:rsid w:val="00CC5587"/>
    <w:rsid w:val="00CC7472"/>
    <w:rsid w:val="00CD68D4"/>
    <w:rsid w:val="00CF19C4"/>
    <w:rsid w:val="00D222E0"/>
    <w:rsid w:val="00D25A3A"/>
    <w:rsid w:val="00D26DC7"/>
    <w:rsid w:val="00D60964"/>
    <w:rsid w:val="00D6676D"/>
    <w:rsid w:val="00D928E1"/>
    <w:rsid w:val="00E2640A"/>
    <w:rsid w:val="00E34550"/>
    <w:rsid w:val="00E40A0E"/>
    <w:rsid w:val="00E454E6"/>
    <w:rsid w:val="00EE1EEC"/>
    <w:rsid w:val="00EF64F5"/>
    <w:rsid w:val="00EF68B3"/>
    <w:rsid w:val="00F2011C"/>
    <w:rsid w:val="00F22178"/>
    <w:rsid w:val="00F4160A"/>
    <w:rsid w:val="00F84F47"/>
    <w:rsid w:val="00FA56AF"/>
    <w:rsid w:val="00FE269C"/>
    <w:rsid w:val="00FF1CE1"/>
    <w:rsid w:val="00F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E8B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1E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61E8B"/>
    <w:pPr>
      <w:suppressAutoHyphens/>
      <w:spacing w:after="0" w:line="240" w:lineRule="auto"/>
    </w:pPr>
    <w:rPr>
      <w:rFonts w:ascii="Calibri" w:eastAsia="Calibri" w:hAnsi="Calibri" w:cs="Calibri"/>
      <w:sz w:val="20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E8B"/>
    <w:rPr>
      <w:rFonts w:ascii="Tahoma" w:eastAsia="Times New Roman" w:hAnsi="Tahoma" w:cs="Tahoma"/>
      <w:sz w:val="16"/>
      <w:szCs w:val="16"/>
      <w:lang w:val="en-US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E8B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1E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61E8B"/>
    <w:pPr>
      <w:suppressAutoHyphens/>
      <w:spacing w:after="0" w:line="240" w:lineRule="auto"/>
    </w:pPr>
    <w:rPr>
      <w:rFonts w:ascii="Calibri" w:eastAsia="Calibri" w:hAnsi="Calibri" w:cs="Calibri"/>
      <w:sz w:val="20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E8B"/>
    <w:rPr>
      <w:rFonts w:ascii="Tahoma" w:eastAsia="Times New Roman" w:hAnsi="Tahoma" w:cs="Tahoma"/>
      <w:sz w:val="16"/>
      <w:szCs w:val="16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inyurl.com/3az899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Tampepe Amado</dc:creator>
  <cp:lastModifiedBy>Ledirose Tampepe Amado</cp:lastModifiedBy>
  <cp:revision>1</cp:revision>
  <dcterms:created xsi:type="dcterms:W3CDTF">2025-03-16T23:46:00Z</dcterms:created>
  <dcterms:modified xsi:type="dcterms:W3CDTF">2025-03-16T23:46:00Z</dcterms:modified>
</cp:coreProperties>
</file>