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jc w:val="both"/>
        <w:rPr>
          <w:b/>
          <w:bCs/>
        </w:rPr>
      </w:pPr>
      <w:r>
        <w:rPr>
          <w:b/>
          <w:bCs/>
        </w:rPr>
        <w:t>Immunological Signatures in Periodontitis: Interpretive Guide for Figures 5-7</w:t>
      </w:r>
    </w:p>
    <w:p>
      <w:pPr>
        <w:pStyle w:val="Normal"/>
        <w:spacing w:before="240" w:after="240"/>
        <w:jc w:val="both"/>
        <w:rPr/>
      </w:pPr>
      <w:r>
        <w:rPr/>
        <w:t>This supplemental guide highlights key immune-related pathways from our comprehensive enrichment analysis in Figures 5-7, focusing on immunological signatures that connect microbial changes with host responses in periodontitis.</w:t>
      </w:r>
    </w:p>
    <w:p>
      <w:pPr>
        <w:pStyle w:val="Normal"/>
        <w:spacing w:before="240" w:after="240"/>
        <w:jc w:val="both"/>
        <w:rPr/>
      </w:pPr>
      <w:r>
        <w:rPr>
          <w:b/>
          <w:bCs/>
        </w:rPr>
        <w:t xml:space="preserve">Summary </w:t>
      </w:r>
      <w:r>
        <w:rPr>
          <w:b/>
          <w:bCs/>
        </w:rPr>
        <w:t xml:space="preserve">Microbiome-Host Interactions in Figure </w:t>
      </w:r>
      <w:r>
        <w:rPr>
          <w:b/>
          <w:bCs/>
        </w:rPr>
        <w:t>6</w:t>
      </w:r>
    </w:p>
    <w:p>
      <w:pPr>
        <w:pStyle w:val="Normal"/>
        <w:spacing w:before="240" w:after="240"/>
        <w:jc w:val="both"/>
        <w:rPr>
          <w:b/>
          <w:bCs/>
        </w:rPr>
      </w:pPr>
      <w:r>
        <w:rPr>
          <w:b/>
          <w:bCs/>
        </w:rPr>
        <w:t>Human</w:t>
      </w:r>
    </w:p>
    <w:p>
      <w:pPr>
        <w:pStyle w:val="Normal"/>
        <w:numPr>
          <w:ilvl w:val="0"/>
          <w:numId w:val="2"/>
        </w:numPr>
        <w:spacing w:before="240" w:after="240"/>
        <w:jc w:val="both"/>
        <w:rPr>
          <w:u w:val="single"/>
        </w:rPr>
      </w:pPr>
      <w:r>
        <w:rPr>
          <w:u w:val="single"/>
        </w:rPr>
        <w:t>Antigen Processing and Presentation Mechanisms</w:t>
      </w:r>
    </w:p>
    <w:p>
      <w:pPr>
        <w:pStyle w:val="Normal"/>
        <w:numPr>
          <w:ilvl w:val="0"/>
          <w:numId w:val="0"/>
        </w:numPr>
        <w:spacing w:before="240" w:after="240"/>
        <w:ind w:hanging="0" w:start="720"/>
        <w:jc w:val="both"/>
        <w:rPr/>
      </w:pPr>
      <w:r>
        <w:rPr/>
        <w:t xml:space="preserve">- Antigen processing and presentation of peptide antigen via MHC class I (21.33%) and antigen processing and presentation (11.66%): These highly enriched pathways demonstrate activation of immune </w:t>
      </w:r>
      <w:r>
        <w:rPr/>
        <w:t>adaptive response</w:t>
      </w:r>
      <w:r>
        <w:rPr/>
        <w:t>. The substantial enrichment in MHC class I presentation suggests strong cytotoxic immune surveillance in periodontitis lesions, while the overall antigen presentation enrichment indicates broad immune system engagement with periodontal pathogens.</w:t>
      </w:r>
    </w:p>
    <w:p>
      <w:pPr>
        <w:pStyle w:val="Normal"/>
        <w:numPr>
          <w:ilvl w:val="0"/>
          <w:numId w:val="2"/>
        </w:numPr>
        <w:spacing w:before="240" w:after="240"/>
        <w:jc w:val="both"/>
        <w:rPr>
          <w:u w:val="single"/>
        </w:rPr>
      </w:pPr>
      <w:r>
        <w:rPr>
          <w:u w:val="single"/>
        </w:rPr>
        <w:t>Inflammatory Response Regulation</w:t>
      </w:r>
    </w:p>
    <w:p>
      <w:pPr>
        <w:pStyle w:val="Normal"/>
        <w:numPr>
          <w:ilvl w:val="0"/>
          <w:numId w:val="0"/>
        </w:numPr>
        <w:spacing w:before="240" w:after="240"/>
        <w:ind w:hanging="0" w:start="720"/>
        <w:jc w:val="both"/>
        <w:rPr/>
      </w:pPr>
      <w:r>
        <w:rPr/>
        <w:t>- Positive regulation of acute inflammatory response (3.03%) and positive regulation of biological process (4.0%): These pathways reflect the active inflammatory state characteristic of periodontitis. Their enrichment demonstrates the host's coordinated response to microbial challenges in the periodontal pocket.</w:t>
      </w:r>
    </w:p>
    <w:p>
      <w:pPr>
        <w:pStyle w:val="Normal"/>
        <w:numPr>
          <w:ilvl w:val="0"/>
          <w:numId w:val="3"/>
        </w:numPr>
        <w:spacing w:before="240" w:after="240"/>
        <w:jc w:val="both"/>
        <w:rPr>
          <w:u w:val="single"/>
        </w:rPr>
      </w:pPr>
      <w:r>
        <w:rPr>
          <w:u w:val="single"/>
        </w:rPr>
        <w:t>Defense and Stress Responses</w:t>
      </w:r>
    </w:p>
    <w:p>
      <w:pPr>
        <w:pStyle w:val="Normal"/>
        <w:numPr>
          <w:ilvl w:val="0"/>
          <w:numId w:val="0"/>
        </w:numPr>
        <w:spacing w:before="240" w:after="240"/>
        <w:ind w:hanging="0" w:start="720"/>
        <w:jc w:val="both"/>
        <w:rPr/>
      </w:pPr>
      <w:r>
        <w:rPr/>
        <w:t xml:space="preserve">- Defense response (1.21%), response to stress (1.21%), and response to external biotic stimulus (1.82%): This cluster of stress-response pathways, while moderately enriched, represents the activation of protective mechanisms against microbial challenge. </w:t>
      </w:r>
    </w:p>
    <w:p>
      <w:pPr>
        <w:pStyle w:val="Normal"/>
        <w:spacing w:before="240" w:after="240"/>
        <w:jc w:val="both"/>
        <w:rPr>
          <w:b/>
          <w:bCs/>
        </w:rPr>
      </w:pPr>
      <w:r>
        <w:rPr>
          <w:b/>
          <w:bCs/>
        </w:rPr>
        <w:t>Microbiome</w:t>
      </w:r>
    </w:p>
    <w:p>
      <w:pPr>
        <w:pStyle w:val="Normal"/>
        <w:numPr>
          <w:ilvl w:val="0"/>
          <w:numId w:val="4"/>
        </w:numPr>
        <w:spacing w:before="240" w:after="240"/>
        <w:jc w:val="both"/>
        <w:rPr/>
      </w:pPr>
      <w:r>
        <w:rPr/>
        <w:t>Amino sugar and nucleotide sugar metabolism (4.55%) and Glycerophospholipid metabolism (9.09%): These prominent microbial metabolic pathways suggest active bacterial metabolism that may influence the local periodontal environment and host-microbe interactions.</w:t>
      </w:r>
    </w:p>
    <w:p>
      <w:pPr>
        <w:pStyle w:val="Normal"/>
        <w:numPr>
          <w:ilvl w:val="0"/>
          <w:numId w:val="4"/>
        </w:numPr>
        <w:spacing w:before="240" w:after="240"/>
        <w:jc w:val="both"/>
        <w:rPr/>
      </w:pPr>
      <w:r>
        <w:rPr/>
        <w:t>Cell wall macromolecule biosynthetic process (1.4%) and bacterial-type flagellum-dependent cell motility (1.4%): These bacterial structural components are known to be immunostimulatory, potentially serving as pathogen-associated molecular patterns (PAMPs) that trigger host immune recognition via toll-like receptors.</w:t>
      </w:r>
    </w:p>
    <w:p>
      <w:pPr>
        <w:pStyle w:val="Normal"/>
        <w:numPr>
          <w:ilvl w:val="0"/>
          <w:numId w:val="4"/>
        </w:numPr>
        <w:spacing w:before="240" w:after="240"/>
        <w:jc w:val="both"/>
        <w:rPr/>
      </w:pPr>
      <w:r>
        <w:rPr/>
        <w:t>Hydrocarbon oxygenase activity (1.4%) and glycosyltransferase activity (1.4%): These enzymatic activities in the microbiome may contribute to biofilm formation and matrix modification, potentially affecting bacterial persistence in periodontal pockets.</w:t>
      </w:r>
    </w:p>
    <w:p>
      <w:pPr>
        <w:pStyle w:val="Normal"/>
        <w:spacing w:before="240" w:after="240"/>
        <w:jc w:val="both"/>
        <w:rPr/>
      </w:pPr>
      <w:r>
        <w:rPr>
          <w:b/>
          <w:bCs/>
        </w:rPr>
        <w:t xml:space="preserve">Summary </w:t>
      </w:r>
      <w:r>
        <w:rPr>
          <w:b/>
          <w:bCs/>
        </w:rPr>
        <w:t>Microbiome-Host Interactions in Figure 6</w:t>
      </w:r>
    </w:p>
    <w:p>
      <w:pPr>
        <w:pStyle w:val="Normal"/>
        <w:spacing w:before="240" w:after="240"/>
        <w:jc w:val="both"/>
        <w:rPr>
          <w:b/>
          <w:bCs/>
        </w:rPr>
      </w:pPr>
      <w:r>
        <w:rPr>
          <w:b/>
          <w:bCs/>
        </w:rPr>
        <w:t>Human</w:t>
      </w:r>
    </w:p>
    <w:p>
      <w:pPr>
        <w:pStyle w:val="Normal"/>
        <w:numPr>
          <w:ilvl w:val="0"/>
          <w:numId w:val="5"/>
        </w:numPr>
        <w:spacing w:before="240" w:after="240"/>
        <w:jc w:val="both"/>
        <w:rPr>
          <w:u w:val="single"/>
        </w:rPr>
      </w:pPr>
      <w:r>
        <w:rPr>
          <w:u w:val="single"/>
        </w:rPr>
        <w:t>Immune Cell Function and Trafficking</w:t>
      </w:r>
    </w:p>
    <w:p>
      <w:pPr>
        <w:pStyle w:val="Normal"/>
        <w:numPr>
          <w:ilvl w:val="0"/>
          <w:numId w:val="0"/>
        </w:numPr>
        <w:spacing w:before="240" w:after="240"/>
        <w:ind w:hanging="0" w:start="720"/>
        <w:jc w:val="both"/>
        <w:rPr/>
      </w:pPr>
      <w:r>
        <w:rPr/>
        <w:t>- Leukocyte migration (2.12%) and positive regulation of cell death (7.84%): These pathways highlight key mechanisms of the destructive inflammatory process in periodontitis. Leukocyte recruitment coordinates with programmed cell death processes, potentially explaining tissue destruction observed clinically.</w:t>
      </w:r>
    </w:p>
    <w:p>
      <w:pPr>
        <w:pStyle w:val="Normal"/>
        <w:numPr>
          <w:ilvl w:val="0"/>
          <w:numId w:val="5"/>
        </w:numPr>
        <w:spacing w:before="240" w:after="240"/>
        <w:jc w:val="both"/>
        <w:rPr>
          <w:u w:val="single"/>
        </w:rPr>
      </w:pPr>
      <w:r>
        <w:rPr>
          <w:u w:val="single"/>
        </w:rPr>
        <w:t>Inflammatory Signaling</w:t>
      </w:r>
    </w:p>
    <w:p>
      <w:pPr>
        <w:pStyle w:val="Normal"/>
        <w:numPr>
          <w:ilvl w:val="0"/>
          <w:numId w:val="0"/>
        </w:numPr>
        <w:spacing w:before="240" w:after="240"/>
        <w:ind w:hanging="0" w:start="720"/>
        <w:jc w:val="both"/>
        <w:rPr/>
      </w:pPr>
      <w:r>
        <w:rPr/>
        <w:t>- Regulation of NF-κB signaling (1.12%) and positive regulation of response to external stimulus (1.99%): These regulatory pathways orchestrate the inflammatory cascade in response to microbial stimuli, representing central control mechanisms in periodontal inflammation.</w:t>
      </w:r>
    </w:p>
    <w:p>
      <w:pPr>
        <w:pStyle w:val="Normal"/>
        <w:widowControl/>
        <w:numPr>
          <w:ilvl w:val="0"/>
          <w:numId w:val="0"/>
        </w:numPr>
        <w:bidi w:val="0"/>
        <w:spacing w:before="240" w:after="240"/>
        <w:ind w:hanging="0" w:start="0" w:end="0"/>
        <w:jc w:val="both"/>
        <w:rPr>
          <w:b/>
          <w:bCs/>
        </w:rPr>
      </w:pPr>
      <w:r>
        <w:rPr>
          <w:b/>
          <w:bCs/>
        </w:rPr>
        <w:t>Microbi</w:t>
      </w:r>
      <w:r>
        <w:rPr>
          <w:b/>
          <w:bCs/>
        </w:rPr>
        <w:t>ome</w:t>
      </w:r>
    </w:p>
    <w:p>
      <w:pPr>
        <w:pStyle w:val="Normal"/>
        <w:numPr>
          <w:ilvl w:val="0"/>
          <w:numId w:val="5"/>
        </w:numPr>
        <w:spacing w:before="240" w:after="240"/>
        <w:jc w:val="both"/>
        <w:rPr/>
      </w:pPr>
      <w:r>
        <w:rPr/>
        <w:t>Translation (5.33%) and potassium ion transport (5.33%): These prominent microbial activities may influence local microenvironment conditions and produce immune-stimulating virulence factors.</w:t>
      </w:r>
    </w:p>
    <w:p>
      <w:pPr>
        <w:pStyle w:val="Normal"/>
        <w:spacing w:before="240" w:after="240"/>
        <w:jc w:val="both"/>
        <w:rPr>
          <w:b/>
          <w:bCs/>
        </w:rPr>
      </w:pPr>
      <w:r>
        <w:rPr>
          <w:b/>
          <w:bCs/>
        </w:rPr>
        <w:t>Integrated Immunopathological Networks in Figure 7</w:t>
      </w:r>
    </w:p>
    <w:p>
      <w:pPr>
        <w:pStyle w:val="Normal"/>
        <w:numPr>
          <w:ilvl w:val="0"/>
          <w:numId w:val="6"/>
        </w:numPr>
        <w:spacing w:before="240" w:after="240"/>
        <w:jc w:val="both"/>
        <w:rPr/>
      </w:pPr>
      <w:r>
        <w:rPr/>
        <w:t>Major Immune Component Clusters</w:t>
      </w:r>
    </w:p>
    <w:p>
      <w:pPr>
        <w:pStyle w:val="Normal"/>
        <w:numPr>
          <w:ilvl w:val="0"/>
          <w:numId w:val="0"/>
        </w:numPr>
        <w:spacing w:before="240" w:after="240"/>
        <w:ind w:hanging="0" w:start="720"/>
        <w:jc w:val="both"/>
        <w:rPr/>
      </w:pPr>
      <w:r>
        <w:rPr/>
        <w:t>- Immune Regulation and Response and Inflammatory Responses: These extensive networks at the left side of Figure 7 illustrate the central role of coordinated immune activation in periodontitis pathogenesis.</w:t>
      </w:r>
    </w:p>
    <w:p>
      <w:pPr>
        <w:pStyle w:val="Normal"/>
        <w:numPr>
          <w:ilvl w:val="0"/>
          <w:numId w:val="6"/>
        </w:numPr>
        <w:spacing w:before="240" w:after="240"/>
        <w:jc w:val="both"/>
        <w:rPr/>
      </w:pPr>
      <w:r>
        <w:rPr/>
        <w:t>Cellular Response Mechanisms</w:t>
      </w:r>
    </w:p>
    <w:p>
      <w:pPr>
        <w:pStyle w:val="Normal"/>
        <w:numPr>
          <w:ilvl w:val="0"/>
          <w:numId w:val="0"/>
        </w:numPr>
        <w:spacing w:before="240" w:after="240"/>
        <w:ind w:hanging="0" w:start="720"/>
        <w:jc w:val="both"/>
        <w:rPr/>
      </w:pPr>
      <w:r>
        <w:rPr/>
        <w:t>- Signal Transduction and Cellular Responses and Cellular Stress and Protein Processing: These interconnected networks reveal how host cells detect and respond to microbial challenges, linking receptor activation to effector responses.</w:t>
      </w:r>
    </w:p>
    <w:p>
      <w:pPr>
        <w:pStyle w:val="Normal"/>
        <w:numPr>
          <w:ilvl w:val="0"/>
          <w:numId w:val="6"/>
        </w:numPr>
        <w:spacing w:before="240" w:after="240"/>
        <w:jc w:val="both"/>
        <w:rPr/>
      </w:pPr>
      <w:r>
        <w:rPr/>
        <w:t>Metabolic-Immune Interface</w:t>
      </w:r>
    </w:p>
    <w:p>
      <w:pPr>
        <w:pStyle w:val="Normal"/>
        <w:numPr>
          <w:ilvl w:val="0"/>
          <w:numId w:val="0"/>
        </w:numPr>
        <w:spacing w:before="240" w:after="240"/>
        <w:ind w:hanging="0" w:start="720"/>
        <w:jc w:val="both"/>
        <w:rPr/>
      </w:pPr>
      <w:r>
        <w:rPr/>
        <w:t xml:space="preserve">- Catabolic and Metabolic Processes and Reactive Oxygen Species Regulation: These pathways demonstrate the </w:t>
      </w:r>
      <w:r>
        <w:rPr/>
        <w:t>importance of</w:t>
      </w:r>
      <w:r>
        <w:rPr/>
        <w:t xml:space="preserve"> oxidative stress components that contribute to tissue damage.</w:t>
      </w:r>
    </w:p>
    <w:p>
      <w:pPr>
        <w:pStyle w:val="Normal"/>
        <w:spacing w:before="240" w:after="240"/>
        <w:jc w:val="both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before="0" w:after="0"/>
      <w:jc w:val="star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Times New Roman" w:hAnsi="Times New Roman" w:eastAsia="Times New Roman" w:cs="Times New Roman"/>
      <w:b/>
      <w:bCs/>
      <w:i w:val="false"/>
      <w:color w:val="2F5496"/>
      <w:kern w:val="2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pPr>
      <w:keepNext w:val="true"/>
      <w:keepLines/>
      <w:numPr>
        <w:ilvl w:val="0"/>
        <w:numId w:val="0"/>
      </w:numPr>
      <w:spacing w:before="40" w:after="0"/>
      <w:outlineLvl w:val="1"/>
    </w:pPr>
    <w:rPr>
      <w:rFonts w:ascii="Times New Roman" w:hAnsi="Times New Roman" w:eastAsia="Times New Roman" w:cs="Times New Roman"/>
      <w:b/>
      <w:bCs/>
      <w:i w:val="false"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pPr>
      <w:keepNext w:val="true"/>
      <w:keepLines/>
      <w:numPr>
        <w:ilvl w:val="0"/>
        <w:numId w:val="0"/>
      </w:numPr>
      <w:spacing w:before="40" w:after="0"/>
      <w:outlineLvl w:val="2"/>
    </w:pPr>
    <w:rPr>
      <w:rFonts w:ascii="Times New Roman" w:hAnsi="Times New Roman" w:eastAsia="Times New Roman" w:cs="Times New Roman"/>
      <w:b/>
      <w:bCs/>
      <w:i w:val="false"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 w:val="true"/>
      <w:keepLines/>
      <w:numPr>
        <w:ilvl w:val="0"/>
        <w:numId w:val="0"/>
      </w:numPr>
      <w:spacing w:before="40" w:after="0"/>
      <w:outlineLvl w:val="3"/>
    </w:pPr>
    <w:rPr>
      <w:rFonts w:ascii="Times New Roman" w:hAnsi="Times New Roman" w:eastAsia="Times New Roman" w:cs="Times New Roman"/>
      <w:b/>
      <w:bCs/>
      <w:i w:val="false"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pPr>
      <w:keepNext w:val="true"/>
      <w:keepLines/>
      <w:numPr>
        <w:ilvl w:val="0"/>
        <w:numId w:val="0"/>
      </w:numPr>
      <w:spacing w:before="40" w:after="0"/>
      <w:outlineLvl w:val="4"/>
    </w:pPr>
    <w:rPr>
      <w:rFonts w:ascii="Times New Roman" w:hAnsi="Times New Roman" w:eastAsia="Times New Roman" w:cs="Times New Roman"/>
      <w:b/>
      <w:bCs/>
      <w:i w:val="false"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pPr>
      <w:keepNext w:val="true"/>
      <w:keepLines/>
      <w:numPr>
        <w:ilvl w:val="0"/>
        <w:numId w:val="0"/>
      </w:numPr>
      <w:spacing w:before="40" w:after="0"/>
      <w:outlineLvl w:val="5"/>
    </w:pPr>
    <w:rPr>
      <w:rFonts w:ascii="Times New Roman" w:hAnsi="Times New Roman" w:eastAsia="Times New Roman" w:cs="Times New Roman"/>
      <w:b/>
      <w:bCs/>
      <w:i w:val="false"/>
      <w:color w:val="1F3763"/>
      <w:sz w:val="16"/>
      <w:szCs w:val="16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link w:val="Heading1"/>
    <w:qFormat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Heading2Char">
    <w:name w:val="Heading 2 Char"/>
    <w:basedOn w:val="DefaultParagraphFont"/>
    <w:link w:val="Heading2"/>
    <w:qFormat/>
    <w:rPr>
      <w:rFonts w:ascii="Calibri Light" w:hAnsi="Calibri Light" w:eastAsia="Times New Roman" w:cs="Times New Roman"/>
      <w:color w:val="2F5496"/>
      <w:sz w:val="26"/>
      <w:szCs w:val="26"/>
    </w:rPr>
  </w:style>
  <w:style w:type="character" w:styleId="Heading3Char">
    <w:name w:val="Heading 3 Char"/>
    <w:basedOn w:val="DefaultParagraphFont"/>
    <w:link w:val="Heading3"/>
    <w:qFormat/>
    <w:rPr>
      <w:rFonts w:ascii="Calibri Light" w:hAnsi="Calibri Light" w:eastAsia="Times New Roman" w:cs="Times New Roman"/>
      <w:color w:val="1F3763"/>
      <w:sz w:val="24"/>
      <w:szCs w:val="24"/>
    </w:rPr>
  </w:style>
  <w:style w:type="character" w:styleId="Heading4Char">
    <w:name w:val="Heading 4 Char"/>
    <w:basedOn w:val="DefaultParagraphFont"/>
    <w:link w:val="Heading4"/>
    <w:qFormat/>
    <w:rPr>
      <w:rFonts w:ascii="Calibri Light" w:hAnsi="Calibri Light" w:eastAsia="Times New Roman" w:cs="Times New Roman"/>
      <w:i/>
      <w:iCs/>
      <w:color w:val="2F5496"/>
    </w:rPr>
  </w:style>
  <w:style w:type="character" w:styleId="Heading5Char">
    <w:name w:val="Heading 5 Char"/>
    <w:basedOn w:val="DefaultParagraphFont"/>
    <w:link w:val="Heading5"/>
    <w:qFormat/>
    <w:rPr>
      <w:rFonts w:ascii="Calibri Light" w:hAnsi="Calibri Light" w:eastAsia="Times New Roman" w:cs="Times New Roman"/>
      <w:color w:val="2F5496"/>
    </w:rPr>
  </w:style>
  <w:style w:type="character" w:styleId="Heading6Char">
    <w:name w:val="Heading 6 Char"/>
    <w:basedOn w:val="DefaultParagraphFont"/>
    <w:link w:val="Heading6"/>
    <w:qFormat/>
    <w:rPr>
      <w:rFonts w:ascii="Calibri Light" w:hAnsi="Calibri Light" w:eastAsia="Times New Roman" w:cs="Times New Roman"/>
      <w:color w:val="1F3763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LibreOffice/25.2.0.3$Linux_X86_64 LibreOffice_project/e1cf4a87eb02d755bce1a01209907ea5ddc8f069</Application>
  <AppVersion>15.0000</AppVersion>
  <Pages>2</Pages>
  <Words>509</Words>
  <Characters>3541</Characters>
  <CharactersWithSpaces>4001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2025-03-12T11:50:57Z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