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9BF99" w14:textId="14BCB091" w:rsidR="00D62946" w:rsidRPr="001E45C0" w:rsidRDefault="00D62946" w:rsidP="00D62946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</w:pPr>
      <w:bookmarkStart w:id="0" w:name="_Hlk200286670"/>
      <w:r w:rsidRPr="001E45C0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t>Supplemental information</w:t>
      </w:r>
    </w:p>
    <w:p w14:paraId="7A0368ED" w14:textId="04EC181E" w:rsidR="000A5634" w:rsidRPr="001E45C0" w:rsidRDefault="000A5634" w:rsidP="000A5634">
      <w:pPr>
        <w:tabs>
          <w:tab w:val="left" w:pos="576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8860300"/>
      <w:bookmarkStart w:id="2" w:name="_Hlk54884206"/>
      <w:bookmarkStart w:id="3" w:name="_Hlk60126958"/>
      <w:bookmarkEnd w:id="0"/>
      <w:r w:rsidRPr="001E45C0">
        <w:rPr>
          <w:rFonts w:ascii="Times New Roman" w:hAnsi="Times New Roman" w:cs="Times New Roman"/>
          <w:b/>
          <w:bCs/>
          <w:sz w:val="24"/>
          <w:szCs w:val="24"/>
        </w:rPr>
        <w:t xml:space="preserve">The pulmonary commensal </w:t>
      </w:r>
      <w:r w:rsidRPr="001E45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Lactobacillus</w:t>
      </w:r>
      <w:r w:rsidRPr="001E45C0">
        <w:rPr>
          <w:rFonts w:ascii="Times New Roman" w:hAnsi="Times New Roman" w:cs="Times New Roman"/>
          <w:b/>
          <w:bCs/>
          <w:sz w:val="24"/>
          <w:szCs w:val="24"/>
        </w:rPr>
        <w:t xml:space="preserve"> regulated lung </w:t>
      </w:r>
      <w:proofErr w:type="spellStart"/>
      <w:r w:rsidRPr="001E45C0">
        <w:rPr>
          <w:rFonts w:ascii="Times New Roman" w:hAnsi="Times New Roman" w:cs="Times New Roman"/>
          <w:b/>
          <w:bCs/>
          <w:sz w:val="24"/>
          <w:szCs w:val="24"/>
        </w:rPr>
        <w:t>γδ</w:t>
      </w:r>
      <w:proofErr w:type="spellEnd"/>
      <w:r w:rsidRPr="001E45C0">
        <w:rPr>
          <w:rFonts w:ascii="Times New Roman" w:hAnsi="Times New Roman" w:cs="Times New Roman"/>
          <w:b/>
          <w:bCs/>
          <w:sz w:val="24"/>
          <w:szCs w:val="24"/>
        </w:rPr>
        <w:t xml:space="preserve"> T cells to enhance resistance against bacterial infections. </w:t>
      </w:r>
    </w:p>
    <w:bookmarkEnd w:id="1"/>
    <w:p w14:paraId="6FDD3764" w14:textId="77777777" w:rsidR="000A5634" w:rsidRPr="001E45C0" w:rsidRDefault="000A5634" w:rsidP="000A5634">
      <w:pPr>
        <w:tabs>
          <w:tab w:val="left" w:pos="576"/>
        </w:tabs>
        <w:spacing w:line="48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Haochi Zhang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1,2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, Xuemei Bao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 xml:space="preserve">, </w:t>
      </w:r>
      <w:proofErr w:type="spellStart"/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Chunhe</w:t>
      </w:r>
      <w:proofErr w:type="spellEnd"/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 xml:space="preserve"> Li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 xml:space="preserve">, </w:t>
      </w:r>
      <w:proofErr w:type="spellStart"/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Yanchen</w:t>
      </w:r>
      <w:proofErr w:type="spellEnd"/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 xml:space="preserve"> Liang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, Na Pan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 xml:space="preserve">, </w:t>
      </w:r>
      <w:proofErr w:type="spellStart"/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Yubing</w:t>
      </w:r>
      <w:proofErr w:type="spellEnd"/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 xml:space="preserve"> Fu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, Bin Ma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, Ting Wang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, Jian Chen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1,2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 xml:space="preserve">, </w:t>
      </w:r>
      <w:proofErr w:type="spellStart"/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Lipeng</w:t>
      </w:r>
      <w:proofErr w:type="spellEnd"/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 xml:space="preserve"> Zhang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3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, Xiao Wang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  <w:vertAlign w:val="superscript"/>
        </w:rPr>
        <w:t>1</w:t>
      </w:r>
      <w:r w:rsidRPr="001E45C0">
        <w:rPr>
          <w:rFonts w:ascii="Times New Roman" w:eastAsia="等线" w:hAnsi="Times New Roman" w:cs="Times New Roman"/>
          <w:kern w:val="28"/>
          <w:sz w:val="24"/>
          <w:szCs w:val="24"/>
        </w:rPr>
        <w:t>*</w:t>
      </w:r>
    </w:p>
    <w:p w14:paraId="14A2FBBB" w14:textId="77777777" w:rsidR="000A5634" w:rsidRPr="001E45C0" w:rsidRDefault="000A5634" w:rsidP="000A5634">
      <w:pPr>
        <w:tabs>
          <w:tab w:val="left" w:pos="576"/>
        </w:tabs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B9FE6E9" w14:textId="77777777" w:rsidR="000A5634" w:rsidRPr="001E45C0" w:rsidRDefault="000A5634" w:rsidP="000A5634">
      <w:pPr>
        <w:tabs>
          <w:tab w:val="left" w:pos="576"/>
        </w:tabs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4" w:name="_Hlk136332455"/>
      <w:bookmarkStart w:id="5" w:name="_Hlk187415905"/>
      <w:r w:rsidRPr="001E45C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1E45C0">
        <w:rPr>
          <w:rFonts w:ascii="Times New Roman" w:eastAsia="宋体" w:hAnsi="Times New Roman" w:cs="Times New Roman"/>
          <w:sz w:val="24"/>
          <w:szCs w:val="24"/>
        </w:rPr>
        <w:t>State Key Laboratory of Reproductive Regulation &amp; Breeding of Grassland Livestock, School of Life Sciences, Inner Mongolia University, Hohhot, P.R. China 010070;</w:t>
      </w:r>
    </w:p>
    <w:p w14:paraId="506A5867" w14:textId="77777777" w:rsidR="000A5634" w:rsidRPr="001E45C0" w:rsidRDefault="000A5634" w:rsidP="000A5634">
      <w:pPr>
        <w:tabs>
          <w:tab w:val="left" w:pos="576"/>
        </w:tabs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1E45C0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1E45C0">
        <w:rPr>
          <w:rFonts w:ascii="Times New Roman" w:eastAsia="宋体" w:hAnsi="Times New Roman" w:cs="Times New Roman"/>
          <w:sz w:val="24"/>
          <w:szCs w:val="24"/>
        </w:rPr>
        <w:t>The Spirit Jinyu Biological Pharmaceutical Co. Ltd, Hohhot, Inner, Mongolia 010030, China;</w:t>
      </w:r>
    </w:p>
    <w:p w14:paraId="1ACE4681" w14:textId="77777777" w:rsidR="000A5634" w:rsidRPr="001E45C0" w:rsidRDefault="000A5634" w:rsidP="000A5634">
      <w:pPr>
        <w:tabs>
          <w:tab w:val="left" w:pos="576"/>
        </w:tabs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1E45C0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1E45C0">
        <w:rPr>
          <w:rFonts w:ascii="Times New Roman" w:eastAsia="宋体" w:hAnsi="Times New Roman" w:cs="Times New Roman"/>
          <w:sz w:val="24"/>
          <w:szCs w:val="24"/>
        </w:rPr>
        <w:t>Affiliated Hospital of Inner Mongolia Medical University, Hohhot, P.R. China 010070;</w:t>
      </w:r>
    </w:p>
    <w:p w14:paraId="76738998" w14:textId="77777777" w:rsidR="000A5634" w:rsidRPr="001E45C0" w:rsidRDefault="000A5634" w:rsidP="000A5634">
      <w:pPr>
        <w:tabs>
          <w:tab w:val="left" w:pos="576"/>
        </w:tabs>
        <w:spacing w:line="480" w:lineRule="auto"/>
        <w:rPr>
          <w:rStyle w:val="a7"/>
          <w:rFonts w:ascii="Times New Roman" w:eastAsia="宋体" w:hAnsi="Times New Roman" w:cs="Times New Roman"/>
          <w:sz w:val="24"/>
          <w:szCs w:val="24"/>
        </w:rPr>
      </w:pPr>
      <w:bookmarkStart w:id="6" w:name="_Hlk157690561"/>
      <w:r w:rsidRPr="001E45C0">
        <w:rPr>
          <w:rFonts w:ascii="Times New Roman" w:eastAsia="宋体" w:hAnsi="Times New Roman" w:cs="Times New Roman"/>
          <w:sz w:val="24"/>
          <w:szCs w:val="24"/>
        </w:rPr>
        <w:t xml:space="preserve">*Corresponding author: Xiao </w:t>
      </w:r>
      <w:proofErr w:type="gramStart"/>
      <w:r w:rsidRPr="001E45C0">
        <w:rPr>
          <w:rFonts w:ascii="Times New Roman" w:eastAsia="宋体" w:hAnsi="Times New Roman" w:cs="Times New Roman"/>
          <w:sz w:val="24"/>
          <w:szCs w:val="24"/>
        </w:rPr>
        <w:t>Wang  E-mail</w:t>
      </w:r>
      <w:proofErr w:type="gramEnd"/>
      <w:r w:rsidRPr="001E45C0">
        <w:rPr>
          <w:rFonts w:ascii="Times New Roman" w:eastAsia="宋体" w:hAnsi="Times New Roman" w:cs="Times New Roman"/>
          <w:sz w:val="24"/>
          <w:szCs w:val="24"/>
        </w:rPr>
        <w:t xml:space="preserve">: </w:t>
      </w:r>
      <w:bookmarkStart w:id="7" w:name="OLE_LINK4"/>
      <w:r w:rsidRPr="001E45C0">
        <w:fldChar w:fldCharType="begin"/>
      </w:r>
      <w:r w:rsidRPr="001E45C0">
        <w:rPr>
          <w:rFonts w:ascii="Times New Roman" w:hAnsi="Times New Roman" w:cs="Times New Roman"/>
          <w:sz w:val="24"/>
          <w:szCs w:val="24"/>
        </w:rPr>
        <w:instrText>HYPERLINK "mailto:wangxiao@imu.edu.cn%20(X"</w:instrText>
      </w:r>
      <w:r w:rsidRPr="001E45C0">
        <w:fldChar w:fldCharType="separate"/>
      </w:r>
      <w:r w:rsidRPr="001E45C0">
        <w:rPr>
          <w:rStyle w:val="a7"/>
          <w:rFonts w:ascii="Times New Roman" w:eastAsia="宋体" w:hAnsi="Times New Roman" w:cs="Times New Roman"/>
          <w:sz w:val="24"/>
          <w:szCs w:val="24"/>
        </w:rPr>
        <w:t>wangxiao@imu.edu.cn</w:t>
      </w:r>
      <w:r w:rsidRPr="001E45C0">
        <w:rPr>
          <w:rStyle w:val="a7"/>
          <w:rFonts w:ascii="Times New Roman" w:eastAsia="宋体" w:hAnsi="Times New Roman" w:cs="Times New Roman"/>
          <w:sz w:val="24"/>
          <w:szCs w:val="24"/>
        </w:rPr>
        <w:fldChar w:fldCharType="end"/>
      </w:r>
      <w:bookmarkEnd w:id="4"/>
      <w:bookmarkEnd w:id="6"/>
      <w:bookmarkEnd w:id="7"/>
    </w:p>
    <w:bookmarkEnd w:id="2"/>
    <w:bookmarkEnd w:id="3"/>
    <w:bookmarkEnd w:id="5"/>
    <w:p w14:paraId="5108129F" w14:textId="77777777" w:rsidR="00D62946" w:rsidRPr="001E45C0" w:rsidRDefault="00D62946" w:rsidP="00D62946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6A7B2EF" w14:textId="7CFE21CC" w:rsidR="00D62946" w:rsidRPr="001E45C0" w:rsidRDefault="00D62946" w:rsidP="00D62946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1E45C0">
        <w:rPr>
          <w:rFonts w:ascii="Times New Roman" w:hAnsi="Times New Roman" w:cs="Times New Roman"/>
          <w:b/>
          <w:bCs/>
          <w:noProof/>
          <w:sz w:val="28"/>
          <w:szCs w:val="28"/>
        </w:rPr>
        <w:br w:type="page"/>
      </w:r>
    </w:p>
    <w:p w14:paraId="6191B3B2" w14:textId="4CA3508D" w:rsidR="00A77D17" w:rsidRPr="001E45C0" w:rsidRDefault="002E7D33" w:rsidP="00D62946">
      <w:pPr>
        <w:spacing w:line="480" w:lineRule="auto"/>
        <w:rPr>
          <w:rFonts w:ascii="Times New Roman" w:hAnsi="Times New Roman" w:cs="Times New Roman"/>
        </w:rPr>
      </w:pPr>
      <w:r w:rsidRPr="001E45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BC70EDD" wp14:editId="602BF4A6">
            <wp:extent cx="5271797" cy="3420744"/>
            <wp:effectExtent l="0" t="0" r="5080" b="8890"/>
            <wp:docPr id="21093053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0533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97" cy="342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38B51" w14:textId="530B1313" w:rsidR="008B5CBA" w:rsidRPr="001E45C0" w:rsidRDefault="002E7D33" w:rsidP="00D62946">
      <w:pPr>
        <w:spacing w:line="480" w:lineRule="auto"/>
        <w:rPr>
          <w:rFonts w:ascii="Times New Roman" w:hAnsi="Times New Roman" w:cs="Times New Roman"/>
          <w:sz w:val="22"/>
        </w:rPr>
      </w:pPr>
      <w:r w:rsidRPr="001E45C0">
        <w:rPr>
          <w:rFonts w:ascii="Times New Roman" w:hAnsi="Times New Roman" w:cs="Times New Roman"/>
          <w:b/>
          <w:bCs/>
          <w:sz w:val="22"/>
        </w:rPr>
        <w:t xml:space="preserve">Fig </w:t>
      </w:r>
      <w:r w:rsidR="000E672B" w:rsidRPr="001E45C0">
        <w:rPr>
          <w:rFonts w:ascii="Times New Roman" w:hAnsi="Times New Roman" w:cs="Times New Roman"/>
          <w:b/>
          <w:bCs/>
          <w:sz w:val="22"/>
        </w:rPr>
        <w:t>S</w:t>
      </w:r>
      <w:r w:rsidRPr="001E45C0">
        <w:rPr>
          <w:rFonts w:ascii="Times New Roman" w:hAnsi="Times New Roman" w:cs="Times New Roman"/>
          <w:b/>
          <w:bCs/>
          <w:sz w:val="22"/>
        </w:rPr>
        <w:t>1.</w:t>
      </w:r>
      <w:r w:rsidRPr="001E45C0">
        <w:rPr>
          <w:rFonts w:ascii="Times New Roman" w:hAnsi="Times New Roman" w:cs="Times New Roman"/>
          <w:sz w:val="22"/>
        </w:rPr>
        <w:t xml:space="preserve"> Broad-spectrum antibiotic pre-exposure results in a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reduction in the bacterial load of the intestinal and bronchial lavage fluid (BALF) microbiota. </w:t>
      </w:r>
      <w:r w:rsidR="000E672B" w:rsidRPr="001E45C0">
        <w:rPr>
          <w:rFonts w:ascii="Times New Roman" w:hAnsi="Times New Roman" w:cs="Times New Roman"/>
          <w:b/>
          <w:bCs/>
          <w:color w:val="000000" w:themeColor="text1"/>
          <w:sz w:val="22"/>
        </w:rPr>
        <w:t>A</w:t>
      </w:r>
      <w:r w:rsidR="000E672B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27A19" w:rsidRPr="001E45C0">
        <w:rPr>
          <w:rFonts w:ascii="Times New Roman" w:hAnsi="Times New Roman" w:cs="Times New Roman"/>
          <w:szCs w:val="21"/>
        </w:rPr>
        <w:t xml:space="preserve">B21, 21 days before antibiotics treatment. S1, 1 day after stopping </w:t>
      </w:r>
      <w:r w:rsidR="00C27A19" w:rsidRPr="001E45C0">
        <w:rPr>
          <w:rFonts w:ascii="Times New Roman" w:hAnsi="Times New Roman" w:cs="Times New Roman"/>
          <w:color w:val="000000" w:themeColor="text1"/>
          <w:szCs w:val="21"/>
        </w:rPr>
        <w:t>antibiotic-treatment.</w:t>
      </w:r>
      <w:r w:rsidR="00B55E5A" w:rsidRPr="001E45C0">
        <w:rPr>
          <w:rFonts w:ascii="Times New Roman" w:hAnsi="Times New Roman" w:cs="Times New Roman"/>
          <w:sz w:val="22"/>
        </w:rPr>
        <w:t xml:space="preserve"> </w:t>
      </w:r>
      <w:r w:rsidR="00B55E5A" w:rsidRPr="001E45C0">
        <w:rPr>
          <w:rFonts w:ascii="Times New Roman" w:hAnsi="Times New Roman" w:cs="Times New Roman"/>
          <w:b/>
          <w:bCs/>
          <w:sz w:val="22"/>
        </w:rPr>
        <w:t>B</w:t>
      </w:r>
      <w:r w:rsidR="00B55E5A" w:rsidRPr="001E45C0">
        <w:rPr>
          <w:rFonts w:ascii="Times New Roman" w:hAnsi="Times New Roman" w:cs="Times New Roman"/>
          <w:sz w:val="22"/>
        </w:rPr>
        <w:t xml:space="preserve"> Gram’s staining of </w:t>
      </w:r>
      <w:proofErr w:type="spellStart"/>
      <w:r w:rsidR="00B55E5A" w:rsidRPr="001E45C0">
        <w:rPr>
          <w:rFonts w:ascii="Times New Roman" w:hAnsi="Times New Roman" w:cs="Times New Roman"/>
          <w:sz w:val="22"/>
        </w:rPr>
        <w:t>faeces</w:t>
      </w:r>
      <w:proofErr w:type="spellEnd"/>
      <w:r w:rsidR="00B55E5A" w:rsidRPr="001E45C0">
        <w:rPr>
          <w:rFonts w:ascii="Times New Roman" w:hAnsi="Times New Roman" w:cs="Times New Roman"/>
          <w:sz w:val="22"/>
        </w:rPr>
        <w:t xml:space="preserve"> and BALF from non-antibiotic-treated mice (No ABX) and antibiotic-treated mice (ABX). </w:t>
      </w:r>
      <w:r w:rsidR="00B55E5A" w:rsidRPr="001E45C0">
        <w:rPr>
          <w:rFonts w:ascii="Times New Roman" w:hAnsi="Times New Roman" w:cs="Times New Roman"/>
          <w:b/>
          <w:bCs/>
          <w:sz w:val="22"/>
        </w:rPr>
        <w:t>C</w:t>
      </w:r>
      <w:r w:rsidR="00B55E5A" w:rsidRPr="001E45C0">
        <w:rPr>
          <w:rFonts w:ascii="Times New Roman" w:hAnsi="Times New Roman" w:cs="Times New Roman"/>
          <w:sz w:val="22"/>
        </w:rPr>
        <w:t xml:space="preserve"> </w:t>
      </w:r>
      <w:r w:rsidR="0019638C" w:rsidRPr="001E45C0">
        <w:rPr>
          <w:rFonts w:ascii="Times New Roman" w:hAnsi="Times New Roman" w:cs="Times New Roman"/>
          <w:sz w:val="22"/>
        </w:rPr>
        <w:t xml:space="preserve">Bacterial burdens in the </w:t>
      </w:r>
      <w:proofErr w:type="spellStart"/>
      <w:r w:rsidR="0019638C" w:rsidRPr="001E45C0">
        <w:rPr>
          <w:rFonts w:ascii="Times New Roman" w:hAnsi="Times New Roman" w:cs="Times New Roman"/>
          <w:sz w:val="22"/>
        </w:rPr>
        <w:t>faeces</w:t>
      </w:r>
      <w:proofErr w:type="spellEnd"/>
      <w:r w:rsidR="0019638C" w:rsidRPr="001E45C0">
        <w:rPr>
          <w:rFonts w:ascii="Times New Roman" w:hAnsi="Times New Roman" w:cs="Times New Roman"/>
          <w:sz w:val="22"/>
        </w:rPr>
        <w:t xml:space="preserve"> and BALF (</w:t>
      </w:r>
      <w:r w:rsidR="0019638C" w:rsidRPr="001E45C0">
        <w:rPr>
          <w:rFonts w:ascii="Times New Roman" w:hAnsi="Times New Roman" w:cs="Times New Roman"/>
          <w:b/>
          <w:bCs/>
          <w:sz w:val="22"/>
        </w:rPr>
        <w:t>D</w:t>
      </w:r>
      <w:r w:rsidR="0019638C" w:rsidRPr="001E45C0">
        <w:rPr>
          <w:rFonts w:ascii="Times New Roman" w:hAnsi="Times New Roman" w:cs="Times New Roman"/>
          <w:sz w:val="22"/>
        </w:rPr>
        <w:t xml:space="preserve">) of No ABX (n = 6) and ABX (n = 10) mice at day 21 post drinking antibiotic water for up to 21 days. </w:t>
      </w:r>
    </w:p>
    <w:p w14:paraId="46471E35" w14:textId="4975E734" w:rsidR="00C27A19" w:rsidRPr="001E45C0" w:rsidRDefault="008B5CBA" w:rsidP="008B5CBA">
      <w:pPr>
        <w:widowControl/>
        <w:jc w:val="left"/>
        <w:rPr>
          <w:rFonts w:ascii="Times New Roman" w:hAnsi="Times New Roman" w:cs="Times New Roman"/>
          <w:sz w:val="22"/>
        </w:rPr>
      </w:pPr>
      <w:r w:rsidRPr="001E45C0">
        <w:rPr>
          <w:rFonts w:ascii="Times New Roman" w:hAnsi="Times New Roman" w:cs="Times New Roman"/>
          <w:sz w:val="22"/>
        </w:rPr>
        <w:br w:type="page"/>
      </w:r>
    </w:p>
    <w:p w14:paraId="74F07F28" w14:textId="54B16E03" w:rsidR="008B5CBA" w:rsidRPr="001E45C0" w:rsidRDefault="00613897" w:rsidP="00D62946">
      <w:pPr>
        <w:spacing w:line="480" w:lineRule="auto"/>
        <w:rPr>
          <w:rFonts w:ascii="Times New Roman" w:hAnsi="Times New Roman" w:cs="Times New Roman"/>
          <w:sz w:val="22"/>
        </w:rPr>
      </w:pPr>
      <w:r w:rsidRPr="001E45C0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15BF00C" wp14:editId="63900BB2">
            <wp:extent cx="5271442" cy="1745528"/>
            <wp:effectExtent l="0" t="0" r="5715" b="7620"/>
            <wp:docPr id="18518419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841906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442" cy="174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5C0">
        <w:rPr>
          <w:rFonts w:ascii="Times New Roman" w:hAnsi="Times New Roman" w:cs="Times New Roman"/>
          <w:sz w:val="22"/>
        </w:rPr>
        <w:t xml:space="preserve"> </w:t>
      </w:r>
      <w:r w:rsidR="0019638C" w:rsidRPr="001E45C0">
        <w:rPr>
          <w:rFonts w:ascii="Times New Roman" w:hAnsi="Times New Roman" w:cs="Times New Roman"/>
          <w:b/>
          <w:bCs/>
          <w:sz w:val="22"/>
        </w:rPr>
        <w:t xml:space="preserve">Fig S2. </w:t>
      </w:r>
      <w:r w:rsidR="0054426C" w:rsidRPr="001E45C0">
        <w:rPr>
          <w:rFonts w:ascii="Times New Roman" w:hAnsi="Times New Roman" w:cs="Times New Roman"/>
          <w:iCs/>
          <w:color w:val="000000" w:themeColor="text1"/>
          <w:sz w:val="22"/>
        </w:rPr>
        <w:t>The number of bacteria in feces and lungs</w:t>
      </w:r>
      <w:r w:rsidR="0019638C" w:rsidRPr="001E45C0">
        <w:rPr>
          <w:rFonts w:ascii="Times New Roman" w:hAnsi="Times New Roman" w:cs="Times New Roman"/>
          <w:sz w:val="22"/>
        </w:rPr>
        <w:t>.</w:t>
      </w:r>
      <w:r w:rsidR="0019638C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="0054426C" w:rsidRPr="001E45C0">
        <w:rPr>
          <w:rFonts w:ascii="Times New Roman" w:hAnsi="Times New Roman" w:cs="Times New Roman" w:hint="eastAsia"/>
          <w:color w:val="000000" w:themeColor="text1"/>
          <w:szCs w:val="21"/>
        </w:rPr>
        <w:t>Faeces</w:t>
      </w:r>
      <w:proofErr w:type="spellEnd"/>
      <w:r w:rsidR="0054426C" w:rsidRPr="001E45C0">
        <w:rPr>
          <w:rFonts w:ascii="Times New Roman" w:hAnsi="Times New Roman" w:cs="Times New Roman" w:hint="eastAsia"/>
          <w:color w:val="000000" w:themeColor="text1"/>
          <w:szCs w:val="21"/>
        </w:rPr>
        <w:t xml:space="preserve"> and lungs</w:t>
      </w:r>
      <w:r w:rsidR="0054426C" w:rsidRPr="001E45C0">
        <w:rPr>
          <w:rFonts w:ascii="Times New Roman" w:hAnsi="Times New Roman" w:cs="Times New Roman"/>
          <w:color w:val="000000" w:themeColor="text1"/>
          <w:szCs w:val="21"/>
        </w:rPr>
        <w:t xml:space="preserve"> bacteria enumerated in</w:t>
      </w:r>
      <w:r w:rsidR="0054426C" w:rsidRPr="001E45C0">
        <w:rPr>
          <w:rFonts w:ascii="Times New Roman" w:hAnsi="Times New Roman" w:cs="Times New Roman" w:hint="eastAsia"/>
          <w:color w:val="000000" w:themeColor="text1"/>
          <w:szCs w:val="21"/>
        </w:rPr>
        <w:t xml:space="preserve"> ABX mice, No ABX mice, ABX mice </w:t>
      </w:r>
      <w:r w:rsidR="0054426C" w:rsidRPr="001E45C0">
        <w:rPr>
          <w:rFonts w:ascii="Times New Roman" w:hAnsi="Times New Roman" w:cs="Times New Roman"/>
          <w:color w:val="000000" w:themeColor="text1"/>
          <w:sz w:val="24"/>
          <w:szCs w:val="24"/>
        </w:rPr>
        <w:t>transferr</w:t>
      </w:r>
      <w:r w:rsidR="0054426C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ed</w:t>
      </w:r>
      <w:r w:rsidR="0054426C" w:rsidRPr="001E45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intestinal contents orally</w:t>
      </w:r>
      <w:r w:rsidR="0054426C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="0054426C" w:rsidRPr="001E45C0">
        <w:rPr>
          <w:rFonts w:ascii="Times New Roman" w:hAnsi="Times New Roman" w:cs="Times New Roman" w:hint="eastAsia"/>
          <w:color w:val="000000" w:themeColor="text1"/>
          <w:szCs w:val="21"/>
        </w:rPr>
        <w:t xml:space="preserve">ABX mice </w:t>
      </w:r>
      <w:r w:rsidR="0054426C" w:rsidRPr="001E45C0">
        <w:rPr>
          <w:rFonts w:ascii="Times New Roman" w:hAnsi="Times New Roman" w:cs="Times New Roman"/>
          <w:color w:val="000000" w:themeColor="text1"/>
          <w:sz w:val="24"/>
          <w:szCs w:val="24"/>
        </w:rPr>
        <w:t>transferr</w:t>
      </w:r>
      <w:r w:rsidR="0054426C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ed </w:t>
      </w:r>
      <w:r w:rsidR="0054426C" w:rsidRPr="001E45C0">
        <w:rPr>
          <w:rFonts w:ascii="Times New Roman" w:hAnsi="Times New Roman" w:cs="Times New Roman"/>
          <w:color w:val="000000" w:themeColor="text1"/>
          <w:sz w:val="24"/>
          <w:szCs w:val="24"/>
        </w:rPr>
        <w:t>BALF contents intranasally</w:t>
      </w:r>
      <w:r w:rsidR="0054426C" w:rsidRPr="001E45C0">
        <w:rPr>
          <w:rFonts w:ascii="Times New Roman" w:hAnsi="Times New Roman" w:cs="Times New Roman"/>
          <w:color w:val="000000" w:themeColor="text1"/>
          <w:szCs w:val="21"/>
        </w:rPr>
        <w:t>, quantified using real-time polymerase chain reaction (RT-PCR).</w:t>
      </w:r>
      <w:r w:rsidR="0054426C" w:rsidRPr="001E45C0">
        <w:rPr>
          <w:rFonts w:ascii="Times New Roman" w:hAnsi="Times New Roman" w:cs="Times New Roman" w:hint="eastAsia"/>
          <w:sz w:val="22"/>
        </w:rPr>
        <w:t xml:space="preserve"> </w:t>
      </w:r>
    </w:p>
    <w:p w14:paraId="0BF47E96" w14:textId="4F45F286" w:rsidR="00613897" w:rsidRPr="001E45C0" w:rsidRDefault="008B5CBA" w:rsidP="008B5CBA">
      <w:pPr>
        <w:widowControl/>
        <w:jc w:val="left"/>
        <w:rPr>
          <w:rFonts w:ascii="Times New Roman" w:hAnsi="Times New Roman" w:cs="Times New Roman"/>
          <w:sz w:val="22"/>
        </w:rPr>
      </w:pPr>
      <w:r w:rsidRPr="001E45C0">
        <w:rPr>
          <w:rFonts w:ascii="Times New Roman" w:hAnsi="Times New Roman" w:cs="Times New Roman"/>
          <w:sz w:val="22"/>
        </w:rPr>
        <w:br w:type="page"/>
      </w:r>
    </w:p>
    <w:p w14:paraId="600CB5A1" w14:textId="32EE1187" w:rsidR="00613897" w:rsidRPr="001E45C0" w:rsidRDefault="00613897" w:rsidP="00D62946">
      <w:pPr>
        <w:spacing w:line="480" w:lineRule="auto"/>
        <w:rPr>
          <w:rFonts w:ascii="Times New Roman" w:hAnsi="Times New Roman" w:cs="Times New Roman"/>
          <w:sz w:val="22"/>
        </w:rPr>
      </w:pPr>
      <w:r w:rsidRPr="001E45C0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611EFCE6" wp14:editId="2464A14D">
            <wp:extent cx="5257800" cy="5249906"/>
            <wp:effectExtent l="0" t="0" r="0" b="8255"/>
            <wp:docPr id="6297818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81866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369" cy="525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9D0DF" w14:textId="49828A50" w:rsidR="00613897" w:rsidRPr="001E45C0" w:rsidRDefault="0019638C" w:rsidP="008B5CB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1E45C0">
        <w:rPr>
          <w:rFonts w:ascii="Times New Roman" w:hAnsi="Times New Roman" w:cs="Times New Roman"/>
          <w:b/>
          <w:bCs/>
          <w:sz w:val="22"/>
        </w:rPr>
        <w:t xml:space="preserve">Fig S3.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Lung commensal bacteria, </w:t>
      </w:r>
      <w:r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plantarum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L. murinus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mediated protection against </w:t>
      </w:r>
      <w:r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P. aeruginosa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S. aureus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did not depend on direct inhibition. </w:t>
      </w:r>
      <w:r w:rsidR="009C01F3" w:rsidRPr="001E45C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S. aureus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9C01F3" w:rsidRPr="001E45C0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 </w:t>
      </w:r>
      <w:r w:rsidR="009C01F3" w:rsidRPr="001E45C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aeruginosa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was grown in presence of fresh </w:t>
      </w:r>
      <w:r w:rsidR="00A211DE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MRS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medium or </w:t>
      </w:r>
      <w:r w:rsidR="009C01F3" w:rsidRPr="001E45C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L. plantarum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9C01F3" w:rsidRPr="001E45C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L. murinus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conditioned MRS medium, both at a dilution of 1:10 with </w:t>
      </w:r>
      <w:r w:rsidR="009C01F3" w:rsidRPr="001E45C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S. aureus</w:t>
      </w:r>
      <w:r w:rsidR="009C01F3" w:rsidRPr="001E45C0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 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or</w:t>
      </w:r>
      <w:r w:rsidR="009C01F3" w:rsidRPr="001E45C0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 </w:t>
      </w:r>
      <w:r w:rsidR="009C01F3" w:rsidRPr="001E45C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aeruginosa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93CC8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TS</w:t>
      </w:r>
      <w:r w:rsidR="0033210E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="00993CC8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media. </w:t>
      </w:r>
      <w:r w:rsidR="009C01F3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B. pumilus</w:t>
      </w:r>
      <w:r w:rsidR="009C01F3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 xml:space="preserve"> 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2"/>
        </w:rPr>
        <w:t>was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grown in presence of fresh</w:t>
      </w:r>
      <w:r w:rsidR="009C01F3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TSA 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medium</w:t>
      </w:r>
      <w:r w:rsidR="009C01F3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and </w:t>
      </w:r>
      <w:r w:rsidR="009C01F3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S. </w:t>
      </w:r>
      <w:proofErr w:type="spellStart"/>
      <w:r w:rsidR="009C01F3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pneurmoniae</w:t>
      </w:r>
      <w:proofErr w:type="spellEnd"/>
      <w:r w:rsidR="009C01F3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was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grown in presence of fresh</w:t>
      </w:r>
      <w:r w:rsidR="009C01F3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TSB 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medium</w:t>
      </w:r>
      <w:r w:rsidR="009C01F3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as controls.</w:t>
      </w:r>
      <w:r w:rsidR="009C01F3" w:rsidRPr="001E45C0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</w:t>
      </w:r>
      <w:r w:rsidRPr="001E45C0">
        <w:rPr>
          <w:rFonts w:ascii="Times New Roman" w:hAnsi="Times New Roman" w:cs="Times New Roman"/>
          <w:b/>
          <w:bCs/>
          <w:color w:val="000000" w:themeColor="text1"/>
          <w:sz w:val="22"/>
        </w:rPr>
        <w:t>A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P. aeruginosa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cultures were grown in presence of fresh or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B. pumilus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or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plantarum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or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murinus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conditioned media. Culture growth was followed hourly by optical density at 600 nm (OD600) for 12 h. </w:t>
      </w:r>
      <w:r w:rsidR="0064798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We quantified the viable counts of </w:t>
      </w:r>
      <w:r w:rsidR="0064798A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P. aeruginosa</w:t>
      </w:r>
      <w:r w:rsidR="0064798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at 3 and 12 hours of co-culture, respectively. </w:t>
      </w:r>
      <w:r w:rsidR="00EE0A3E" w:rsidRPr="001E45C0">
        <w:rPr>
          <w:rFonts w:ascii="Times New Roman" w:hAnsi="Times New Roman" w:cs="Times New Roman"/>
          <w:b/>
          <w:bCs/>
          <w:color w:val="000000" w:themeColor="text1"/>
          <w:sz w:val="22"/>
        </w:rPr>
        <w:t>B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S. aureus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cultures were grown 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in presence of fresh or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B. pumilus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or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plantarum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or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murinus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conditioned media. Culture growth was followed hourly by optical density at 600 nm (OD600) for 12 h.</w:t>
      </w:r>
      <w:r w:rsidR="0064798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We quantified the viable counts of </w:t>
      </w:r>
      <w:r w:rsidR="0064798A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S. aureus</w:t>
      </w:r>
      <w:r w:rsidR="0064798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at 3 and 12 hours of co-culture, respectively.</w:t>
      </w:r>
      <w:r w:rsidR="00017773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Pooled data from two independent experiments are given as mean ± SD. </w:t>
      </w:r>
      <w:r w:rsidR="00EE0A3E" w:rsidRPr="001E45C0">
        <w:rPr>
          <w:rFonts w:ascii="Times New Roman" w:hAnsi="Times New Roman" w:cs="Times New Roman"/>
          <w:b/>
          <w:bCs/>
          <w:color w:val="000000" w:themeColor="text1"/>
          <w:sz w:val="22"/>
        </w:rPr>
        <w:t>C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S. </w:t>
      </w:r>
      <w:proofErr w:type="spellStart"/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pneurmoniae</w:t>
      </w:r>
      <w:proofErr w:type="spellEnd"/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cultures were grown in presence of fresh or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B. pumilus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or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plantarum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or </w:t>
      </w:r>
      <w:r w:rsidR="00EE0A3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murinus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 xml:space="preserve"> conditioned media. Culture growth was followed hourly by optical density at 600 nm (OD600) for 12 h.</w:t>
      </w:r>
      <w:r w:rsidR="00017773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4798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We quantified the viable counts of </w:t>
      </w:r>
      <w:r w:rsidR="0064798A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 xml:space="preserve">S. </w:t>
      </w:r>
      <w:proofErr w:type="spellStart"/>
      <w:r w:rsidR="0064798A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pneurmoniae</w:t>
      </w:r>
      <w:proofErr w:type="spellEnd"/>
      <w:r w:rsidR="0064798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at 3 and 12 hours of co-culture, respectively. </w:t>
      </w:r>
      <w:r w:rsidR="00EE0A3E" w:rsidRPr="001E45C0">
        <w:rPr>
          <w:rFonts w:ascii="Times New Roman" w:hAnsi="Times New Roman" w:cs="Times New Roman"/>
          <w:color w:val="000000" w:themeColor="text1"/>
          <w:sz w:val="22"/>
        </w:rPr>
        <w:t>Pooled data from two independent experiments are given as mean ± SD.</w:t>
      </w:r>
      <w:r w:rsidR="000854C7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0854C7" w:rsidRPr="001E45C0">
        <w:rPr>
          <w:rFonts w:ascii="Times New Roman" w:hAnsi="Times New Roman" w:cs="Times New Roman"/>
          <w:sz w:val="22"/>
        </w:rPr>
        <w:t>Data are presented as means ± SEM. Significant differences were calculated with One-way ANOVA followed by Tukey’s multiple comparisons test. ns, not significant, *p &lt; 0.0</w:t>
      </w:r>
      <w:r w:rsidR="000854C7" w:rsidRPr="001E45C0">
        <w:rPr>
          <w:rFonts w:ascii="Times New Roman" w:hAnsi="Times New Roman" w:cs="Times New Roman" w:hint="eastAsia"/>
          <w:sz w:val="22"/>
        </w:rPr>
        <w:t>5</w:t>
      </w:r>
      <w:r w:rsidR="000854C7" w:rsidRPr="001E45C0">
        <w:rPr>
          <w:rFonts w:ascii="Times New Roman" w:hAnsi="Times New Roman" w:cs="Times New Roman"/>
          <w:sz w:val="22"/>
        </w:rPr>
        <w:t>,</w:t>
      </w:r>
      <w:r w:rsidR="000854C7" w:rsidRPr="001E45C0">
        <w:rPr>
          <w:rFonts w:ascii="Times New Roman" w:hAnsi="Times New Roman" w:cs="Times New Roman" w:hint="eastAsia"/>
          <w:sz w:val="22"/>
        </w:rPr>
        <w:t xml:space="preserve"> </w:t>
      </w:r>
      <w:r w:rsidR="000854C7" w:rsidRPr="001E45C0">
        <w:rPr>
          <w:rFonts w:ascii="Times New Roman" w:hAnsi="Times New Roman" w:cs="Times New Roman"/>
          <w:sz w:val="22"/>
        </w:rPr>
        <w:t>**p &lt; 0.01, ***p &lt; 0.001.</w:t>
      </w:r>
    </w:p>
    <w:p w14:paraId="0015EA5F" w14:textId="77777777" w:rsidR="000854C7" w:rsidRPr="001E45C0" w:rsidRDefault="008D1BD2" w:rsidP="00D62946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1E45C0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1BA2E901" wp14:editId="2D3AD77D">
            <wp:extent cx="4767298" cy="8724900"/>
            <wp:effectExtent l="0" t="0" r="0" b="0"/>
            <wp:docPr id="17389078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07856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774" cy="875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5C0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5231CB50" w14:textId="6521D245" w:rsidR="008B5CBA" w:rsidRPr="001E45C0" w:rsidRDefault="008D1BD2" w:rsidP="00D62946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1E45C0">
        <w:rPr>
          <w:rFonts w:ascii="Times New Roman" w:hAnsi="Times New Roman" w:cs="Times New Roman"/>
          <w:b/>
          <w:bCs/>
          <w:sz w:val="22"/>
        </w:rPr>
        <w:lastRenderedPageBreak/>
        <w:t xml:space="preserve">Fig S4.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Lung commensal bacteria, </w:t>
      </w:r>
      <w:r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plantarum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L. murinus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mediated protection against </w:t>
      </w:r>
      <w:r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P. aeruginosa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S. aureus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may be relate to IL-17 signal pathway. </w:t>
      </w:r>
      <w:r w:rsidRPr="001E45C0">
        <w:rPr>
          <w:rFonts w:ascii="Times New Roman" w:hAnsi="Times New Roman" w:cs="Times New Roman"/>
          <w:b/>
          <w:bCs/>
          <w:color w:val="000000" w:themeColor="text1"/>
          <w:sz w:val="22"/>
        </w:rPr>
        <w:t>A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PCA analysis and KEGG pathway analysis for the lungs of No ABX, ABX, ABX </w:t>
      </w:r>
      <w:r w:rsidR="000854C7" w:rsidRPr="001E45C0">
        <w:rPr>
          <w:rFonts w:ascii="Times New Roman" w:hAnsi="Times New Roman" w:cs="Times New Roman" w:hint="eastAsia"/>
          <w:color w:val="000000" w:themeColor="text1"/>
          <w:sz w:val="22"/>
        </w:rPr>
        <w:t>exposed to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D46C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plantarum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and ABX </w:t>
      </w:r>
      <w:r w:rsidR="000854C7" w:rsidRPr="001E45C0">
        <w:rPr>
          <w:rFonts w:ascii="Times New Roman" w:hAnsi="Times New Roman" w:cs="Times New Roman" w:hint="eastAsia"/>
          <w:color w:val="000000" w:themeColor="text1"/>
          <w:sz w:val="22"/>
        </w:rPr>
        <w:t>exposed to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D46C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murinus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mice post </w:t>
      </w:r>
      <w:r w:rsidR="007D46C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S. aureus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infection (n=3). </w:t>
      </w:r>
      <w:r w:rsidR="007D46CE" w:rsidRPr="001E45C0">
        <w:rPr>
          <w:rFonts w:ascii="Times New Roman" w:hAnsi="Times New Roman" w:cs="Times New Roman"/>
          <w:b/>
          <w:bCs/>
          <w:color w:val="000000" w:themeColor="text1"/>
          <w:sz w:val="22"/>
        </w:rPr>
        <w:t>B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PCA analysis and KEGG pathway analysis for the lungs of No ABX, ABX, ABX </w:t>
      </w:r>
      <w:r w:rsidR="000854C7" w:rsidRPr="001E45C0">
        <w:rPr>
          <w:rFonts w:ascii="Times New Roman" w:hAnsi="Times New Roman" w:cs="Times New Roman" w:hint="eastAsia"/>
          <w:color w:val="000000" w:themeColor="text1"/>
          <w:sz w:val="22"/>
        </w:rPr>
        <w:t>exposed to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D46C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plantarum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and ABX </w:t>
      </w:r>
      <w:r w:rsidR="000854C7" w:rsidRPr="001E45C0">
        <w:rPr>
          <w:rFonts w:ascii="Times New Roman" w:hAnsi="Times New Roman" w:cs="Times New Roman" w:hint="eastAsia"/>
          <w:color w:val="000000" w:themeColor="text1"/>
          <w:sz w:val="22"/>
        </w:rPr>
        <w:t>exposed to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D46C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murinus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mice post </w:t>
      </w:r>
      <w:r w:rsidR="007D46CE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P. aeruginosa</w:t>
      </w:r>
      <w:r w:rsidR="007D46CE" w:rsidRPr="001E45C0">
        <w:rPr>
          <w:rFonts w:ascii="Times New Roman" w:hAnsi="Times New Roman" w:cs="Times New Roman"/>
          <w:color w:val="000000" w:themeColor="text1"/>
          <w:sz w:val="22"/>
        </w:rPr>
        <w:t xml:space="preserve"> infection (n=3).  </w:t>
      </w:r>
    </w:p>
    <w:p w14:paraId="220ECDAB" w14:textId="1ADFC084" w:rsidR="003A66A1" w:rsidRPr="001E45C0" w:rsidRDefault="008B5CBA" w:rsidP="008B5CBA">
      <w:pPr>
        <w:widowControl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1E45C0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4A8A94BB" w14:textId="6047048D" w:rsidR="008B5CBA" w:rsidRPr="001E45C0" w:rsidRDefault="004809CC" w:rsidP="00D62946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1E45C0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22C774A3" wp14:editId="62121A2A">
            <wp:extent cx="5285116" cy="5830927"/>
            <wp:effectExtent l="0" t="0" r="0" b="0"/>
            <wp:docPr id="17174724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72462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16" cy="583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63CB" w:rsidRPr="001E45C0">
        <w:rPr>
          <w:rFonts w:ascii="Times New Roman" w:hAnsi="Times New Roman" w:cs="Times New Roman"/>
          <w:b/>
          <w:bCs/>
          <w:sz w:val="22"/>
        </w:rPr>
        <w:t xml:space="preserve"> Fig S5. </w:t>
      </w:r>
      <w:bookmarkStart w:id="8" w:name="_Hlk162601467"/>
      <w:r w:rsidR="00301E6A" w:rsidRPr="001E45C0">
        <w:rPr>
          <w:rFonts w:ascii="Times New Roman" w:hAnsi="Times New Roman" w:cs="Times New Roman"/>
          <w:bCs/>
          <w:sz w:val="22"/>
        </w:rPr>
        <w:t>Lung commensal bacteria promote IL-17A dependent mucosal defenses.</w:t>
      </w:r>
      <w:bookmarkEnd w:id="8"/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70D8D" w:rsidRPr="001E45C0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A</w:t>
      </w:r>
      <w:r w:rsidR="00E70D8D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E63CB" w:rsidRPr="001E45C0">
        <w:rPr>
          <w:rFonts w:ascii="Times New Roman" w:hAnsi="Times New Roman" w:cs="Times New Roman"/>
          <w:color w:val="000000" w:themeColor="text1"/>
          <w:sz w:val="22"/>
        </w:rPr>
        <w:t xml:space="preserve">The levels of IL-17F and IFN-γ in the lung of ABX, No ABX, ABX mice </w:t>
      </w:r>
      <w:r w:rsidR="000854C7" w:rsidRPr="001E45C0">
        <w:rPr>
          <w:rFonts w:ascii="Times New Roman" w:hAnsi="Times New Roman" w:cs="Times New Roman" w:hint="eastAsia"/>
          <w:color w:val="000000" w:themeColor="text1"/>
          <w:sz w:val="22"/>
        </w:rPr>
        <w:t>exposed to</w:t>
      </w:r>
      <w:r w:rsidR="00AE63CB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L. plantarum</w:t>
      </w:r>
      <w:r w:rsidR="00AE63CB" w:rsidRPr="001E45C0">
        <w:rPr>
          <w:rFonts w:ascii="Times New Roman" w:hAnsi="Times New Roman" w:cs="Times New Roman"/>
          <w:color w:val="000000" w:themeColor="text1"/>
          <w:sz w:val="22"/>
        </w:rPr>
        <w:t xml:space="preserve"> and ABX </w:t>
      </w:r>
      <w:r w:rsidR="000854C7" w:rsidRPr="001E45C0">
        <w:rPr>
          <w:rFonts w:ascii="Times New Roman" w:hAnsi="Times New Roman" w:cs="Times New Roman" w:hint="eastAsia"/>
          <w:color w:val="000000" w:themeColor="text1"/>
          <w:sz w:val="22"/>
        </w:rPr>
        <w:t>exposed to</w:t>
      </w:r>
      <w:r w:rsidR="00AE63CB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L. murinus</w:t>
      </w:r>
      <w:r w:rsidR="00AE63CB" w:rsidRPr="001E45C0">
        <w:rPr>
          <w:rFonts w:ascii="Times New Roman" w:hAnsi="Times New Roman" w:cs="Times New Roman"/>
          <w:color w:val="000000" w:themeColor="text1"/>
          <w:sz w:val="22"/>
        </w:rPr>
        <w:t xml:space="preserve"> mice prior or post </w:t>
      </w:r>
      <w:r w:rsidR="00AE63CB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S. aureus</w:t>
      </w:r>
      <w:r w:rsidR="00AE63CB" w:rsidRPr="001E45C0">
        <w:rPr>
          <w:rFonts w:ascii="Times New Roman" w:hAnsi="Times New Roman" w:cs="Times New Roman"/>
          <w:color w:val="000000" w:themeColor="text1"/>
          <w:sz w:val="22"/>
        </w:rPr>
        <w:t xml:space="preserve"> or </w:t>
      </w:r>
      <w:r w:rsidR="00AE63CB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P. aeruginosa</w:t>
      </w:r>
      <w:r w:rsidR="00AE63CB" w:rsidRPr="001E45C0">
        <w:rPr>
          <w:rFonts w:ascii="Times New Roman" w:hAnsi="Times New Roman" w:cs="Times New Roman"/>
          <w:color w:val="000000" w:themeColor="text1"/>
          <w:sz w:val="22"/>
        </w:rPr>
        <w:t xml:space="preserve"> infection (n=3-5). </w:t>
      </w:r>
      <w:r w:rsidR="00CF4CB5" w:rsidRPr="001E45C0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B</w:t>
      </w:r>
      <w:r w:rsidR="00AE63CB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The levels of IL-17A, 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IL-17F, IFN-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γ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,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CXCL1, CXCL2, IL-1β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and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IL-23 in the 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spleens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of ABX, No ABX, ABX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0854C7" w:rsidRPr="001E45C0">
        <w:rPr>
          <w:rFonts w:ascii="Times New Roman" w:hAnsi="Times New Roman" w:cs="Times New Roman" w:hint="eastAsia"/>
          <w:color w:val="000000" w:themeColor="text1"/>
          <w:sz w:val="22"/>
        </w:rPr>
        <w:t>exposed to</w:t>
      </w:r>
      <w:r w:rsidR="00301E6A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L. plantarum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and ABX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0854C7" w:rsidRPr="001E45C0">
        <w:rPr>
          <w:rFonts w:ascii="Times New Roman" w:hAnsi="Times New Roman" w:cs="Times New Roman" w:hint="eastAsia"/>
          <w:color w:val="000000" w:themeColor="text1"/>
          <w:sz w:val="22"/>
        </w:rPr>
        <w:t>exposed to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01E6A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murinus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mice prior or post </w:t>
      </w:r>
      <w:r w:rsidR="00301E6A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S. aureus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or </w:t>
      </w:r>
      <w:r w:rsidR="00301E6A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P. aeruginosa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infection.</w:t>
      </w:r>
    </w:p>
    <w:p w14:paraId="56962EB9" w14:textId="2F71BD7F" w:rsidR="003A66A1" w:rsidRPr="001E45C0" w:rsidRDefault="008B5CBA" w:rsidP="008B5CBA">
      <w:pPr>
        <w:widowControl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1E45C0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7E59A86C" w14:textId="22485F7A" w:rsidR="0097679A" w:rsidRPr="001E45C0" w:rsidRDefault="0097679A" w:rsidP="0097679A">
      <w:pPr>
        <w:widowControl/>
        <w:jc w:val="left"/>
        <w:rPr>
          <w:rFonts w:ascii="Times New Roman" w:hAnsi="Times New Roman" w:cs="Times New Roman"/>
          <w:noProof/>
          <w:sz w:val="22"/>
        </w:rPr>
      </w:pPr>
      <w:r w:rsidRPr="001E45C0">
        <w:rPr>
          <w:noProof/>
        </w:rPr>
        <w:lastRenderedPageBreak/>
        <w:drawing>
          <wp:inline distT="0" distB="0" distL="0" distR="0" wp14:anchorId="31E6DE8D" wp14:editId="62E3F818">
            <wp:extent cx="5274310" cy="6207760"/>
            <wp:effectExtent l="0" t="0" r="2540" b="2540"/>
            <wp:docPr id="18620008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0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81A3" w14:textId="362C7728" w:rsidR="0097679A" w:rsidRPr="001E45C0" w:rsidRDefault="0097679A" w:rsidP="0097679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1E45C0">
        <w:rPr>
          <w:rFonts w:ascii="Times New Roman" w:hAnsi="Times New Roman" w:cs="Times New Roman"/>
          <w:b/>
          <w:bCs/>
          <w:sz w:val="22"/>
        </w:rPr>
        <w:t>Fig S</w:t>
      </w:r>
      <w:r w:rsidRPr="001E45C0">
        <w:rPr>
          <w:rFonts w:ascii="Times New Roman" w:hAnsi="Times New Roman" w:cs="Times New Roman" w:hint="eastAsia"/>
          <w:b/>
          <w:bCs/>
          <w:sz w:val="22"/>
        </w:rPr>
        <w:t>6</w:t>
      </w:r>
      <w:r w:rsidRPr="001E45C0">
        <w:rPr>
          <w:rFonts w:ascii="Times New Roman" w:hAnsi="Times New Roman" w:cs="Times New Roman"/>
          <w:b/>
          <w:bCs/>
          <w:sz w:val="22"/>
        </w:rPr>
        <w:t xml:space="preserve">. </w:t>
      </w:r>
      <w:r w:rsidRPr="001E45C0">
        <w:rPr>
          <w:rFonts w:ascii="Times New Roman" w:hAnsi="Times New Roman" w:cs="Times New Roman"/>
          <w:bCs/>
          <w:color w:val="000000" w:themeColor="text1"/>
          <w:szCs w:val="21"/>
        </w:rPr>
        <w:t>Lung commensals regulated V</w:t>
      </w:r>
      <w:r w:rsidRPr="001E45C0">
        <w:rPr>
          <w:rFonts w:ascii="Times New Roman" w:hAnsi="Times New Roman" w:cs="Times New Roman"/>
          <w:color w:val="000000" w:themeColor="text1"/>
          <w:szCs w:val="21"/>
        </w:rPr>
        <w:t>γ4</w:t>
      </w:r>
      <w:r w:rsidRPr="001E45C0">
        <w:rPr>
          <w:rFonts w:ascii="Times New Roman" w:hAnsi="Times New Roman" w:cs="Times New Roman"/>
          <w:color w:val="000000" w:themeColor="text1"/>
          <w:szCs w:val="21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1E45C0">
        <w:rPr>
          <w:rFonts w:ascii="Times New Roman" w:hAnsi="Times New Roman" w:cs="Times New Roman"/>
          <w:color w:val="000000" w:themeColor="text1"/>
          <w:szCs w:val="21"/>
        </w:rPr>
        <w:t>γδ</w:t>
      </w:r>
      <w:proofErr w:type="spellEnd"/>
      <w:r w:rsidRPr="001E45C0">
        <w:rPr>
          <w:rFonts w:ascii="Times New Roman" w:hAnsi="Times New Roman" w:cs="Times New Roman"/>
          <w:color w:val="000000" w:themeColor="text1"/>
          <w:szCs w:val="21"/>
        </w:rPr>
        <w:t xml:space="preserve"> T cells</w:t>
      </w:r>
      <w:r w:rsidRPr="001E45C0">
        <w:rPr>
          <w:rFonts w:ascii="Times New Roman" w:hAnsi="Times New Roman" w:cs="Times New Roman"/>
          <w:bCs/>
          <w:color w:val="000000" w:themeColor="text1"/>
          <w:szCs w:val="21"/>
        </w:rPr>
        <w:t xml:space="preserve"> secreting IL-17A against infections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Pr="001E45C0">
        <w:rPr>
          <w:rFonts w:ascii="Times New Roman" w:hAnsi="Times New Roman" w:cs="Times New Roman"/>
          <w:b/>
          <w:bCs/>
          <w:color w:val="000000" w:themeColor="text1"/>
          <w:sz w:val="22"/>
        </w:rPr>
        <w:t>A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Representative gating strategy for neutrophils (CD45</w:t>
      </w:r>
      <w:r w:rsidRPr="001E45C0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CD11b</w:t>
      </w:r>
      <w:r w:rsidRPr="001E45C0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Gr-1</w:t>
      </w:r>
      <w:r w:rsidRPr="001E45C0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)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. (B) Representative gating strategy for Th17 cells (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CD45</w:t>
      </w:r>
      <w:r w:rsidRPr="001E45C0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 xml:space="preserve">+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CD4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IL-17A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), </w:t>
      </w:r>
      <w:proofErr w:type="spellStart"/>
      <w:r w:rsidRPr="001E45C0">
        <w:rPr>
          <w:rFonts w:ascii="Times New Roman" w:hAnsi="Times New Roman" w:cs="Times New Roman"/>
          <w:color w:val="000000" w:themeColor="text1"/>
          <w:sz w:val="22"/>
        </w:rPr>
        <w:t>γδ</w:t>
      </w:r>
      <w:proofErr w:type="spellEnd"/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17 T cells (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CD45</w:t>
      </w:r>
      <w:r w:rsidRPr="001E45C0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 xml:space="preserve">+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TCR γ/δ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IL-17A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), 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v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γ2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1E45C0">
        <w:rPr>
          <w:rFonts w:ascii="Times New Roman" w:hAnsi="Times New Roman" w:cs="Times New Roman"/>
          <w:color w:val="000000" w:themeColor="text1"/>
          <w:sz w:val="22"/>
        </w:rPr>
        <w:t>γδ</w:t>
      </w:r>
      <w:proofErr w:type="spellEnd"/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17 T cells (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CD45</w:t>
      </w:r>
      <w:r w:rsidRPr="001E45C0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 xml:space="preserve">+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TCR γ/δ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Vγ2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IL-17A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) and Vγ4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1E45C0">
        <w:rPr>
          <w:rFonts w:ascii="Times New Roman" w:hAnsi="Times New Roman" w:cs="Times New Roman"/>
          <w:color w:val="000000" w:themeColor="text1"/>
          <w:sz w:val="22"/>
        </w:rPr>
        <w:t>γδ</w:t>
      </w:r>
      <w:proofErr w:type="spellEnd"/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17 T cells (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CD45</w:t>
      </w:r>
      <w:r w:rsidRPr="001E45C0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 xml:space="preserve">+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TCR γ/δ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v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γ4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IL-17A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). (C) Representative gating strategy for IL-17A-NKT cells (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CD45</w:t>
      </w:r>
      <w:r w:rsidRPr="001E45C0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 xml:space="preserve">+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NK1.1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IL-17A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) and IL-17A-ILC3 cells (</w:t>
      </w:r>
      <w:r w:rsidRPr="001E45C0">
        <w:rPr>
          <w:rFonts w:ascii="Times New Roman" w:hAnsi="Times New Roman" w:cs="Times New Roman" w:hint="eastAsia"/>
          <w:color w:val="000000" w:themeColor="text1"/>
          <w:sz w:val="22"/>
        </w:rPr>
        <w:t>CD45</w:t>
      </w:r>
      <w:r w:rsidRPr="001E45C0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 xml:space="preserve">+ 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NKp64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CD117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 xml:space="preserve"> IL-17A</w:t>
      </w:r>
      <w:r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Pr="001E45C0">
        <w:rPr>
          <w:rFonts w:ascii="Times New Roman" w:hAnsi="Times New Roman" w:cs="Times New Roman"/>
          <w:color w:val="000000" w:themeColor="text1"/>
          <w:sz w:val="22"/>
        </w:rPr>
        <w:t>).</w:t>
      </w:r>
    </w:p>
    <w:p w14:paraId="4424B45C" w14:textId="15881C1A" w:rsidR="00E70D8D" w:rsidRPr="00CF4CB5" w:rsidRDefault="00613897" w:rsidP="00CF4CB5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1E45C0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52C4E144" wp14:editId="21AADCFA">
            <wp:extent cx="5238150" cy="1675550"/>
            <wp:effectExtent l="0" t="0" r="635" b="1270"/>
            <wp:docPr id="15553373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37310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50" cy="16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45C0">
        <w:rPr>
          <w:rFonts w:ascii="Times New Roman" w:hAnsi="Times New Roman" w:cs="Times New Roman"/>
          <w:sz w:val="22"/>
        </w:rPr>
        <w:t xml:space="preserve"> </w:t>
      </w:r>
      <w:bookmarkStart w:id="9" w:name="OLE_LINK1"/>
      <w:r w:rsidR="001E78B5" w:rsidRPr="001E45C0">
        <w:rPr>
          <w:rFonts w:ascii="Times New Roman" w:hAnsi="Times New Roman" w:cs="Times New Roman"/>
          <w:b/>
          <w:bCs/>
          <w:sz w:val="22"/>
        </w:rPr>
        <w:t>Fig S</w:t>
      </w:r>
      <w:r w:rsidR="0097679A" w:rsidRPr="001E45C0">
        <w:rPr>
          <w:rFonts w:ascii="Times New Roman" w:hAnsi="Times New Roman" w:cs="Times New Roman" w:hint="eastAsia"/>
          <w:b/>
          <w:bCs/>
          <w:sz w:val="22"/>
        </w:rPr>
        <w:t>7</w:t>
      </w:r>
      <w:r w:rsidR="001E78B5" w:rsidRPr="001E45C0">
        <w:rPr>
          <w:rFonts w:ascii="Times New Roman" w:hAnsi="Times New Roman" w:cs="Times New Roman"/>
          <w:b/>
          <w:bCs/>
          <w:sz w:val="22"/>
        </w:rPr>
        <w:t xml:space="preserve">. 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L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ong-term antibiotic exposure alters the repertoire of IL-17A–producing Vγ4</w:t>
      </w:r>
      <w:r w:rsidR="00301E6A" w:rsidRPr="001E45C0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γδ T cells in the lung of mice</w:t>
      </w:r>
      <w:r w:rsidR="001E78B5" w:rsidRPr="001E45C0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1E78B5" w:rsidRPr="001E45C0">
        <w:rPr>
          <w:rFonts w:ascii="Times New Roman" w:hAnsi="Times New Roman" w:cs="Times New Roman"/>
          <w:b/>
          <w:bCs/>
          <w:color w:val="000000" w:themeColor="text1"/>
          <w:sz w:val="22"/>
        </w:rPr>
        <w:t>A</w:t>
      </w:r>
      <w:r w:rsidR="001E78B5" w:rsidRPr="001E45C0">
        <w:rPr>
          <w:rFonts w:ascii="Times New Roman" w:hAnsi="Times New Roman" w:cs="Times New Roman"/>
          <w:color w:val="000000" w:themeColor="text1"/>
          <w:sz w:val="22"/>
        </w:rPr>
        <w:t xml:space="preserve"> The levels of IL-17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A in lungs of No ABX (WT), ABX</w:t>
      </w:r>
      <w:r w:rsidR="00F66265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F66265" w:rsidRPr="001E45C0">
        <w:rPr>
          <w:rFonts w:ascii="Times New Roman" w:hAnsi="Times New Roman" w:cs="Times New Roman"/>
          <w:color w:val="000000" w:themeColor="text1"/>
          <w:sz w:val="22"/>
        </w:rPr>
        <w:t xml:space="preserve">(TCR </w:t>
      </w:r>
      <w:proofErr w:type="spellStart"/>
      <w:r w:rsidR="00F66265" w:rsidRPr="001E45C0">
        <w:rPr>
          <w:rFonts w:ascii="Times New Roman" w:hAnsi="Times New Roman" w:cs="Times New Roman"/>
          <w:color w:val="000000" w:themeColor="text1"/>
          <w:sz w:val="22"/>
        </w:rPr>
        <w:t>δ</w:t>
      </w:r>
      <w:r w:rsidR="00F66265" w:rsidRPr="001E45C0">
        <w:rPr>
          <w:rFonts w:ascii="Times New Roman" w:hAnsi="Times New Roman" w:cs="Times New Roman" w:hint="eastAsia"/>
          <w:color w:val="000000" w:themeColor="text1"/>
          <w:sz w:val="22"/>
        </w:rPr>
        <w:t>KO</w:t>
      </w:r>
      <w:proofErr w:type="spellEnd"/>
      <w:r w:rsidR="00F66265" w:rsidRPr="001E45C0">
        <w:rPr>
          <w:rFonts w:ascii="Times New Roman" w:hAnsi="Times New Roman" w:cs="Times New Roman"/>
          <w:color w:val="000000" w:themeColor="text1"/>
          <w:sz w:val="22"/>
        </w:rPr>
        <w:t>)</w:t>
      </w:r>
      <w:r w:rsidR="00F66265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+</w:t>
      </w:r>
      <w:r w:rsidR="00301E6A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plantarum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, ABX</w:t>
      </w:r>
      <w:r w:rsidR="00F66265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F66265" w:rsidRPr="001E45C0">
        <w:rPr>
          <w:rFonts w:ascii="Times New Roman" w:hAnsi="Times New Roman" w:cs="Times New Roman"/>
          <w:color w:val="000000" w:themeColor="text1"/>
          <w:sz w:val="22"/>
        </w:rPr>
        <w:t xml:space="preserve">(TCR </w:t>
      </w:r>
      <w:proofErr w:type="spellStart"/>
      <w:r w:rsidR="00F66265" w:rsidRPr="001E45C0">
        <w:rPr>
          <w:rFonts w:ascii="Times New Roman" w:hAnsi="Times New Roman" w:cs="Times New Roman"/>
          <w:color w:val="000000" w:themeColor="text1"/>
          <w:sz w:val="22"/>
        </w:rPr>
        <w:t>δ</w:t>
      </w:r>
      <w:r w:rsidR="00F66265" w:rsidRPr="001E45C0">
        <w:rPr>
          <w:rFonts w:ascii="Times New Roman" w:hAnsi="Times New Roman" w:cs="Times New Roman" w:hint="eastAsia"/>
          <w:color w:val="000000" w:themeColor="text1"/>
          <w:sz w:val="22"/>
        </w:rPr>
        <w:t>KO</w:t>
      </w:r>
      <w:proofErr w:type="spellEnd"/>
      <w:r w:rsidR="00F66265" w:rsidRPr="001E45C0">
        <w:rPr>
          <w:rFonts w:ascii="Times New Roman" w:hAnsi="Times New Roman" w:cs="Times New Roman"/>
          <w:color w:val="000000" w:themeColor="text1"/>
          <w:sz w:val="22"/>
        </w:rPr>
        <w:t>)</w:t>
      </w:r>
      <w:r w:rsidR="00F66265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+</w:t>
      </w:r>
      <w:r w:rsidR="00301E6A" w:rsidRPr="001E45C0">
        <w:rPr>
          <w:rFonts w:ascii="Times New Roman" w:hAnsi="Times New Roman" w:cs="Times New Roman"/>
          <w:i/>
          <w:iCs/>
          <w:color w:val="000000" w:themeColor="text1"/>
          <w:sz w:val="22"/>
        </w:rPr>
        <w:t>L. murinus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F66265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and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ABX (</w:t>
      </w:r>
      <w:r w:rsidR="00F66265" w:rsidRPr="001E45C0">
        <w:rPr>
          <w:rFonts w:ascii="Times New Roman" w:hAnsi="Times New Roman" w:cs="Times New Roman"/>
          <w:color w:val="000000" w:themeColor="text1"/>
          <w:sz w:val="22"/>
        </w:rPr>
        <w:t xml:space="preserve">TCR </w:t>
      </w:r>
      <w:proofErr w:type="spellStart"/>
      <w:r w:rsidR="00F66265" w:rsidRPr="001E45C0">
        <w:rPr>
          <w:rFonts w:ascii="Times New Roman" w:hAnsi="Times New Roman" w:cs="Times New Roman"/>
          <w:color w:val="000000" w:themeColor="text1"/>
          <w:sz w:val="22"/>
        </w:rPr>
        <w:t>δ</w:t>
      </w:r>
      <w:r w:rsidR="00F66265" w:rsidRPr="001E45C0">
        <w:rPr>
          <w:rFonts w:ascii="Times New Roman" w:hAnsi="Times New Roman" w:cs="Times New Roman" w:hint="eastAsia"/>
          <w:color w:val="000000" w:themeColor="text1"/>
          <w:sz w:val="22"/>
        </w:rPr>
        <w:t>KO</w:t>
      </w:r>
      <w:proofErr w:type="spellEnd"/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) mice before or </w:t>
      </w:r>
      <w:r w:rsidR="008B5CB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at 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12 h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post infection (n=5-6). </w:t>
      </w:r>
      <w:r w:rsidR="00E70D8D" w:rsidRPr="001E45C0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B</w:t>
      </w:r>
      <w:r w:rsidR="001E78B5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The levels of IL-17A in lungs of No AB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X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, Vγ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4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neutralization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(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No AB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X),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Vγ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2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neutralization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(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No AB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X), ABX,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Vγ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2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neutralization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(ABX+</w:t>
      </w:r>
      <w:r w:rsidR="00301E6A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L. plantarum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),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Vγ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2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neutralization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(ABX+</w:t>
      </w:r>
      <w:r w:rsidR="00301E6A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L. murinus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), V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γ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4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neutralization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(ABX+</w:t>
      </w:r>
      <w:r w:rsidR="00301E6A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L. plantarum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), 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Vγ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4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neutralization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(ABX+</w:t>
      </w:r>
      <w:r w:rsidR="00301E6A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L. murinus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>)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mice before or </w:t>
      </w:r>
      <w:r w:rsidR="00F66265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at 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12 h post </w:t>
      </w:r>
      <w:r w:rsidR="00301E6A" w:rsidRPr="001E45C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S. aureus</w:t>
      </w:r>
      <w:r w:rsidR="00301E6A" w:rsidRPr="001E45C0">
        <w:rPr>
          <w:rFonts w:ascii="Times New Roman" w:hAnsi="Times New Roman" w:cs="Times New Roman" w:hint="eastAsia"/>
          <w:color w:val="000000" w:themeColor="text1"/>
          <w:sz w:val="22"/>
        </w:rPr>
        <w:t xml:space="preserve"> infection (n=6)</w:t>
      </w:r>
      <w:r w:rsidR="00301E6A" w:rsidRPr="001E45C0">
        <w:rPr>
          <w:rFonts w:ascii="Times New Roman" w:hAnsi="Times New Roman" w:cs="Times New Roman"/>
          <w:color w:val="000000" w:themeColor="text1"/>
          <w:sz w:val="22"/>
        </w:rPr>
        <w:t>.</w:t>
      </w:r>
      <w:bookmarkEnd w:id="9"/>
    </w:p>
    <w:sectPr w:rsidR="00E70D8D" w:rsidRPr="00CF4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3199" w14:textId="77777777" w:rsidR="00831579" w:rsidRDefault="00831579" w:rsidP="00613897">
      <w:pPr>
        <w:rPr>
          <w:rFonts w:hint="eastAsia"/>
        </w:rPr>
      </w:pPr>
      <w:r>
        <w:separator/>
      </w:r>
    </w:p>
  </w:endnote>
  <w:endnote w:type="continuationSeparator" w:id="0">
    <w:p w14:paraId="671D2127" w14:textId="77777777" w:rsidR="00831579" w:rsidRDefault="00831579" w:rsidP="006138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5A605" w14:textId="77777777" w:rsidR="00831579" w:rsidRDefault="00831579" w:rsidP="00613897">
      <w:pPr>
        <w:rPr>
          <w:rFonts w:hint="eastAsia"/>
        </w:rPr>
      </w:pPr>
      <w:r>
        <w:separator/>
      </w:r>
    </w:p>
  </w:footnote>
  <w:footnote w:type="continuationSeparator" w:id="0">
    <w:p w14:paraId="5FA3146C" w14:textId="77777777" w:rsidR="00831579" w:rsidRDefault="00831579" w:rsidP="0061389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33"/>
    <w:rsid w:val="00017773"/>
    <w:rsid w:val="00030EC8"/>
    <w:rsid w:val="00034A72"/>
    <w:rsid w:val="00077DCC"/>
    <w:rsid w:val="00082968"/>
    <w:rsid w:val="000854C7"/>
    <w:rsid w:val="000A5634"/>
    <w:rsid w:val="000E672B"/>
    <w:rsid w:val="00101E15"/>
    <w:rsid w:val="0019638C"/>
    <w:rsid w:val="001E45C0"/>
    <w:rsid w:val="001E78B5"/>
    <w:rsid w:val="00207FCA"/>
    <w:rsid w:val="00243ECC"/>
    <w:rsid w:val="00257079"/>
    <w:rsid w:val="002B5D5A"/>
    <w:rsid w:val="002D1BCB"/>
    <w:rsid w:val="002E7D33"/>
    <w:rsid w:val="00301E6A"/>
    <w:rsid w:val="0031581C"/>
    <w:rsid w:val="0033210E"/>
    <w:rsid w:val="003A66A1"/>
    <w:rsid w:val="003D69EF"/>
    <w:rsid w:val="0040387C"/>
    <w:rsid w:val="00467156"/>
    <w:rsid w:val="004809CC"/>
    <w:rsid w:val="004B67C6"/>
    <w:rsid w:val="00526114"/>
    <w:rsid w:val="00534453"/>
    <w:rsid w:val="0054426C"/>
    <w:rsid w:val="005910B1"/>
    <w:rsid w:val="005A7C13"/>
    <w:rsid w:val="005B33BC"/>
    <w:rsid w:val="00613897"/>
    <w:rsid w:val="0064798A"/>
    <w:rsid w:val="006B4092"/>
    <w:rsid w:val="0073650F"/>
    <w:rsid w:val="00746505"/>
    <w:rsid w:val="007D46CE"/>
    <w:rsid w:val="00801681"/>
    <w:rsid w:val="00831579"/>
    <w:rsid w:val="008B5CBA"/>
    <w:rsid w:val="008D1BD2"/>
    <w:rsid w:val="00954547"/>
    <w:rsid w:val="0097679A"/>
    <w:rsid w:val="00993CC8"/>
    <w:rsid w:val="009A5AA9"/>
    <w:rsid w:val="009C01F3"/>
    <w:rsid w:val="009E1228"/>
    <w:rsid w:val="00A211DE"/>
    <w:rsid w:val="00A441CB"/>
    <w:rsid w:val="00A77D17"/>
    <w:rsid w:val="00AE63CB"/>
    <w:rsid w:val="00AF7923"/>
    <w:rsid w:val="00B26920"/>
    <w:rsid w:val="00B55E5A"/>
    <w:rsid w:val="00BA5914"/>
    <w:rsid w:val="00C2594A"/>
    <w:rsid w:val="00C27A19"/>
    <w:rsid w:val="00C33A2E"/>
    <w:rsid w:val="00CC5630"/>
    <w:rsid w:val="00CD2A13"/>
    <w:rsid w:val="00CF4CB5"/>
    <w:rsid w:val="00D11783"/>
    <w:rsid w:val="00D62946"/>
    <w:rsid w:val="00DD47D9"/>
    <w:rsid w:val="00E16CAB"/>
    <w:rsid w:val="00E666AF"/>
    <w:rsid w:val="00E70D8D"/>
    <w:rsid w:val="00E743D3"/>
    <w:rsid w:val="00EE0A3E"/>
    <w:rsid w:val="00EF5769"/>
    <w:rsid w:val="00F423B7"/>
    <w:rsid w:val="00F60B0E"/>
    <w:rsid w:val="00F66265"/>
    <w:rsid w:val="00F84A37"/>
    <w:rsid w:val="00FD3F20"/>
    <w:rsid w:val="00FE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292C42"/>
  <w15:chartTrackingRefBased/>
  <w15:docId w15:val="{9F220277-8862-48A6-B1E4-84983C99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D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8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38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3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3897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C27A19"/>
    <w:rPr>
      <w:color w:val="0033CC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haochi zhang</cp:lastModifiedBy>
  <cp:revision>2</cp:revision>
  <dcterms:created xsi:type="dcterms:W3CDTF">2025-07-23T08:17:00Z</dcterms:created>
  <dcterms:modified xsi:type="dcterms:W3CDTF">2025-07-23T08:17:00Z</dcterms:modified>
</cp:coreProperties>
</file>