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53929" w14:textId="77777777" w:rsidR="002F439A" w:rsidRDefault="00000000">
      <w:pPr>
        <w:rPr>
          <w:rFonts w:ascii="Arial" w:eastAsia="Arial" w:hAnsi="Arial" w:cs="Arial"/>
          <w:color w:val="31849B"/>
          <w:sz w:val="20"/>
          <w:szCs w:val="20"/>
        </w:rPr>
      </w:pPr>
      <w:r w:rsidRPr="002047C2">
        <w:rPr>
          <w:rFonts w:ascii="Arial" w:eastAsia="Arial" w:hAnsi="Arial" w:cs="Arial"/>
          <w:b/>
          <w:color w:val="000000" w:themeColor="text1"/>
          <w:sz w:val="20"/>
          <w:szCs w:val="20"/>
        </w:rPr>
        <w:t>Putative promiscuous symbionts in deep-sea corals and crinoids may contribute to nitrogen cycling</w:t>
      </w:r>
      <w:r>
        <w:rPr>
          <w:rFonts w:ascii="Arial" w:eastAsia="Arial" w:hAnsi="Arial" w:cs="Arial"/>
          <w:color w:val="31849B"/>
          <w:sz w:val="20"/>
          <w:szCs w:val="20"/>
        </w:rPr>
        <w:br/>
      </w:r>
    </w:p>
    <w:p w14:paraId="3C5EAD71" w14:textId="55CEB460" w:rsidR="002F439A" w:rsidRPr="002047C2" w:rsidRDefault="00000000">
      <w:pPr>
        <w:rPr>
          <w:rFonts w:ascii="Arial" w:eastAsia="Arial" w:hAnsi="Arial" w:cs="Arial"/>
          <w:sz w:val="20"/>
          <w:szCs w:val="20"/>
          <w:lang w:val="pt-BR"/>
        </w:rPr>
      </w:pPr>
      <w:r w:rsidRPr="002047C2">
        <w:rPr>
          <w:rFonts w:ascii="Arial" w:eastAsia="Arial" w:hAnsi="Arial" w:cs="Arial"/>
          <w:color w:val="000000"/>
          <w:sz w:val="20"/>
          <w:szCs w:val="20"/>
          <w:lang w:val="pt-BR"/>
        </w:rPr>
        <w:t>Flúvio Modolon</w:t>
      </w:r>
      <w:r w:rsidRPr="002047C2">
        <w:rPr>
          <w:rFonts w:ascii="Arial" w:eastAsia="Arial" w:hAnsi="Arial" w:cs="Arial"/>
          <w:color w:val="000000"/>
          <w:sz w:val="20"/>
          <w:szCs w:val="20"/>
          <w:vertAlign w:val="superscript"/>
          <w:lang w:val="pt-BR"/>
        </w:rPr>
        <w:t>1,2,</w:t>
      </w:r>
      <w:r w:rsidR="002047C2">
        <w:rPr>
          <w:rFonts w:ascii="Arial" w:eastAsia="Arial" w:hAnsi="Arial" w:cs="Arial"/>
          <w:color w:val="000000"/>
          <w:sz w:val="20"/>
          <w:szCs w:val="20"/>
          <w:vertAlign w:val="superscript"/>
          <w:lang w:val="pt-BR"/>
        </w:rPr>
        <w:t>5</w:t>
      </w:r>
      <w:r w:rsidRPr="002047C2">
        <w:rPr>
          <w:rFonts w:ascii="Arial" w:eastAsia="Arial" w:hAnsi="Arial" w:cs="Arial"/>
          <w:color w:val="000000"/>
          <w:sz w:val="20"/>
          <w:szCs w:val="20"/>
          <w:lang w:val="pt-BR"/>
        </w:rPr>
        <w:t>, Alessandro do N. Garritano</w:t>
      </w:r>
      <w:r w:rsidRPr="002047C2">
        <w:rPr>
          <w:rFonts w:ascii="Arial" w:eastAsia="Arial" w:hAnsi="Arial" w:cs="Arial"/>
          <w:color w:val="000000"/>
          <w:sz w:val="20"/>
          <w:szCs w:val="20"/>
          <w:vertAlign w:val="superscript"/>
          <w:lang w:val="pt-BR"/>
        </w:rPr>
        <w:t>3</w:t>
      </w:r>
      <w:r w:rsidR="002047C2">
        <w:rPr>
          <w:rFonts w:ascii="Arial" w:eastAsia="Arial" w:hAnsi="Arial" w:cs="Arial"/>
          <w:color w:val="000000"/>
          <w:sz w:val="20"/>
          <w:szCs w:val="20"/>
          <w:vertAlign w:val="superscript"/>
          <w:lang w:val="pt-BR"/>
        </w:rPr>
        <w:t>,4</w:t>
      </w:r>
      <w:r w:rsidRPr="002047C2">
        <w:rPr>
          <w:rFonts w:ascii="Arial" w:eastAsia="Arial" w:hAnsi="Arial" w:cs="Arial"/>
          <w:color w:val="000000"/>
          <w:sz w:val="20"/>
          <w:szCs w:val="20"/>
          <w:lang w:val="pt-BR"/>
        </w:rPr>
        <w:t>, Lillian J. Hill</w:t>
      </w:r>
      <w:r w:rsidRPr="002047C2">
        <w:rPr>
          <w:rFonts w:ascii="Arial" w:eastAsia="Arial" w:hAnsi="Arial" w:cs="Arial"/>
          <w:color w:val="000000"/>
          <w:sz w:val="20"/>
          <w:szCs w:val="20"/>
          <w:vertAlign w:val="superscript"/>
          <w:lang w:val="pt-BR"/>
        </w:rPr>
        <w:t>1</w:t>
      </w:r>
      <w:r w:rsidRPr="002047C2">
        <w:rPr>
          <w:rFonts w:ascii="Arial" w:eastAsia="Arial" w:hAnsi="Arial" w:cs="Arial"/>
          <w:color w:val="000000"/>
          <w:sz w:val="20"/>
          <w:szCs w:val="20"/>
          <w:lang w:val="pt-BR"/>
        </w:rPr>
        <w:t>, Gustavo Duarte</w:t>
      </w:r>
      <w:r w:rsidRPr="002047C2">
        <w:rPr>
          <w:rFonts w:ascii="Arial" w:eastAsia="Arial" w:hAnsi="Arial" w:cs="Arial"/>
          <w:color w:val="000000"/>
          <w:sz w:val="20"/>
          <w:szCs w:val="20"/>
          <w:vertAlign w:val="superscript"/>
          <w:lang w:val="pt-BR"/>
        </w:rPr>
        <w:t>1,2</w:t>
      </w:r>
      <w:r w:rsidRPr="002047C2">
        <w:rPr>
          <w:rFonts w:ascii="Arial" w:eastAsia="Arial" w:hAnsi="Arial" w:cs="Arial"/>
          <w:color w:val="000000"/>
          <w:sz w:val="20"/>
          <w:szCs w:val="20"/>
          <w:lang w:val="pt-BR"/>
        </w:rPr>
        <w:t>, Amanda Bendia</w:t>
      </w:r>
      <w:r w:rsidRPr="002047C2">
        <w:rPr>
          <w:rFonts w:ascii="Arial" w:eastAsia="Arial" w:hAnsi="Arial" w:cs="Arial"/>
          <w:color w:val="000000"/>
          <w:sz w:val="20"/>
          <w:szCs w:val="20"/>
          <w:vertAlign w:val="superscript"/>
          <w:lang w:val="pt-BR"/>
        </w:rPr>
        <w:t>4</w:t>
      </w:r>
      <w:r w:rsidRPr="002047C2">
        <w:rPr>
          <w:rFonts w:ascii="Arial" w:eastAsia="Arial" w:hAnsi="Arial" w:cs="Arial"/>
          <w:color w:val="000000"/>
          <w:sz w:val="20"/>
          <w:szCs w:val="20"/>
          <w:lang w:val="pt-BR"/>
        </w:rPr>
        <w:t>, Rafael B. de Moura</w:t>
      </w:r>
      <w:r w:rsidRPr="002047C2">
        <w:rPr>
          <w:rFonts w:ascii="Arial" w:eastAsia="Arial" w:hAnsi="Arial" w:cs="Arial"/>
          <w:color w:val="000000"/>
          <w:sz w:val="20"/>
          <w:szCs w:val="20"/>
          <w:vertAlign w:val="superscript"/>
          <w:lang w:val="pt-BR"/>
        </w:rPr>
        <w:t>5</w:t>
      </w:r>
      <w:r w:rsidRPr="002047C2">
        <w:rPr>
          <w:rFonts w:ascii="Arial" w:eastAsia="Arial" w:hAnsi="Arial" w:cs="Arial"/>
          <w:color w:val="000000"/>
          <w:sz w:val="20"/>
          <w:szCs w:val="20"/>
          <w:lang w:val="pt-BR"/>
        </w:rPr>
        <w:t>, Vivian Pellizari</w:t>
      </w:r>
      <w:r w:rsidRPr="002047C2">
        <w:rPr>
          <w:rFonts w:ascii="Arial" w:eastAsia="Arial" w:hAnsi="Arial" w:cs="Arial"/>
          <w:color w:val="000000"/>
          <w:sz w:val="20"/>
          <w:szCs w:val="20"/>
          <w:vertAlign w:val="superscript"/>
          <w:lang w:val="pt-BR"/>
        </w:rPr>
        <w:t>4</w:t>
      </w:r>
      <w:r w:rsidRPr="002047C2">
        <w:rPr>
          <w:rFonts w:ascii="Arial" w:eastAsia="Arial" w:hAnsi="Arial" w:cs="Arial"/>
          <w:color w:val="000000"/>
          <w:sz w:val="20"/>
          <w:szCs w:val="20"/>
          <w:lang w:val="pt-BR"/>
        </w:rPr>
        <w:t>, Torsten Thomas</w:t>
      </w:r>
      <w:r w:rsidRPr="002047C2">
        <w:rPr>
          <w:rFonts w:ascii="Arial" w:eastAsia="Arial" w:hAnsi="Arial" w:cs="Arial"/>
          <w:color w:val="000000"/>
          <w:sz w:val="20"/>
          <w:szCs w:val="20"/>
          <w:vertAlign w:val="superscript"/>
          <w:lang w:val="pt-BR"/>
        </w:rPr>
        <w:t>3</w:t>
      </w:r>
      <w:r w:rsidRPr="002047C2">
        <w:rPr>
          <w:rFonts w:ascii="Arial" w:eastAsia="Arial" w:hAnsi="Arial" w:cs="Arial"/>
          <w:color w:val="000000"/>
          <w:sz w:val="20"/>
          <w:szCs w:val="20"/>
          <w:lang w:val="pt-BR"/>
        </w:rPr>
        <w:t xml:space="preserve"> &amp; Raquel</w:t>
      </w:r>
      <w:r w:rsidR="002047C2">
        <w:rPr>
          <w:rFonts w:ascii="Arial" w:eastAsia="Arial" w:hAnsi="Arial" w:cs="Arial"/>
          <w:color w:val="000000"/>
          <w:sz w:val="20"/>
          <w:szCs w:val="20"/>
          <w:lang w:val="pt-BR"/>
        </w:rPr>
        <w:t xml:space="preserve"> S.</w:t>
      </w:r>
      <w:r w:rsidRPr="002047C2">
        <w:rPr>
          <w:rFonts w:ascii="Arial" w:eastAsia="Arial" w:hAnsi="Arial" w:cs="Arial"/>
          <w:color w:val="000000"/>
          <w:sz w:val="20"/>
          <w:szCs w:val="20"/>
          <w:lang w:val="pt-BR"/>
        </w:rPr>
        <w:t xml:space="preserve"> Peixoto</w:t>
      </w:r>
      <w:r w:rsidRPr="002047C2">
        <w:rPr>
          <w:rFonts w:ascii="Arial" w:eastAsia="Arial" w:hAnsi="Arial" w:cs="Arial"/>
          <w:color w:val="000000"/>
          <w:sz w:val="20"/>
          <w:szCs w:val="20"/>
          <w:vertAlign w:val="superscript"/>
          <w:lang w:val="pt-BR"/>
        </w:rPr>
        <w:t>2</w:t>
      </w:r>
    </w:p>
    <w:p w14:paraId="17308FD6" w14:textId="77777777" w:rsidR="002F439A" w:rsidRPr="002047C2" w:rsidRDefault="00000000">
      <w:pPr>
        <w:spacing w:after="0"/>
        <w:jc w:val="both"/>
        <w:rPr>
          <w:rFonts w:ascii="Arial" w:eastAsia="Arial" w:hAnsi="Arial" w:cs="Arial"/>
          <w:sz w:val="20"/>
          <w:szCs w:val="20"/>
          <w:lang w:val="pt-BR"/>
        </w:rPr>
      </w:pPr>
      <w:r w:rsidRPr="002047C2">
        <w:rPr>
          <w:rFonts w:ascii="Arial" w:eastAsia="Arial" w:hAnsi="Arial" w:cs="Arial"/>
          <w:sz w:val="20"/>
          <w:szCs w:val="20"/>
          <w:vertAlign w:val="superscript"/>
          <w:lang w:val="pt-BR"/>
        </w:rPr>
        <w:t>1</w:t>
      </w:r>
      <w:r w:rsidRPr="002047C2">
        <w:rPr>
          <w:rFonts w:ascii="Arial" w:eastAsia="Arial" w:hAnsi="Arial" w:cs="Arial"/>
          <w:sz w:val="20"/>
          <w:szCs w:val="20"/>
          <w:lang w:val="pt-BR"/>
        </w:rPr>
        <w:t>Laboratory of Molecular Microbial Ecology, Institute of Microbiology Paulo de Góes, Federal University of Rio de Janeiro, Rio de Janeiro 21941-901, Brazil</w:t>
      </w:r>
    </w:p>
    <w:p w14:paraId="3D0AB8AB" w14:textId="77777777" w:rsidR="002F439A" w:rsidRDefault="00000000">
      <w:pPr>
        <w:spacing w:after="0"/>
        <w:jc w:val="both"/>
        <w:rPr>
          <w:rFonts w:ascii="Arial" w:eastAsia="Arial" w:hAnsi="Arial" w:cs="Arial"/>
          <w:sz w:val="20"/>
          <w:szCs w:val="20"/>
        </w:rPr>
      </w:pPr>
      <w:r>
        <w:rPr>
          <w:rFonts w:ascii="Arial" w:eastAsia="Arial" w:hAnsi="Arial" w:cs="Arial"/>
          <w:sz w:val="20"/>
          <w:szCs w:val="20"/>
          <w:vertAlign w:val="superscript"/>
        </w:rPr>
        <w:t>2</w:t>
      </w:r>
      <w:r>
        <w:rPr>
          <w:rFonts w:ascii="Arial" w:eastAsia="Arial" w:hAnsi="Arial" w:cs="Arial"/>
          <w:sz w:val="20"/>
          <w:szCs w:val="20"/>
        </w:rPr>
        <w:t>Red Sea Research Center, Biological and Environmental Science and Engineering Division, King Abdullah University of Science and Technology, Thuwal, 23955, Saudi Arabia </w:t>
      </w:r>
    </w:p>
    <w:p w14:paraId="5F5B4D3D" w14:textId="77777777" w:rsidR="002F439A" w:rsidRDefault="00000000">
      <w:pPr>
        <w:spacing w:after="0"/>
        <w:jc w:val="both"/>
        <w:rPr>
          <w:rFonts w:ascii="Arial" w:eastAsia="Arial" w:hAnsi="Arial" w:cs="Arial"/>
          <w:sz w:val="20"/>
          <w:szCs w:val="20"/>
        </w:rPr>
      </w:pPr>
      <w:r>
        <w:rPr>
          <w:rFonts w:ascii="Arial" w:eastAsia="Arial" w:hAnsi="Arial" w:cs="Arial"/>
          <w:sz w:val="20"/>
          <w:szCs w:val="20"/>
          <w:vertAlign w:val="superscript"/>
        </w:rPr>
        <w:t>3</w:t>
      </w:r>
      <w:r>
        <w:rPr>
          <w:rFonts w:ascii="Arial" w:eastAsia="Arial" w:hAnsi="Arial" w:cs="Arial"/>
          <w:sz w:val="20"/>
          <w:szCs w:val="20"/>
        </w:rPr>
        <w:t>Centre for Marine Science and Innovation; School of Biological, Earth and Environmental Sciences, The University of New South Wales, Sydney, NSW, Australia</w:t>
      </w:r>
    </w:p>
    <w:p w14:paraId="4CAF0430" w14:textId="072EC27E" w:rsidR="002F439A" w:rsidRDefault="00000000">
      <w:pPr>
        <w:spacing w:after="0"/>
        <w:jc w:val="both"/>
        <w:rPr>
          <w:rFonts w:ascii="Arial" w:eastAsia="Arial" w:hAnsi="Arial" w:cs="Arial"/>
          <w:sz w:val="20"/>
          <w:szCs w:val="20"/>
        </w:rPr>
      </w:pPr>
      <w:r>
        <w:rPr>
          <w:rFonts w:ascii="Arial" w:eastAsia="Arial" w:hAnsi="Arial" w:cs="Arial"/>
          <w:sz w:val="20"/>
          <w:szCs w:val="20"/>
          <w:vertAlign w:val="superscript"/>
        </w:rPr>
        <w:t>4</w:t>
      </w:r>
      <w:r>
        <w:rPr>
          <w:rFonts w:ascii="Arial" w:eastAsia="Arial" w:hAnsi="Arial" w:cs="Arial"/>
          <w:sz w:val="20"/>
          <w:szCs w:val="20"/>
        </w:rPr>
        <w:t>School of Life and Environmental Sciences, The University of Sydney, Sydney, New South Wales, Australia.</w:t>
      </w:r>
    </w:p>
    <w:p w14:paraId="714075E8" w14:textId="77777777" w:rsidR="002F439A" w:rsidRPr="002047C2" w:rsidRDefault="00000000">
      <w:pPr>
        <w:spacing w:after="0"/>
        <w:jc w:val="both"/>
        <w:rPr>
          <w:rFonts w:ascii="Arial" w:eastAsia="Arial" w:hAnsi="Arial" w:cs="Arial"/>
          <w:sz w:val="20"/>
          <w:szCs w:val="20"/>
          <w:lang w:val="pt-BR"/>
        </w:rPr>
      </w:pPr>
      <w:r w:rsidRPr="002047C2">
        <w:rPr>
          <w:rFonts w:ascii="Arial" w:eastAsia="Arial" w:hAnsi="Arial" w:cs="Arial"/>
          <w:sz w:val="20"/>
          <w:szCs w:val="20"/>
          <w:vertAlign w:val="superscript"/>
          <w:lang w:val="pt-BR"/>
        </w:rPr>
        <w:t>5</w:t>
      </w:r>
      <w:r w:rsidRPr="002047C2">
        <w:rPr>
          <w:rFonts w:ascii="Arial" w:eastAsia="Arial" w:hAnsi="Arial" w:cs="Arial"/>
          <w:sz w:val="20"/>
          <w:szCs w:val="20"/>
          <w:lang w:val="pt-BR"/>
        </w:rPr>
        <w:t>Oceanographic Institute,</w:t>
      </w:r>
      <w:r w:rsidRPr="002047C2">
        <w:rPr>
          <w:rFonts w:ascii="Arial" w:eastAsia="Arial" w:hAnsi="Arial" w:cs="Arial"/>
          <w:sz w:val="20"/>
          <w:szCs w:val="20"/>
          <w:vertAlign w:val="superscript"/>
          <w:lang w:val="pt-BR"/>
        </w:rPr>
        <w:t xml:space="preserve"> </w:t>
      </w:r>
      <w:r w:rsidRPr="002047C2">
        <w:rPr>
          <w:rFonts w:ascii="Arial" w:eastAsia="Arial" w:hAnsi="Arial" w:cs="Arial"/>
          <w:sz w:val="20"/>
          <w:szCs w:val="20"/>
          <w:lang w:val="pt-BR"/>
        </w:rPr>
        <w:t>University of Sao Paulo, São Paulo, São Paulo, Brazil</w:t>
      </w:r>
    </w:p>
    <w:p w14:paraId="50F848A1" w14:textId="77777777" w:rsidR="002F439A" w:rsidRPr="002047C2" w:rsidRDefault="00000000">
      <w:pPr>
        <w:spacing w:after="0"/>
        <w:jc w:val="both"/>
        <w:rPr>
          <w:rFonts w:ascii="Arial" w:eastAsia="Arial" w:hAnsi="Arial" w:cs="Arial"/>
          <w:sz w:val="20"/>
          <w:szCs w:val="20"/>
          <w:lang w:val="pt-BR"/>
        </w:rPr>
      </w:pPr>
      <w:r w:rsidRPr="002047C2">
        <w:rPr>
          <w:rFonts w:ascii="Arial" w:eastAsia="Arial" w:hAnsi="Arial" w:cs="Arial"/>
          <w:sz w:val="20"/>
          <w:szCs w:val="20"/>
          <w:vertAlign w:val="superscript"/>
          <w:lang w:val="pt-BR"/>
        </w:rPr>
        <w:t>6</w:t>
      </w:r>
      <w:r w:rsidRPr="002047C2">
        <w:rPr>
          <w:rFonts w:ascii="Arial" w:eastAsia="Arial" w:hAnsi="Arial" w:cs="Arial"/>
          <w:sz w:val="20"/>
          <w:szCs w:val="20"/>
          <w:lang w:val="pt-BR"/>
        </w:rPr>
        <w:t>Institute of Biology, Federal University of Rio de Janeiro, Rio de Janeiro, 21941-901, Brazil</w:t>
      </w:r>
    </w:p>
    <w:p w14:paraId="0F23E684" w14:textId="77777777" w:rsidR="002F439A" w:rsidRDefault="002F439A">
      <w:pPr>
        <w:spacing w:after="0"/>
        <w:jc w:val="both"/>
        <w:rPr>
          <w:rFonts w:ascii="Arial" w:eastAsia="Arial" w:hAnsi="Arial" w:cs="Arial"/>
          <w:sz w:val="20"/>
          <w:szCs w:val="20"/>
        </w:rPr>
      </w:pPr>
    </w:p>
    <w:p w14:paraId="6F4F096D" w14:textId="77777777" w:rsidR="002F439A" w:rsidRDefault="00000000">
      <w:pPr>
        <w:spacing w:after="0"/>
        <w:jc w:val="both"/>
        <w:rPr>
          <w:rFonts w:ascii="Arial" w:eastAsia="Arial" w:hAnsi="Arial" w:cs="Arial"/>
          <w:sz w:val="20"/>
          <w:szCs w:val="20"/>
        </w:rPr>
      </w:pPr>
      <w:r>
        <w:rPr>
          <w:rFonts w:ascii="Arial" w:eastAsia="Arial" w:hAnsi="Arial" w:cs="Arial"/>
          <w:b/>
          <w:color w:val="000000"/>
          <w:sz w:val="20"/>
          <w:szCs w:val="20"/>
        </w:rPr>
        <w:t>Content</w:t>
      </w:r>
    </w:p>
    <w:p w14:paraId="462992A2" w14:textId="77777777" w:rsidR="002F439A" w:rsidRPr="002047C2" w:rsidRDefault="00000000">
      <w:pPr>
        <w:spacing w:after="0"/>
        <w:jc w:val="both"/>
        <w:rPr>
          <w:rFonts w:ascii="Arial" w:eastAsia="Arial" w:hAnsi="Arial" w:cs="Arial"/>
          <w:sz w:val="20"/>
          <w:szCs w:val="20"/>
          <w:lang w:val="pt-BR"/>
        </w:rPr>
      </w:pPr>
      <w:r>
        <w:rPr>
          <w:rFonts w:ascii="Arial" w:eastAsia="Arial" w:hAnsi="Arial" w:cs="Arial"/>
          <w:b/>
          <w:color w:val="000000"/>
          <w:sz w:val="20"/>
          <w:szCs w:val="20"/>
        </w:rPr>
        <w:t xml:space="preserve">Supplementary Figure S1. </w:t>
      </w:r>
      <w:r>
        <w:rPr>
          <w:rFonts w:ascii="Arial" w:eastAsia="Arial" w:hAnsi="Arial" w:cs="Arial"/>
          <w:color w:val="000000"/>
          <w:sz w:val="20"/>
          <w:szCs w:val="20"/>
        </w:rPr>
        <w:t xml:space="preserve">Sørensen dissimilarity for </w:t>
      </w:r>
      <w:r>
        <w:rPr>
          <w:rFonts w:ascii="Arial" w:eastAsia="Arial" w:hAnsi="Arial" w:cs="Arial"/>
          <w:i/>
          <w:color w:val="000000"/>
          <w:sz w:val="20"/>
          <w:szCs w:val="20"/>
        </w:rPr>
        <w:t>D. pertusum</w:t>
      </w:r>
      <w:r>
        <w:rPr>
          <w:rFonts w:ascii="Arial" w:eastAsia="Arial" w:hAnsi="Arial" w:cs="Arial"/>
          <w:color w:val="000000"/>
          <w:sz w:val="20"/>
          <w:szCs w:val="20"/>
        </w:rPr>
        <w:t xml:space="preserve"> and </w:t>
      </w:r>
      <w:r>
        <w:rPr>
          <w:rFonts w:ascii="Arial" w:eastAsia="Arial" w:hAnsi="Arial" w:cs="Arial"/>
          <w:i/>
          <w:color w:val="000000"/>
          <w:sz w:val="20"/>
          <w:szCs w:val="20"/>
        </w:rPr>
        <w:t>S. variabilis</w:t>
      </w:r>
      <w:r>
        <w:rPr>
          <w:rFonts w:ascii="Arial" w:eastAsia="Arial" w:hAnsi="Arial" w:cs="Arial"/>
          <w:color w:val="000000"/>
          <w:sz w:val="20"/>
          <w:szCs w:val="20"/>
        </w:rPr>
        <w:t xml:space="preserve"> associated with crinoids and those not associated with them. </w:t>
      </w:r>
      <w:r w:rsidRPr="002047C2">
        <w:rPr>
          <w:rFonts w:ascii="Arial" w:eastAsia="Arial" w:hAnsi="Arial" w:cs="Arial"/>
          <w:i/>
          <w:color w:val="000000"/>
          <w:sz w:val="20"/>
          <w:szCs w:val="20"/>
          <w:lang w:val="pt-BR"/>
        </w:rPr>
        <w:t>D. pertusum</w:t>
      </w:r>
      <w:r w:rsidRPr="002047C2">
        <w:rPr>
          <w:rFonts w:ascii="Arial" w:eastAsia="Arial" w:hAnsi="Arial" w:cs="Arial"/>
          <w:color w:val="000000"/>
          <w:sz w:val="20"/>
          <w:szCs w:val="20"/>
          <w:lang w:val="pt-BR"/>
        </w:rPr>
        <w:t xml:space="preserve">, p-value = 0.400; for </w:t>
      </w:r>
      <w:r w:rsidRPr="002047C2">
        <w:rPr>
          <w:rFonts w:ascii="Arial" w:eastAsia="Arial" w:hAnsi="Arial" w:cs="Arial"/>
          <w:i/>
          <w:color w:val="000000"/>
          <w:sz w:val="20"/>
          <w:szCs w:val="20"/>
          <w:lang w:val="pt-BR"/>
        </w:rPr>
        <w:t>S. solenosmilia</w:t>
      </w:r>
      <w:r w:rsidRPr="002047C2">
        <w:rPr>
          <w:rFonts w:ascii="Arial" w:eastAsia="Arial" w:hAnsi="Arial" w:cs="Arial"/>
          <w:color w:val="000000"/>
          <w:sz w:val="20"/>
          <w:szCs w:val="20"/>
          <w:lang w:val="pt-BR"/>
        </w:rPr>
        <w:t>, p-value = 0.812; PERMANOVA.</w:t>
      </w:r>
    </w:p>
    <w:p w14:paraId="43EB2A64" w14:textId="77777777" w:rsidR="002F439A" w:rsidRDefault="00000000">
      <w:pPr>
        <w:spacing w:after="0"/>
        <w:jc w:val="both"/>
        <w:rPr>
          <w:rFonts w:ascii="Arial" w:eastAsia="Arial" w:hAnsi="Arial" w:cs="Arial"/>
          <w:sz w:val="20"/>
          <w:szCs w:val="20"/>
        </w:rPr>
      </w:pPr>
      <w:r>
        <w:rPr>
          <w:rFonts w:ascii="Arial" w:eastAsia="Arial" w:hAnsi="Arial" w:cs="Arial"/>
          <w:b/>
          <w:color w:val="000000"/>
          <w:sz w:val="20"/>
          <w:szCs w:val="20"/>
        </w:rPr>
        <w:t>Supplementary Figure S2</w:t>
      </w:r>
      <w:r>
        <w:rPr>
          <w:rFonts w:ascii="Arial" w:eastAsia="Arial" w:hAnsi="Arial" w:cs="Arial"/>
          <w:color w:val="000000"/>
          <w:sz w:val="20"/>
          <w:szCs w:val="20"/>
        </w:rPr>
        <w:t>. Individualized fluorescent channels used in FISH observation using Endozoicomonas spp. (left panel) and AOA probes (right panel). </w:t>
      </w:r>
    </w:p>
    <w:p w14:paraId="2FC61A7E" w14:textId="77777777" w:rsidR="002F439A" w:rsidRDefault="00000000">
      <w:pPr>
        <w:spacing w:after="0"/>
        <w:jc w:val="both"/>
        <w:rPr>
          <w:rFonts w:ascii="Arial" w:eastAsia="Arial" w:hAnsi="Arial" w:cs="Arial"/>
          <w:sz w:val="20"/>
          <w:szCs w:val="20"/>
        </w:rPr>
      </w:pPr>
      <w:r>
        <w:rPr>
          <w:rFonts w:ascii="Arial" w:eastAsia="Arial" w:hAnsi="Arial" w:cs="Arial"/>
          <w:b/>
          <w:color w:val="000000"/>
          <w:sz w:val="20"/>
          <w:szCs w:val="20"/>
        </w:rPr>
        <w:t>Supplementary Figure S3</w:t>
      </w:r>
      <w:r>
        <w:rPr>
          <w:rFonts w:ascii="Arial" w:eastAsia="Arial" w:hAnsi="Arial" w:cs="Arial"/>
          <w:color w:val="000000"/>
          <w:sz w:val="20"/>
          <w:szCs w:val="20"/>
        </w:rPr>
        <w:t>. Fluorescent channels used in FISH observation using probes for Endozoicomonas spp. (left panel) and AOA (right panel).</w:t>
      </w:r>
    </w:p>
    <w:p w14:paraId="5DF31748" w14:textId="77777777" w:rsidR="002F439A" w:rsidRDefault="00000000">
      <w:pPr>
        <w:spacing w:after="0"/>
        <w:jc w:val="both"/>
        <w:rPr>
          <w:rFonts w:ascii="Arial" w:eastAsia="Arial" w:hAnsi="Arial" w:cs="Arial"/>
          <w:sz w:val="20"/>
          <w:szCs w:val="20"/>
        </w:rPr>
      </w:pPr>
      <w:r>
        <w:rPr>
          <w:rFonts w:ascii="Arial" w:eastAsia="Arial" w:hAnsi="Arial" w:cs="Arial"/>
          <w:b/>
          <w:color w:val="000000"/>
          <w:sz w:val="20"/>
          <w:szCs w:val="20"/>
        </w:rPr>
        <w:t>Supplementary Figure S4</w:t>
      </w:r>
      <w:r>
        <w:rPr>
          <w:rFonts w:ascii="Arial" w:eastAsia="Arial" w:hAnsi="Arial" w:cs="Arial"/>
          <w:color w:val="000000"/>
          <w:sz w:val="20"/>
          <w:szCs w:val="20"/>
        </w:rPr>
        <w:t xml:space="preserve">. </w:t>
      </w:r>
      <w:r>
        <w:rPr>
          <w:rFonts w:ascii="Arial" w:eastAsia="Arial" w:hAnsi="Arial" w:cs="Arial"/>
          <w:sz w:val="20"/>
          <w:szCs w:val="20"/>
        </w:rPr>
        <w:t>FISH images using NonSense (antisense) probing (Non-Eubac) to test for probe specificity.</w:t>
      </w:r>
    </w:p>
    <w:p w14:paraId="51D1183F" w14:textId="77777777" w:rsidR="002F439A" w:rsidRDefault="00000000">
      <w:pPr>
        <w:spacing w:after="0"/>
        <w:jc w:val="both"/>
        <w:rPr>
          <w:rFonts w:ascii="Arial" w:eastAsia="Arial" w:hAnsi="Arial" w:cs="Arial"/>
          <w:color w:val="000000"/>
          <w:sz w:val="20"/>
          <w:szCs w:val="20"/>
        </w:rPr>
      </w:pPr>
      <w:r>
        <w:rPr>
          <w:rFonts w:ascii="Arial" w:eastAsia="Arial" w:hAnsi="Arial" w:cs="Arial"/>
          <w:b/>
          <w:color w:val="000000"/>
          <w:sz w:val="20"/>
          <w:szCs w:val="20"/>
        </w:rPr>
        <w:t>Supplementary Figure S5</w:t>
      </w:r>
      <w:r>
        <w:rPr>
          <w:rFonts w:ascii="Arial" w:eastAsia="Arial" w:hAnsi="Arial" w:cs="Arial"/>
          <w:color w:val="000000"/>
          <w:sz w:val="20"/>
          <w:szCs w:val="20"/>
        </w:rPr>
        <w:t>. Correlation analysis (Spearman correlation) between 15 most abundant ASV families and nitrogen forms (nitrate, nitrite and ammonium) and dissolved organic carbon (DOC).</w:t>
      </w:r>
    </w:p>
    <w:p w14:paraId="5D9C02B9" w14:textId="77777777" w:rsidR="002F439A" w:rsidRDefault="002F439A">
      <w:pPr>
        <w:keepNext/>
        <w:pBdr>
          <w:top w:val="nil"/>
          <w:left w:val="nil"/>
          <w:bottom w:val="nil"/>
          <w:right w:val="nil"/>
          <w:between w:val="nil"/>
        </w:pBdr>
        <w:spacing w:after="0"/>
        <w:jc w:val="both"/>
        <w:rPr>
          <w:rFonts w:ascii="Arial" w:eastAsia="Arial" w:hAnsi="Arial" w:cs="Arial"/>
          <w:color w:val="000000"/>
          <w:sz w:val="20"/>
          <w:szCs w:val="20"/>
        </w:rPr>
      </w:pPr>
    </w:p>
    <w:p w14:paraId="45216B3E"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noProof/>
          <w:color w:val="000000"/>
          <w:sz w:val="20"/>
          <w:szCs w:val="20"/>
        </w:rPr>
        <w:drawing>
          <wp:inline distT="0" distB="0" distL="0" distR="0" wp14:anchorId="68C85B97" wp14:editId="696E96CE">
            <wp:extent cx="5486400" cy="3429000"/>
            <wp:effectExtent l="0" t="0" r="0" b="0"/>
            <wp:docPr id="1147465115" name="image4.png" descr="A graph with numbers and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A graph with numbers and dots&#10;&#10;Description automatically generated with medium confidence"/>
                    <pic:cNvPicPr preferRelativeResize="0"/>
                  </pic:nvPicPr>
                  <pic:blipFill>
                    <a:blip r:embed="rId7"/>
                    <a:srcRect/>
                    <a:stretch>
                      <a:fillRect/>
                    </a:stretch>
                  </pic:blipFill>
                  <pic:spPr>
                    <a:xfrm>
                      <a:off x="0" y="0"/>
                      <a:ext cx="5486400" cy="3429000"/>
                    </a:xfrm>
                    <a:prstGeom prst="rect">
                      <a:avLst/>
                    </a:prstGeom>
                    <a:ln/>
                  </pic:spPr>
                </pic:pic>
              </a:graphicData>
            </a:graphic>
          </wp:inline>
        </w:drawing>
      </w:r>
    </w:p>
    <w:p w14:paraId="2E1C02EA" w14:textId="77777777" w:rsidR="002F439A" w:rsidRPr="002047C2" w:rsidRDefault="00000000">
      <w:pPr>
        <w:keepNext/>
        <w:pBdr>
          <w:top w:val="nil"/>
          <w:left w:val="nil"/>
          <w:bottom w:val="nil"/>
          <w:right w:val="nil"/>
          <w:between w:val="nil"/>
        </w:pBdr>
        <w:spacing w:after="0"/>
        <w:jc w:val="both"/>
        <w:rPr>
          <w:rFonts w:ascii="Arial" w:eastAsia="Arial" w:hAnsi="Arial" w:cs="Arial"/>
          <w:color w:val="000000"/>
          <w:sz w:val="20"/>
          <w:szCs w:val="20"/>
          <w:lang w:val="pt-BR"/>
        </w:rPr>
      </w:pPr>
      <w:r>
        <w:rPr>
          <w:rFonts w:ascii="Arial" w:eastAsia="Arial" w:hAnsi="Arial" w:cs="Arial"/>
          <w:b/>
          <w:color w:val="000000"/>
          <w:sz w:val="20"/>
          <w:szCs w:val="20"/>
        </w:rPr>
        <w:t xml:space="preserve">Supplementary Figure S1. </w:t>
      </w:r>
      <w:r>
        <w:rPr>
          <w:rFonts w:ascii="Arial" w:eastAsia="Arial" w:hAnsi="Arial" w:cs="Arial"/>
          <w:color w:val="000000"/>
          <w:sz w:val="20"/>
          <w:szCs w:val="20"/>
        </w:rPr>
        <w:t xml:space="preserve">Sørensen dissimilarity for </w:t>
      </w:r>
      <w:r>
        <w:rPr>
          <w:rFonts w:ascii="Arial" w:eastAsia="Arial" w:hAnsi="Arial" w:cs="Arial"/>
          <w:i/>
          <w:color w:val="000000"/>
          <w:sz w:val="20"/>
          <w:szCs w:val="20"/>
        </w:rPr>
        <w:t>D. pertusum</w:t>
      </w:r>
      <w:r>
        <w:rPr>
          <w:rFonts w:ascii="Arial" w:eastAsia="Arial" w:hAnsi="Arial" w:cs="Arial"/>
          <w:color w:val="000000"/>
          <w:sz w:val="20"/>
          <w:szCs w:val="20"/>
        </w:rPr>
        <w:t xml:space="preserve"> and </w:t>
      </w:r>
      <w:r>
        <w:rPr>
          <w:rFonts w:ascii="Arial" w:eastAsia="Arial" w:hAnsi="Arial" w:cs="Arial"/>
          <w:i/>
          <w:color w:val="000000"/>
          <w:sz w:val="20"/>
          <w:szCs w:val="20"/>
        </w:rPr>
        <w:t>S. variabilis</w:t>
      </w:r>
      <w:r>
        <w:rPr>
          <w:rFonts w:ascii="Arial" w:eastAsia="Arial" w:hAnsi="Arial" w:cs="Arial"/>
          <w:color w:val="000000"/>
          <w:sz w:val="20"/>
          <w:szCs w:val="20"/>
        </w:rPr>
        <w:t xml:space="preserve"> associated with crinoids and those not associated with them. </w:t>
      </w:r>
      <w:r w:rsidRPr="002047C2">
        <w:rPr>
          <w:rFonts w:ascii="Arial" w:eastAsia="Arial" w:hAnsi="Arial" w:cs="Arial"/>
          <w:i/>
          <w:color w:val="000000"/>
          <w:sz w:val="20"/>
          <w:szCs w:val="20"/>
          <w:lang w:val="pt-BR"/>
        </w:rPr>
        <w:t>D. pertusum</w:t>
      </w:r>
      <w:r w:rsidRPr="002047C2">
        <w:rPr>
          <w:rFonts w:ascii="Arial" w:eastAsia="Arial" w:hAnsi="Arial" w:cs="Arial"/>
          <w:color w:val="000000"/>
          <w:sz w:val="20"/>
          <w:szCs w:val="20"/>
          <w:lang w:val="pt-BR"/>
        </w:rPr>
        <w:t xml:space="preserve">, p-value = 0.400; for </w:t>
      </w:r>
      <w:r w:rsidRPr="002047C2">
        <w:rPr>
          <w:rFonts w:ascii="Arial" w:eastAsia="Arial" w:hAnsi="Arial" w:cs="Arial"/>
          <w:i/>
          <w:color w:val="000000"/>
          <w:sz w:val="20"/>
          <w:szCs w:val="20"/>
          <w:lang w:val="pt-BR"/>
        </w:rPr>
        <w:t>S. solenosmilia</w:t>
      </w:r>
      <w:r w:rsidRPr="002047C2">
        <w:rPr>
          <w:rFonts w:ascii="Arial" w:eastAsia="Arial" w:hAnsi="Arial" w:cs="Arial"/>
          <w:color w:val="000000"/>
          <w:sz w:val="20"/>
          <w:szCs w:val="20"/>
          <w:lang w:val="pt-BR"/>
        </w:rPr>
        <w:t>, p-value = 0.812; PERMANOVA.</w:t>
      </w:r>
    </w:p>
    <w:p w14:paraId="03A8993D" w14:textId="77777777" w:rsidR="002F439A" w:rsidRPr="002047C2" w:rsidRDefault="002F439A">
      <w:pPr>
        <w:keepNext/>
        <w:pBdr>
          <w:top w:val="nil"/>
          <w:left w:val="nil"/>
          <w:bottom w:val="nil"/>
          <w:right w:val="nil"/>
          <w:between w:val="nil"/>
        </w:pBdr>
        <w:spacing w:after="0"/>
        <w:jc w:val="both"/>
        <w:rPr>
          <w:rFonts w:ascii="Arial" w:eastAsia="Arial" w:hAnsi="Arial" w:cs="Arial"/>
          <w:color w:val="000000"/>
          <w:sz w:val="20"/>
          <w:szCs w:val="20"/>
          <w:lang w:val="pt-BR"/>
        </w:rPr>
      </w:pPr>
    </w:p>
    <w:p w14:paraId="760B5E8C"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noProof/>
          <w:color w:val="000000"/>
          <w:sz w:val="20"/>
          <w:szCs w:val="20"/>
        </w:rPr>
        <w:lastRenderedPageBreak/>
        <w:drawing>
          <wp:inline distT="0" distB="0" distL="0" distR="0" wp14:anchorId="529C4CB4" wp14:editId="5137767F">
            <wp:extent cx="5067300" cy="4823460"/>
            <wp:effectExtent l="0" t="0" r="0" b="0"/>
            <wp:docPr id="1147465118" name="image3.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 screen&#10;&#10;Description automatically generated"/>
                    <pic:cNvPicPr preferRelativeResize="0"/>
                  </pic:nvPicPr>
                  <pic:blipFill>
                    <a:blip r:embed="rId8"/>
                    <a:srcRect/>
                    <a:stretch>
                      <a:fillRect/>
                    </a:stretch>
                  </pic:blipFill>
                  <pic:spPr>
                    <a:xfrm>
                      <a:off x="0" y="0"/>
                      <a:ext cx="5067300" cy="4823460"/>
                    </a:xfrm>
                    <a:prstGeom prst="rect">
                      <a:avLst/>
                    </a:prstGeom>
                    <a:ln/>
                  </pic:spPr>
                </pic:pic>
              </a:graphicData>
            </a:graphic>
          </wp:inline>
        </w:drawing>
      </w:r>
    </w:p>
    <w:p w14:paraId="2D371334" w14:textId="77777777" w:rsidR="002F439A" w:rsidRPr="002047C2" w:rsidRDefault="00000000">
      <w:pPr>
        <w:keepNext/>
        <w:pBdr>
          <w:top w:val="nil"/>
          <w:left w:val="nil"/>
          <w:bottom w:val="nil"/>
          <w:right w:val="nil"/>
          <w:between w:val="nil"/>
        </w:pBdr>
        <w:spacing w:after="0"/>
        <w:jc w:val="both"/>
        <w:rPr>
          <w:rFonts w:ascii="Arial" w:eastAsia="Arial" w:hAnsi="Arial" w:cs="Arial"/>
          <w:color w:val="000000" w:themeColor="text1"/>
          <w:sz w:val="20"/>
          <w:szCs w:val="20"/>
        </w:rPr>
      </w:pPr>
      <w:r w:rsidRPr="002047C2">
        <w:rPr>
          <w:rFonts w:ascii="Arial" w:eastAsia="Arial" w:hAnsi="Arial" w:cs="Arial"/>
          <w:b/>
          <w:color w:val="000000" w:themeColor="text1"/>
          <w:sz w:val="20"/>
          <w:szCs w:val="20"/>
        </w:rPr>
        <w:t>Supplementary Figure S2</w:t>
      </w:r>
      <w:r w:rsidRPr="002047C2">
        <w:rPr>
          <w:rFonts w:ascii="Arial" w:eastAsia="Arial" w:hAnsi="Arial" w:cs="Arial"/>
          <w:color w:val="000000" w:themeColor="text1"/>
          <w:sz w:val="20"/>
          <w:szCs w:val="20"/>
        </w:rPr>
        <w:t xml:space="preserve">. Individualized fluorescent channels used in FISH observation using </w:t>
      </w:r>
      <w:r w:rsidRPr="002047C2">
        <w:rPr>
          <w:rFonts w:ascii="Arial" w:eastAsia="Arial" w:hAnsi="Arial" w:cs="Arial"/>
          <w:i/>
          <w:color w:val="000000" w:themeColor="text1"/>
          <w:sz w:val="20"/>
          <w:szCs w:val="20"/>
        </w:rPr>
        <w:t xml:space="preserve">Endozoicomonas </w:t>
      </w:r>
      <w:r w:rsidRPr="002047C2">
        <w:rPr>
          <w:rFonts w:ascii="Arial" w:eastAsia="Arial" w:hAnsi="Arial" w:cs="Arial"/>
          <w:color w:val="000000" w:themeColor="text1"/>
          <w:sz w:val="20"/>
          <w:szCs w:val="20"/>
        </w:rPr>
        <w:t xml:space="preserve">spp. and AOA probes. Fluorophore Alexa637 was used for </w:t>
      </w:r>
      <w:r w:rsidRPr="002047C2">
        <w:rPr>
          <w:rFonts w:ascii="Arial" w:eastAsia="Arial" w:hAnsi="Arial" w:cs="Arial"/>
          <w:i/>
          <w:color w:val="000000" w:themeColor="text1"/>
          <w:sz w:val="20"/>
          <w:szCs w:val="20"/>
        </w:rPr>
        <w:t>Endozoicomonas</w:t>
      </w:r>
      <w:r w:rsidRPr="002047C2">
        <w:rPr>
          <w:rFonts w:ascii="Arial" w:eastAsia="Arial" w:hAnsi="Arial" w:cs="Arial"/>
          <w:color w:val="000000" w:themeColor="text1"/>
          <w:sz w:val="20"/>
          <w:szCs w:val="20"/>
        </w:rPr>
        <w:t xml:space="preserve"> probes (Endozoi663 and Endozoi736). Alexa637 also applied for AOA. Alexa594 for Antinsense probes (NonEubac and NonArch). Cn = Cnidocyte. Purple arrows highlight signals for </w:t>
      </w:r>
      <w:r w:rsidRPr="002047C2">
        <w:rPr>
          <w:rFonts w:ascii="Arial" w:eastAsia="Arial" w:hAnsi="Arial" w:cs="Arial"/>
          <w:i/>
          <w:color w:val="000000" w:themeColor="text1"/>
          <w:sz w:val="20"/>
          <w:szCs w:val="20"/>
        </w:rPr>
        <w:t>Endozoicomonas</w:t>
      </w:r>
      <w:r w:rsidRPr="002047C2">
        <w:rPr>
          <w:rFonts w:ascii="Arial" w:eastAsia="Arial" w:hAnsi="Arial" w:cs="Arial"/>
          <w:color w:val="000000" w:themeColor="text1"/>
          <w:sz w:val="20"/>
          <w:szCs w:val="20"/>
        </w:rPr>
        <w:t xml:space="preserve"> probes; red arrows highlight signals for AOA probes; white arrows pinpoint overlaps with antisense signals.</w:t>
      </w:r>
    </w:p>
    <w:p w14:paraId="34E86C8F" w14:textId="77777777" w:rsidR="002F439A" w:rsidRDefault="00000000">
      <w:pPr>
        <w:rPr>
          <w:rFonts w:ascii="Arial" w:eastAsia="Arial" w:hAnsi="Arial" w:cs="Arial"/>
          <w:color w:val="000000"/>
          <w:sz w:val="20"/>
          <w:szCs w:val="20"/>
        </w:rPr>
      </w:pPr>
      <w:r>
        <w:br w:type="page"/>
      </w:r>
    </w:p>
    <w:p w14:paraId="53998C67" w14:textId="77777777" w:rsidR="002F439A" w:rsidRDefault="00000000">
      <w:pPr>
        <w:keepNext/>
        <w:pBdr>
          <w:top w:val="nil"/>
          <w:left w:val="nil"/>
          <w:bottom w:val="nil"/>
          <w:right w:val="nil"/>
          <w:between w:val="nil"/>
        </w:pBdr>
        <w:spacing w:before="200" w:after="0"/>
        <w:jc w:val="both"/>
        <w:rPr>
          <w:rFonts w:ascii="Arial" w:eastAsia="Arial" w:hAnsi="Arial" w:cs="Arial"/>
          <w:color w:val="000000"/>
          <w:sz w:val="20"/>
          <w:szCs w:val="20"/>
        </w:rPr>
      </w:pPr>
      <w:r>
        <w:rPr>
          <w:rFonts w:ascii="Arial" w:eastAsia="Arial" w:hAnsi="Arial" w:cs="Arial"/>
          <w:noProof/>
          <w:color w:val="000000"/>
          <w:sz w:val="20"/>
          <w:szCs w:val="20"/>
        </w:rPr>
        <w:lastRenderedPageBreak/>
        <w:drawing>
          <wp:inline distT="0" distB="0" distL="0" distR="0" wp14:anchorId="57C9CF8F" wp14:editId="742C9097">
            <wp:extent cx="3719229" cy="7000119"/>
            <wp:effectExtent l="0" t="0" r="0" b="0"/>
            <wp:docPr id="1147465117" name="image5.jpg" descr="A collage of images of cell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collage of images of cells&#10;&#10;Description automatically generated"/>
                    <pic:cNvPicPr preferRelativeResize="0"/>
                  </pic:nvPicPr>
                  <pic:blipFill>
                    <a:blip r:embed="rId9"/>
                    <a:srcRect/>
                    <a:stretch>
                      <a:fillRect/>
                    </a:stretch>
                  </pic:blipFill>
                  <pic:spPr>
                    <a:xfrm>
                      <a:off x="0" y="0"/>
                      <a:ext cx="3719229" cy="7000119"/>
                    </a:xfrm>
                    <a:prstGeom prst="rect">
                      <a:avLst/>
                    </a:prstGeom>
                    <a:ln/>
                  </pic:spPr>
                </pic:pic>
              </a:graphicData>
            </a:graphic>
          </wp:inline>
        </w:drawing>
      </w:r>
    </w:p>
    <w:p w14:paraId="44AC3F2F" w14:textId="77777777" w:rsidR="002F439A" w:rsidRPr="002047C2" w:rsidRDefault="00000000">
      <w:pPr>
        <w:keepNext/>
        <w:pBdr>
          <w:top w:val="nil"/>
          <w:left w:val="nil"/>
          <w:bottom w:val="nil"/>
          <w:right w:val="nil"/>
          <w:between w:val="nil"/>
        </w:pBdr>
        <w:spacing w:after="0"/>
        <w:jc w:val="both"/>
        <w:rPr>
          <w:rFonts w:ascii="Arial" w:eastAsia="Arial" w:hAnsi="Arial" w:cs="Arial"/>
          <w:color w:val="000000" w:themeColor="text1"/>
          <w:sz w:val="20"/>
          <w:szCs w:val="20"/>
        </w:rPr>
      </w:pPr>
      <w:r w:rsidRPr="002047C2">
        <w:rPr>
          <w:rFonts w:ascii="Arial" w:eastAsia="Arial" w:hAnsi="Arial" w:cs="Arial"/>
          <w:b/>
          <w:color w:val="000000" w:themeColor="text1"/>
          <w:sz w:val="20"/>
          <w:szCs w:val="20"/>
        </w:rPr>
        <w:lastRenderedPageBreak/>
        <w:t>Supplementary Figure S3</w:t>
      </w:r>
      <w:r w:rsidRPr="002047C2">
        <w:rPr>
          <w:rFonts w:ascii="Arial" w:eastAsia="Arial" w:hAnsi="Arial" w:cs="Arial"/>
          <w:color w:val="000000" w:themeColor="text1"/>
          <w:sz w:val="20"/>
          <w:szCs w:val="20"/>
        </w:rPr>
        <w:t xml:space="preserve">. Fluorescent channels used in FISH observation using probes for </w:t>
      </w:r>
      <w:r w:rsidRPr="002047C2">
        <w:rPr>
          <w:rFonts w:ascii="Arial" w:eastAsia="Arial" w:hAnsi="Arial" w:cs="Arial"/>
          <w:i/>
          <w:color w:val="000000" w:themeColor="text1"/>
          <w:sz w:val="20"/>
          <w:szCs w:val="20"/>
        </w:rPr>
        <w:t>Endozoicomonas</w:t>
      </w:r>
      <w:r w:rsidRPr="002047C2">
        <w:rPr>
          <w:rFonts w:ascii="Arial" w:eastAsia="Arial" w:hAnsi="Arial" w:cs="Arial"/>
          <w:color w:val="000000" w:themeColor="text1"/>
          <w:sz w:val="20"/>
          <w:szCs w:val="20"/>
        </w:rPr>
        <w:t xml:space="preserve"> spp. (left panel) and AOA (right panel). Fluorophores Alexa637 was used for all probes. Bars = 5 µm. Cn = cnidocyte; nu = nucleus; sc = secretory cells; a = aggregates (putative).</w:t>
      </w:r>
    </w:p>
    <w:p w14:paraId="1F00B9E7" w14:textId="77777777" w:rsidR="002F439A" w:rsidRDefault="002F439A">
      <w:pPr>
        <w:keepNext/>
        <w:pBdr>
          <w:top w:val="nil"/>
          <w:left w:val="nil"/>
          <w:bottom w:val="nil"/>
          <w:right w:val="nil"/>
          <w:between w:val="nil"/>
        </w:pBdr>
        <w:spacing w:after="0"/>
        <w:jc w:val="both"/>
        <w:rPr>
          <w:rFonts w:ascii="Arial" w:eastAsia="Arial" w:hAnsi="Arial" w:cs="Arial"/>
          <w:color w:val="000000"/>
          <w:sz w:val="20"/>
          <w:szCs w:val="20"/>
        </w:rPr>
      </w:pPr>
    </w:p>
    <w:p w14:paraId="79E8A5DC"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noProof/>
        </w:rPr>
        <w:lastRenderedPageBreak/>
        <w:drawing>
          <wp:anchor distT="0" distB="0" distL="114300" distR="114300" simplePos="0" relativeHeight="251658240" behindDoc="0" locked="0" layoutInCell="1" hidden="0" allowOverlap="1" wp14:anchorId="6CB3E36B" wp14:editId="4C2875BC">
            <wp:simplePos x="0" y="0"/>
            <wp:positionH relativeFrom="column">
              <wp:posOffset>1</wp:posOffset>
            </wp:positionH>
            <wp:positionV relativeFrom="paragraph">
              <wp:posOffset>13335</wp:posOffset>
            </wp:positionV>
            <wp:extent cx="2261235" cy="6934200"/>
            <wp:effectExtent l="0" t="0" r="0" b="0"/>
            <wp:wrapTopAndBottom distT="0" distB="0"/>
            <wp:docPr id="1147465116" name="image2.jp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screenshot of a cell phone&#10;&#10;Description automatically generated"/>
                    <pic:cNvPicPr preferRelativeResize="0"/>
                  </pic:nvPicPr>
                  <pic:blipFill>
                    <a:blip r:embed="rId10"/>
                    <a:srcRect/>
                    <a:stretch>
                      <a:fillRect/>
                    </a:stretch>
                  </pic:blipFill>
                  <pic:spPr>
                    <a:xfrm>
                      <a:off x="0" y="0"/>
                      <a:ext cx="2261235" cy="6934200"/>
                    </a:xfrm>
                    <a:prstGeom prst="rect">
                      <a:avLst/>
                    </a:prstGeom>
                    <a:ln/>
                  </pic:spPr>
                </pic:pic>
              </a:graphicData>
            </a:graphic>
          </wp:anchor>
        </w:drawing>
      </w:r>
    </w:p>
    <w:p w14:paraId="6D2FEC0B"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sidRPr="002047C2">
        <w:rPr>
          <w:rFonts w:ascii="Arial" w:eastAsia="Arial" w:hAnsi="Arial" w:cs="Arial"/>
          <w:b/>
          <w:color w:val="000000" w:themeColor="text1"/>
          <w:sz w:val="20"/>
          <w:szCs w:val="20"/>
        </w:rPr>
        <w:lastRenderedPageBreak/>
        <w:t>Supplementary Figure S4</w:t>
      </w:r>
      <w:r w:rsidRPr="002047C2">
        <w:rPr>
          <w:rFonts w:ascii="Arial" w:eastAsia="Arial" w:hAnsi="Arial" w:cs="Arial"/>
          <w:color w:val="000000" w:themeColor="text1"/>
          <w:sz w:val="20"/>
          <w:szCs w:val="20"/>
        </w:rPr>
        <w:t xml:space="preserve">. </w:t>
      </w:r>
      <w:r>
        <w:rPr>
          <w:rFonts w:ascii="Arial" w:eastAsia="Arial" w:hAnsi="Arial" w:cs="Arial"/>
          <w:color w:val="000000"/>
          <w:sz w:val="20"/>
          <w:szCs w:val="20"/>
        </w:rPr>
        <w:t xml:space="preserve">FISH images using NonSense (antisense) probing (Non-Eubac) to test for probe specificity in samples from </w:t>
      </w:r>
      <w:r>
        <w:rPr>
          <w:rFonts w:ascii="Arial" w:eastAsia="Arial" w:hAnsi="Arial" w:cs="Arial"/>
          <w:i/>
          <w:color w:val="000000"/>
          <w:sz w:val="20"/>
          <w:szCs w:val="20"/>
        </w:rPr>
        <w:t>Desmophyllum pertusum</w:t>
      </w:r>
      <w:r>
        <w:rPr>
          <w:rFonts w:ascii="Arial" w:eastAsia="Arial" w:hAnsi="Arial" w:cs="Arial"/>
          <w:color w:val="000000"/>
          <w:sz w:val="20"/>
          <w:szCs w:val="20"/>
        </w:rPr>
        <w:t xml:space="preserve"> tissue (A), </w:t>
      </w:r>
      <w:r>
        <w:rPr>
          <w:rFonts w:ascii="Arial" w:eastAsia="Arial" w:hAnsi="Arial" w:cs="Arial"/>
          <w:i/>
          <w:color w:val="000000"/>
          <w:sz w:val="20"/>
          <w:szCs w:val="20"/>
        </w:rPr>
        <w:t>Solenosmilia variabilis</w:t>
      </w:r>
      <w:r>
        <w:rPr>
          <w:rFonts w:ascii="Arial" w:eastAsia="Arial" w:hAnsi="Arial" w:cs="Arial"/>
          <w:color w:val="000000"/>
          <w:sz w:val="20"/>
          <w:szCs w:val="20"/>
        </w:rPr>
        <w:t xml:space="preserve"> tissue (B) and Crinoid calyx-cirri tissue (C). In cyan-blue is DAPI and in red the non-sense probe (fluorophore Alexa637). Bars = 10 µm.</w:t>
      </w:r>
    </w:p>
    <w:p w14:paraId="627F5D67" w14:textId="77777777" w:rsidR="002F439A" w:rsidRDefault="00000000">
      <w:pPr>
        <w:rPr>
          <w:rFonts w:ascii="Arial" w:eastAsia="Arial" w:hAnsi="Arial" w:cs="Arial"/>
          <w:color w:val="000000"/>
          <w:sz w:val="20"/>
          <w:szCs w:val="20"/>
        </w:rPr>
      </w:pPr>
      <w:r>
        <w:br w:type="page"/>
      </w:r>
    </w:p>
    <w:p w14:paraId="4B2F188D" w14:textId="77777777" w:rsidR="002F439A" w:rsidRDefault="00000000">
      <w:pPr>
        <w:keepNext/>
        <w:pBdr>
          <w:top w:val="nil"/>
          <w:left w:val="nil"/>
          <w:bottom w:val="nil"/>
          <w:right w:val="nil"/>
          <w:between w:val="nil"/>
        </w:pBdr>
        <w:spacing w:before="200" w:after="0"/>
        <w:jc w:val="both"/>
        <w:rPr>
          <w:rFonts w:ascii="Arial" w:eastAsia="Arial" w:hAnsi="Arial" w:cs="Arial"/>
          <w:color w:val="000000"/>
          <w:sz w:val="20"/>
          <w:szCs w:val="20"/>
        </w:rPr>
      </w:pPr>
      <w:r>
        <w:rPr>
          <w:rFonts w:ascii="Arial" w:eastAsia="Arial" w:hAnsi="Arial" w:cs="Arial"/>
          <w:noProof/>
          <w:color w:val="000000"/>
          <w:sz w:val="20"/>
          <w:szCs w:val="20"/>
        </w:rPr>
        <w:lastRenderedPageBreak/>
        <w:drawing>
          <wp:inline distT="0" distB="0" distL="0" distR="0" wp14:anchorId="47397C7F" wp14:editId="0369EDC1">
            <wp:extent cx="5632704" cy="3741445"/>
            <wp:effectExtent l="0" t="0" r="0" b="0"/>
            <wp:docPr id="1147465119" name="image1.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graph&#10;&#10;Description automatically generated"/>
                    <pic:cNvPicPr preferRelativeResize="0"/>
                  </pic:nvPicPr>
                  <pic:blipFill>
                    <a:blip r:embed="rId11"/>
                    <a:srcRect/>
                    <a:stretch>
                      <a:fillRect/>
                    </a:stretch>
                  </pic:blipFill>
                  <pic:spPr>
                    <a:xfrm>
                      <a:off x="0" y="0"/>
                      <a:ext cx="5632704" cy="3741445"/>
                    </a:xfrm>
                    <a:prstGeom prst="rect">
                      <a:avLst/>
                    </a:prstGeom>
                    <a:ln/>
                  </pic:spPr>
                </pic:pic>
              </a:graphicData>
            </a:graphic>
          </wp:inline>
        </w:drawing>
      </w:r>
    </w:p>
    <w:p w14:paraId="68CDB4C8"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sidRPr="002047C2">
        <w:rPr>
          <w:rFonts w:ascii="Arial" w:eastAsia="Arial" w:hAnsi="Arial" w:cs="Arial"/>
          <w:b/>
          <w:color w:val="000000" w:themeColor="text1"/>
          <w:sz w:val="20"/>
          <w:szCs w:val="20"/>
        </w:rPr>
        <w:t>Supplementary Figure S5</w:t>
      </w:r>
      <w:r>
        <w:rPr>
          <w:rFonts w:ascii="Arial" w:eastAsia="Arial" w:hAnsi="Arial" w:cs="Arial"/>
          <w:b/>
          <w:color w:val="000000"/>
          <w:sz w:val="20"/>
          <w:szCs w:val="20"/>
        </w:rPr>
        <w:t>.</w:t>
      </w:r>
      <w:r>
        <w:rPr>
          <w:rFonts w:ascii="Arial" w:eastAsia="Arial" w:hAnsi="Arial" w:cs="Arial"/>
          <w:color w:val="000000"/>
          <w:sz w:val="20"/>
          <w:szCs w:val="20"/>
        </w:rPr>
        <w:t xml:space="preserve"> Correlation analysis (Spearman correlation) between 15 most abundant ASV families and nitrogen forms (nitrate, nitrite and ammonium) and dissolved organic carbon (DOC).  Prv. and Abd. indicates the prevalence and abundance of the taxa. Dendograms clusterized the rows (taxa) and columns (factors) by similarity.</w:t>
      </w:r>
    </w:p>
    <w:p w14:paraId="369D5B83" w14:textId="77777777" w:rsidR="002F439A" w:rsidRDefault="002F439A">
      <w:pPr>
        <w:keepNext/>
        <w:pBdr>
          <w:top w:val="nil"/>
          <w:left w:val="nil"/>
          <w:bottom w:val="nil"/>
          <w:right w:val="nil"/>
          <w:between w:val="nil"/>
        </w:pBdr>
        <w:spacing w:after="0"/>
        <w:jc w:val="both"/>
        <w:rPr>
          <w:rFonts w:ascii="Arial" w:eastAsia="Arial" w:hAnsi="Arial" w:cs="Arial"/>
          <w:i/>
          <w:color w:val="000000"/>
          <w:sz w:val="20"/>
          <w:szCs w:val="20"/>
        </w:rPr>
      </w:pPr>
    </w:p>
    <w:p w14:paraId="4DCC77EC" w14:textId="77777777" w:rsidR="002F439A" w:rsidRDefault="00000000">
      <w:pPr>
        <w:rPr>
          <w:rFonts w:ascii="Arial" w:eastAsia="Arial" w:hAnsi="Arial" w:cs="Arial"/>
          <w:i/>
          <w:color w:val="000000"/>
          <w:sz w:val="20"/>
          <w:szCs w:val="20"/>
        </w:rPr>
      </w:pPr>
      <w:r>
        <w:br w:type="page"/>
      </w:r>
    </w:p>
    <w:p w14:paraId="38216F94" w14:textId="77777777" w:rsidR="002F439A" w:rsidRDefault="00000000">
      <w:pPr>
        <w:keepNext/>
        <w:pBdr>
          <w:top w:val="nil"/>
          <w:left w:val="nil"/>
          <w:bottom w:val="nil"/>
          <w:right w:val="nil"/>
          <w:between w:val="nil"/>
        </w:pBdr>
        <w:spacing w:before="200" w:after="0"/>
        <w:jc w:val="both"/>
        <w:rPr>
          <w:rFonts w:ascii="Arial" w:eastAsia="Arial" w:hAnsi="Arial" w:cs="Arial"/>
          <w:color w:val="000000"/>
          <w:sz w:val="20"/>
          <w:szCs w:val="20"/>
        </w:rPr>
      </w:pPr>
      <w:r>
        <w:rPr>
          <w:rFonts w:ascii="Arial" w:eastAsia="Arial" w:hAnsi="Arial" w:cs="Arial"/>
          <w:i/>
          <w:color w:val="000000"/>
          <w:sz w:val="20"/>
          <w:szCs w:val="20"/>
        </w:rPr>
        <w:lastRenderedPageBreak/>
        <w:t>Supplementary Tables:</w:t>
      </w:r>
    </w:p>
    <w:p w14:paraId="75C2483F"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Supplementary Table S1.</w:t>
      </w:r>
      <w:r>
        <w:rPr>
          <w:rFonts w:ascii="Arial" w:eastAsia="Arial" w:hAnsi="Arial" w:cs="Arial"/>
          <w:color w:val="000000"/>
          <w:sz w:val="20"/>
          <w:szCs w:val="20"/>
        </w:rPr>
        <w:t xml:space="preserve"> Taxonomic classification of deep</w:t>
      </w:r>
      <w:r>
        <w:rPr>
          <w:rFonts w:ascii="Arial" w:eastAsia="Arial" w:hAnsi="Arial" w:cs="Arial"/>
          <w:color w:val="0070C0"/>
          <w:sz w:val="20"/>
          <w:szCs w:val="20"/>
        </w:rPr>
        <w:t>-</w:t>
      </w:r>
      <w:r>
        <w:rPr>
          <w:rFonts w:ascii="Arial" w:eastAsia="Arial" w:hAnsi="Arial" w:cs="Arial"/>
          <w:color w:val="000000"/>
          <w:sz w:val="20"/>
          <w:szCs w:val="20"/>
        </w:rPr>
        <w:t>sea corals and crinoids by CO1 sequencing.</w:t>
      </w:r>
    </w:p>
    <w:p w14:paraId="395A7DAA"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Supplementary Table S2.</w:t>
      </w:r>
      <w:r>
        <w:rPr>
          <w:rFonts w:ascii="Arial" w:eastAsia="Arial" w:hAnsi="Arial" w:cs="Arial"/>
          <w:color w:val="000000"/>
          <w:sz w:val="20"/>
          <w:szCs w:val="20"/>
        </w:rPr>
        <w:t xml:space="preserve"> Summary reads statistics from amplicon sequencing and ASV table with raw read count.</w:t>
      </w:r>
    </w:p>
    <w:p w14:paraId="5F93C86F"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Supplementary Table S3.</w:t>
      </w:r>
      <w:r>
        <w:rPr>
          <w:rFonts w:ascii="Arial" w:eastAsia="Arial" w:hAnsi="Arial" w:cs="Arial"/>
          <w:color w:val="000000"/>
          <w:sz w:val="20"/>
          <w:szCs w:val="20"/>
        </w:rPr>
        <w:t xml:space="preserve"> Genomic features from annotation of MAG-CC1 using Prokka pipeline.</w:t>
      </w:r>
    </w:p>
    <w:p w14:paraId="437D36D2"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Supplementary Table S4.</w:t>
      </w:r>
      <w:r>
        <w:rPr>
          <w:rFonts w:ascii="Arial" w:eastAsia="Arial" w:hAnsi="Arial" w:cs="Arial"/>
          <w:color w:val="000000"/>
          <w:sz w:val="20"/>
          <w:szCs w:val="20"/>
        </w:rPr>
        <w:t xml:space="preserve"> Set of genes retrieved from pangenomic analysis of </w:t>
      </w:r>
      <w:r>
        <w:rPr>
          <w:rFonts w:ascii="Arial" w:eastAsia="Arial" w:hAnsi="Arial" w:cs="Arial"/>
          <w:i/>
          <w:color w:val="000000"/>
          <w:sz w:val="20"/>
          <w:szCs w:val="20"/>
        </w:rPr>
        <w:t>Endozoicomonas</w:t>
      </w:r>
      <w:r>
        <w:rPr>
          <w:rFonts w:ascii="Arial" w:eastAsia="Arial" w:hAnsi="Arial" w:cs="Arial"/>
          <w:color w:val="000000"/>
          <w:sz w:val="20"/>
          <w:szCs w:val="20"/>
        </w:rPr>
        <w:t xml:space="preserve"> genus.</w:t>
      </w:r>
    </w:p>
    <w:p w14:paraId="35ACF0BA"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Supplementary Table S5.</w:t>
      </w:r>
      <w:r>
        <w:rPr>
          <w:rFonts w:ascii="Arial" w:eastAsia="Arial" w:hAnsi="Arial" w:cs="Arial"/>
          <w:color w:val="000000"/>
          <w:sz w:val="20"/>
          <w:szCs w:val="20"/>
        </w:rPr>
        <w:t xml:space="preserve"> Metadata related to sampling sites.</w:t>
      </w:r>
    </w:p>
    <w:p w14:paraId="469BF2A0"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Supplementary Table S6.</w:t>
      </w:r>
      <w:r>
        <w:rPr>
          <w:rFonts w:ascii="Arial" w:eastAsia="Arial" w:hAnsi="Arial" w:cs="Arial"/>
          <w:color w:val="000000"/>
          <w:sz w:val="20"/>
          <w:szCs w:val="20"/>
        </w:rPr>
        <w:t xml:space="preserve"> Genome set and accession IDs used for phylogenomic and pangenomic analysis.</w:t>
      </w:r>
    </w:p>
    <w:p w14:paraId="67B7C2E8" w14:textId="77777777" w:rsidR="002F439A" w:rsidRDefault="00000000">
      <w:pPr>
        <w:keepNext/>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b/>
          <w:color w:val="000000"/>
          <w:sz w:val="20"/>
          <w:szCs w:val="20"/>
        </w:rPr>
        <w:t>Supplementary Table S7.</w:t>
      </w:r>
      <w:r>
        <w:rPr>
          <w:rFonts w:ascii="Arial" w:eastAsia="Arial" w:hAnsi="Arial" w:cs="Arial"/>
          <w:color w:val="000000"/>
          <w:sz w:val="20"/>
          <w:szCs w:val="20"/>
        </w:rPr>
        <w:t xml:space="preserve"> List of probes used for fluorescence in situ hybridisation (FISH).</w:t>
      </w:r>
    </w:p>
    <w:p w14:paraId="0FBD35DF" w14:textId="77777777" w:rsidR="002F439A" w:rsidRDefault="002F439A">
      <w:pPr>
        <w:keepNext/>
        <w:pBdr>
          <w:top w:val="nil"/>
          <w:left w:val="nil"/>
          <w:bottom w:val="nil"/>
          <w:right w:val="nil"/>
          <w:between w:val="nil"/>
        </w:pBdr>
        <w:spacing w:after="60"/>
        <w:jc w:val="both"/>
        <w:rPr>
          <w:rFonts w:ascii="Arial" w:eastAsia="Arial" w:hAnsi="Arial" w:cs="Arial"/>
          <w:color w:val="000000"/>
          <w:sz w:val="20"/>
          <w:szCs w:val="20"/>
        </w:rPr>
      </w:pPr>
    </w:p>
    <w:sectPr w:rsidR="002F439A">
      <w:headerReference w:type="default" r:id="rId12"/>
      <w:footerReference w:type="default" r:id="rId13"/>
      <w:pgSz w:w="12240" w:h="15840"/>
      <w:pgMar w:top="1418" w:right="1800" w:bottom="3261" w:left="1800" w:header="720" w:footer="720" w:gutter="0"/>
      <w:lnNumType w:countBy="1" w:restart="newSection"/>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AC44" w14:textId="77777777" w:rsidR="00FD4101" w:rsidRDefault="00FD4101">
      <w:pPr>
        <w:spacing w:after="0"/>
      </w:pPr>
      <w:r>
        <w:separator/>
      </w:r>
    </w:p>
  </w:endnote>
  <w:endnote w:type="continuationSeparator" w:id="0">
    <w:p w14:paraId="6CB0BBDA" w14:textId="77777777" w:rsidR="00FD4101" w:rsidRDefault="00FD41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2677" w14:textId="77777777" w:rsidR="002F439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2047C2">
      <w:rPr>
        <w:noProof/>
        <w:color w:val="000000"/>
      </w:rPr>
      <w:t>1</w:t>
    </w:r>
    <w:r>
      <w:rPr>
        <w:color w:val="000000"/>
      </w:rPr>
      <w:fldChar w:fldCharType="end"/>
    </w:r>
  </w:p>
  <w:p w14:paraId="0EF0652C" w14:textId="77777777" w:rsidR="002F439A" w:rsidRDefault="002F439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3601" w14:textId="77777777" w:rsidR="00FD4101" w:rsidRDefault="00FD4101">
      <w:pPr>
        <w:spacing w:after="0"/>
      </w:pPr>
      <w:r>
        <w:separator/>
      </w:r>
    </w:p>
  </w:footnote>
  <w:footnote w:type="continuationSeparator" w:id="0">
    <w:p w14:paraId="475A8FAF" w14:textId="77777777" w:rsidR="00FD4101" w:rsidRDefault="00FD410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731E" w14:textId="77777777" w:rsidR="002F439A" w:rsidRDefault="002F439A">
    <w:pPr>
      <w:jc w:val="right"/>
      <w:rPr>
        <w:sz w:val="20"/>
        <w:szCs w:val="20"/>
      </w:rPr>
    </w:pPr>
  </w:p>
  <w:p w14:paraId="2A622CA0" w14:textId="77777777" w:rsidR="002F439A" w:rsidRDefault="002F439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39A"/>
    <w:rsid w:val="002047C2"/>
    <w:rsid w:val="002F439A"/>
    <w:rsid w:val="00D639DF"/>
    <w:rsid w:val="00FD4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49AF"/>
  <w15:docId w15:val="{F24D14FD-160B-4163-AAC6-0E4BE100B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40" w:after="0"/>
      <w:outlineLvl w:val="4"/>
    </w:pPr>
    <w:rPr>
      <w:rFonts w:ascii="Cambria" w:eastAsia="Cambria" w:hAnsi="Cambria" w:cs="Cambria"/>
      <w:color w:val="366091"/>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Refdecomentrio">
    <w:name w:val="annotation reference"/>
    <w:basedOn w:val="Fontepargpadro"/>
    <w:uiPriority w:val="99"/>
    <w:semiHidden/>
    <w:unhideWhenUsed/>
    <w:rsid w:val="00E6133D"/>
    <w:rPr>
      <w:sz w:val="16"/>
      <w:szCs w:val="16"/>
    </w:rPr>
  </w:style>
  <w:style w:type="paragraph" w:styleId="Textodecomentrio">
    <w:name w:val="annotation text"/>
    <w:basedOn w:val="Normal"/>
    <w:link w:val="TextodecomentrioChar"/>
    <w:uiPriority w:val="99"/>
    <w:semiHidden/>
    <w:unhideWhenUsed/>
    <w:rsid w:val="00E6133D"/>
    <w:pPr>
      <w:spacing w:after="0"/>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semiHidden/>
    <w:rsid w:val="00E6133D"/>
    <w:rPr>
      <w:rFonts w:ascii="Times New Roman" w:eastAsia="Times New Roman" w:hAnsi="Times New Roman" w:cs="Times New Roman"/>
      <w:sz w:val="20"/>
      <w:szCs w:val="20"/>
    </w:rPr>
  </w:style>
  <w:style w:type="character" w:styleId="Hyperlink">
    <w:name w:val="Hyperlink"/>
    <w:basedOn w:val="Fontepargpadro"/>
    <w:uiPriority w:val="99"/>
    <w:unhideWhenUsed/>
    <w:rsid w:val="00E6133D"/>
    <w:rPr>
      <w:color w:val="0000FF" w:themeColor="hyperlink"/>
      <w:u w:val="single"/>
    </w:rPr>
  </w:style>
  <w:style w:type="paragraph" w:styleId="Textodebalo">
    <w:name w:val="Balloon Text"/>
    <w:basedOn w:val="Normal"/>
    <w:link w:val="TextodebaloChar"/>
    <w:uiPriority w:val="99"/>
    <w:semiHidden/>
    <w:unhideWhenUsed/>
    <w:rsid w:val="00E6133D"/>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6133D"/>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E6133D"/>
    <w:pPr>
      <w:spacing w:after="20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E6133D"/>
    <w:rPr>
      <w:rFonts w:ascii="Times New Roman" w:eastAsia="Times New Roman" w:hAnsi="Times New Roman" w:cs="Times New Roman"/>
      <w:b/>
      <w:bCs/>
      <w:sz w:val="20"/>
      <w:szCs w:val="20"/>
    </w:rPr>
  </w:style>
  <w:style w:type="paragraph" w:customStyle="1" w:styleId="SMcaption">
    <w:name w:val="SM caption"/>
    <w:basedOn w:val="Normal"/>
    <w:qFormat/>
    <w:rsid w:val="00483D1D"/>
    <w:pPr>
      <w:spacing w:after="0"/>
    </w:pPr>
    <w:rPr>
      <w:rFonts w:ascii="Times New Roman" w:eastAsia="Times New Roman" w:hAnsi="Times New Roman" w:cs="Times New Roman"/>
      <w:sz w:val="24"/>
      <w:szCs w:val="20"/>
    </w:rPr>
  </w:style>
  <w:style w:type="paragraph" w:styleId="NormalWeb">
    <w:name w:val="Normal (Web)"/>
    <w:basedOn w:val="Normal"/>
    <w:uiPriority w:val="99"/>
    <w:semiHidden/>
    <w:rsid w:val="00483D1D"/>
    <w:pPr>
      <w:spacing w:after="0"/>
    </w:pPr>
    <w:rPr>
      <w:rFonts w:ascii="Times New Roman" w:eastAsia="Times New Roman" w:hAnsi="Times New Roman" w:cs="Times New Roman"/>
      <w:sz w:val="24"/>
      <w:szCs w:val="24"/>
    </w:rPr>
  </w:style>
  <w:style w:type="character" w:styleId="Nmerodelinha">
    <w:name w:val="line number"/>
    <w:basedOn w:val="Fontepargpadro"/>
    <w:uiPriority w:val="99"/>
    <w:semiHidden/>
    <w:unhideWhenUsed/>
    <w:rsid w:val="0040158E"/>
  </w:style>
  <w:style w:type="character" w:styleId="MenoPendente">
    <w:name w:val="Unresolved Mention"/>
    <w:basedOn w:val="Fontepargpadro"/>
    <w:uiPriority w:val="99"/>
    <w:semiHidden/>
    <w:unhideWhenUsed/>
    <w:rsid w:val="00A93CC2"/>
    <w:rPr>
      <w:color w:val="605E5C"/>
      <w:shd w:val="clear" w:color="auto" w:fill="E1DFDD"/>
    </w:rPr>
  </w:style>
  <w:style w:type="character" w:customStyle="1" w:styleId="Ttulo5Char">
    <w:name w:val="Título 5 Char"/>
    <w:basedOn w:val="Fontepargpadro"/>
    <w:uiPriority w:val="9"/>
    <w:semiHidden/>
    <w:rsid w:val="009579FD"/>
    <w:rPr>
      <w:rFonts w:asciiTheme="majorHAnsi" w:eastAsiaTheme="majorEastAsia" w:hAnsiTheme="majorHAnsi" w:cstheme="majorBidi"/>
      <w:color w:val="365F91" w:themeColor="accent1" w:themeShade="BF"/>
    </w:rPr>
  </w:style>
  <w:style w:type="paragraph" w:styleId="Cabealho">
    <w:name w:val="header"/>
    <w:basedOn w:val="Normal"/>
    <w:link w:val="CabealhoChar"/>
    <w:uiPriority w:val="99"/>
    <w:unhideWhenUsed/>
    <w:rsid w:val="00EB1578"/>
    <w:pPr>
      <w:tabs>
        <w:tab w:val="center" w:pos="4419"/>
        <w:tab w:val="right" w:pos="8838"/>
      </w:tabs>
      <w:spacing w:after="0"/>
    </w:pPr>
  </w:style>
  <w:style w:type="character" w:customStyle="1" w:styleId="CabealhoChar">
    <w:name w:val="Cabeçalho Char"/>
    <w:basedOn w:val="Fontepargpadro"/>
    <w:link w:val="Cabealho"/>
    <w:uiPriority w:val="99"/>
    <w:rsid w:val="00EB1578"/>
  </w:style>
  <w:style w:type="paragraph" w:styleId="Rodap">
    <w:name w:val="footer"/>
    <w:basedOn w:val="Normal"/>
    <w:link w:val="RodapChar"/>
    <w:uiPriority w:val="99"/>
    <w:unhideWhenUsed/>
    <w:rsid w:val="00EB1578"/>
    <w:pPr>
      <w:tabs>
        <w:tab w:val="center" w:pos="4419"/>
        <w:tab w:val="right" w:pos="8838"/>
      </w:tabs>
      <w:spacing w:after="0"/>
    </w:pPr>
  </w:style>
  <w:style w:type="character" w:customStyle="1" w:styleId="RodapChar">
    <w:name w:val="Rodapé Char"/>
    <w:basedOn w:val="Fontepargpadro"/>
    <w:link w:val="Rodap"/>
    <w:uiPriority w:val="99"/>
    <w:rsid w:val="00EB1578"/>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12ifzF20N9312FHTp7PA+oxxYg==">CgMxLjA4AHIhMWVBTGpWNG5IT0daVC1WaVdNdVJ4eG9UOVRzQ19lTFBK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Shuler, Megan</dc:creator>
  <cp:lastModifiedBy>Fluvio Modolon</cp:lastModifiedBy>
  <cp:revision>3</cp:revision>
  <dcterms:created xsi:type="dcterms:W3CDTF">2025-04-09T13:34:00Z</dcterms:created>
  <dcterms:modified xsi:type="dcterms:W3CDTF">2025-08-25T22:34:00Z</dcterms:modified>
</cp:coreProperties>
</file>