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92846" w14:textId="26CF907E" w:rsidR="00A34C16" w:rsidRPr="007A7B4E" w:rsidRDefault="00BA36A1" w:rsidP="007A7B4E">
      <w:pPr>
        <w:spacing w:line="480" w:lineRule="auto"/>
        <w:rPr>
          <w:rFonts w:ascii="Times New Roman" w:hAnsi="Times New Roman" w:cs="Times New Roman"/>
          <w:b/>
          <w:bCs/>
          <w:sz w:val="24"/>
          <w:szCs w:val="24"/>
        </w:rPr>
      </w:pPr>
      <w:r w:rsidRPr="007A7B4E">
        <w:rPr>
          <w:rFonts w:ascii="Times New Roman" w:hAnsi="Times New Roman" w:cs="Times New Roman"/>
          <w:b/>
          <w:bCs/>
          <w:sz w:val="24"/>
          <w:szCs w:val="24"/>
        </w:rPr>
        <w:t>Supplementary Materials</w:t>
      </w:r>
    </w:p>
    <w:p w14:paraId="0E4390A1" w14:textId="21F86CDB" w:rsidR="00BA36A1" w:rsidRPr="007A7B4E" w:rsidRDefault="00BA36A1" w:rsidP="007A7B4E">
      <w:pPr>
        <w:spacing w:line="480" w:lineRule="auto"/>
        <w:rPr>
          <w:rFonts w:ascii="Times New Roman" w:hAnsi="Times New Roman" w:cs="Times New Roman"/>
          <w:b/>
          <w:bCs/>
          <w:sz w:val="20"/>
          <w:szCs w:val="20"/>
        </w:rPr>
      </w:pPr>
      <w:r w:rsidRPr="007A7B4E">
        <w:rPr>
          <w:rFonts w:ascii="Times New Roman" w:hAnsi="Times New Roman" w:cs="Times New Roman"/>
          <w:b/>
          <w:bCs/>
          <w:sz w:val="20"/>
          <w:szCs w:val="20"/>
        </w:rPr>
        <w:t>1. Supplementary Methods</w:t>
      </w:r>
    </w:p>
    <w:p w14:paraId="1214714D" w14:textId="2B7216B5" w:rsidR="00BA36A1" w:rsidRPr="007A7B4E" w:rsidRDefault="00185624" w:rsidP="007A7B4E">
      <w:pPr>
        <w:spacing w:line="480" w:lineRule="auto"/>
        <w:rPr>
          <w:rFonts w:ascii="Times New Roman" w:hAnsi="Times New Roman" w:cs="Times New Roman"/>
          <w:b/>
          <w:bCs/>
          <w:sz w:val="20"/>
          <w:szCs w:val="20"/>
          <w:lang w:val="en-GB"/>
        </w:rPr>
      </w:pPr>
      <w:r w:rsidRPr="007A7B4E">
        <w:rPr>
          <w:rFonts w:ascii="Times New Roman" w:hAnsi="Times New Roman" w:cs="Times New Roman"/>
          <w:b/>
          <w:bCs/>
          <w:sz w:val="20"/>
          <w:szCs w:val="20"/>
          <w:lang w:val="en-GB"/>
        </w:rPr>
        <w:t xml:space="preserve">1.1 </w:t>
      </w:r>
      <w:r w:rsidR="005178ED">
        <w:rPr>
          <w:rFonts w:ascii="Times New Roman" w:hAnsi="Times New Roman" w:cs="Times New Roman" w:hint="eastAsia"/>
          <w:b/>
          <w:bCs/>
          <w:sz w:val="20"/>
          <w:szCs w:val="20"/>
          <w:lang w:val="en-GB"/>
        </w:rPr>
        <w:t>Bacterial</w:t>
      </w:r>
      <w:r w:rsidR="005178ED" w:rsidRPr="007A7B4E">
        <w:rPr>
          <w:rFonts w:ascii="Times New Roman" w:hAnsi="Times New Roman" w:cs="Times New Roman"/>
          <w:b/>
          <w:bCs/>
          <w:sz w:val="20"/>
          <w:szCs w:val="20"/>
          <w:lang w:val="en-GB"/>
        </w:rPr>
        <w:t xml:space="preserve"> </w:t>
      </w:r>
      <w:r w:rsidR="00BA36A1" w:rsidRPr="007A7B4E">
        <w:rPr>
          <w:rFonts w:ascii="Times New Roman" w:hAnsi="Times New Roman" w:cs="Times New Roman"/>
          <w:b/>
          <w:bCs/>
          <w:sz w:val="20"/>
          <w:szCs w:val="20"/>
          <w:lang w:val="en-GB"/>
        </w:rPr>
        <w:t>culturing and whole genome sequencing</w:t>
      </w:r>
    </w:p>
    <w:p w14:paraId="354B6007" w14:textId="3DA91B15" w:rsidR="00BA36A1" w:rsidRPr="007A7B4E" w:rsidRDefault="00BA36A1" w:rsidP="007A7B4E">
      <w:pPr>
        <w:spacing w:line="480" w:lineRule="auto"/>
        <w:ind w:firstLineChars="100" w:firstLine="200"/>
        <w:rPr>
          <w:rFonts w:ascii="Times New Roman" w:hAnsi="Times New Roman" w:cs="Times New Roman"/>
          <w:sz w:val="20"/>
          <w:szCs w:val="20"/>
        </w:rPr>
      </w:pPr>
      <w:bookmarkStart w:id="0" w:name="OLE_LINK99"/>
      <w:bookmarkStart w:id="1" w:name="OLE_LINK100"/>
      <w:bookmarkStart w:id="2" w:name="OLE_LINK26"/>
      <w:bookmarkStart w:id="3" w:name="_Hlk185221541"/>
      <w:r w:rsidRPr="007A7B4E">
        <w:rPr>
          <w:rFonts w:ascii="Times New Roman" w:hAnsi="Times New Roman" w:cs="Times New Roman"/>
          <w:i/>
          <w:iCs/>
          <w:sz w:val="20"/>
          <w:szCs w:val="20"/>
        </w:rPr>
        <w:t>Fusobacterium necrophorum subsp. necrophorum</w:t>
      </w:r>
      <w:bookmarkEnd w:id="0"/>
      <w:r w:rsidRPr="007A7B4E">
        <w:rPr>
          <w:rFonts w:ascii="Times New Roman" w:hAnsi="Times New Roman" w:cs="Times New Roman"/>
          <w:sz w:val="20"/>
          <w:szCs w:val="20"/>
        </w:rPr>
        <w:t xml:space="preserve"> </w:t>
      </w:r>
      <w:bookmarkEnd w:id="1"/>
      <w:r w:rsidRPr="007A7B4E">
        <w:rPr>
          <w:rFonts w:ascii="Times New Roman" w:hAnsi="Times New Roman" w:cs="Times New Roman"/>
          <w:sz w:val="20"/>
          <w:szCs w:val="20"/>
        </w:rPr>
        <w:t xml:space="preserve">(BNCC336998) were obtained from BeNa Culture Collection (https://www.bncc.com/pro/p2/8/p_336998.html) in China. The strain was cultured in </w:t>
      </w:r>
      <w:bookmarkEnd w:id="2"/>
      <w:r w:rsidRPr="007A7B4E">
        <w:rPr>
          <w:rFonts w:ascii="Times New Roman" w:hAnsi="Times New Roman" w:cs="Times New Roman"/>
          <w:sz w:val="20"/>
          <w:szCs w:val="20"/>
        </w:rPr>
        <w:t>Columbia Blood Agar Base (BNCC352241) under anaerobic conditions at 37 °C.</w:t>
      </w:r>
      <w:bookmarkStart w:id="4" w:name="_Hlk185221688"/>
      <w:r w:rsidRPr="007A7B4E">
        <w:rPr>
          <w:rFonts w:ascii="Times New Roman" w:hAnsi="Times New Roman" w:cs="Times New Roman"/>
          <w:sz w:val="20"/>
          <w:szCs w:val="20"/>
        </w:rPr>
        <w:t xml:space="preserve"> </w:t>
      </w:r>
      <w:bookmarkEnd w:id="3"/>
      <w:r w:rsidRPr="007A7B4E">
        <w:rPr>
          <w:rFonts w:ascii="Times New Roman" w:hAnsi="Times New Roman" w:cs="Times New Roman"/>
          <w:sz w:val="20"/>
          <w:szCs w:val="20"/>
        </w:rPr>
        <w:t xml:space="preserve">After </w:t>
      </w:r>
      <w:r w:rsidR="00970C97">
        <w:rPr>
          <w:rFonts w:ascii="Times New Roman" w:hAnsi="Times New Roman" w:cs="Times New Roman"/>
          <w:sz w:val="20"/>
          <w:szCs w:val="20"/>
        </w:rPr>
        <w:t>incubating</w:t>
      </w:r>
      <w:r w:rsidR="00970C97" w:rsidRPr="007A7B4E">
        <w:rPr>
          <w:rFonts w:ascii="Times New Roman" w:hAnsi="Times New Roman" w:cs="Times New Roman"/>
          <w:sz w:val="20"/>
          <w:szCs w:val="20"/>
        </w:rPr>
        <w:t xml:space="preserve"> </w:t>
      </w:r>
      <w:r w:rsidRPr="007A7B4E">
        <w:rPr>
          <w:rFonts w:ascii="Times New Roman" w:hAnsi="Times New Roman" w:cs="Times New Roman"/>
          <w:sz w:val="20"/>
          <w:szCs w:val="20"/>
        </w:rPr>
        <w:t>for 72h, the bacterial colonies were collected and</w:t>
      </w:r>
      <w:bookmarkStart w:id="5" w:name="OLE_LINK37"/>
      <w:r w:rsidRPr="007A7B4E">
        <w:rPr>
          <w:rFonts w:ascii="Times New Roman" w:hAnsi="Times New Roman" w:cs="Times New Roman"/>
          <w:sz w:val="20"/>
          <w:szCs w:val="20"/>
        </w:rPr>
        <w:t xml:space="preserve"> </w:t>
      </w:r>
      <w:bookmarkEnd w:id="5"/>
      <w:r w:rsidRPr="007A7B4E">
        <w:rPr>
          <w:rFonts w:ascii="Times New Roman" w:hAnsi="Times New Roman" w:cs="Times New Roman"/>
          <w:sz w:val="20"/>
          <w:szCs w:val="20"/>
        </w:rPr>
        <w:t>purified.</w:t>
      </w:r>
      <w:bookmarkEnd w:id="4"/>
      <w:r w:rsidRPr="007A7B4E">
        <w:rPr>
          <w:rFonts w:ascii="Times New Roman" w:hAnsi="Times New Roman" w:cs="Times New Roman"/>
          <w:sz w:val="20"/>
          <w:szCs w:val="20"/>
        </w:rPr>
        <w:t xml:space="preserve"> The colonies were then collected for whole genome sequencing using the Illumina HiSeq 2000 system (Illumina Inc., San Diego, CA, USA) at Sinobiocore Biotechnology Co., Ltd. (Beijing, China). The raw sequencing reads were trimmed via Trimmomatic v 0.36 before assembly by the Edena </w:t>
      </w:r>
      <w:r w:rsidR="00CE5C16" w:rsidRPr="00CE5C16">
        <w:rPr>
          <w:rFonts w:ascii="Times New Roman" w:hAnsi="Times New Roman" w:cs="Times New Roman" w:hint="eastAsia"/>
          <w:sz w:val="20"/>
          <w:szCs w:val="20"/>
        </w:rPr>
        <w:t>v</w:t>
      </w:r>
      <w:r w:rsidR="00CE5C16">
        <w:rPr>
          <w:rFonts w:ascii="Times New Roman" w:hAnsi="Times New Roman" w:cs="Times New Roman" w:hint="eastAsia"/>
          <w:sz w:val="20"/>
          <w:szCs w:val="20"/>
        </w:rPr>
        <w:t xml:space="preserve"> </w:t>
      </w:r>
      <w:r w:rsidR="00CE5C16" w:rsidRPr="00CE5C16">
        <w:rPr>
          <w:rFonts w:ascii="Times New Roman" w:hAnsi="Times New Roman" w:cs="Times New Roman" w:hint="eastAsia"/>
          <w:sz w:val="20"/>
          <w:szCs w:val="20"/>
        </w:rPr>
        <w:t>3.131028</w:t>
      </w:r>
      <w:r w:rsidR="00CE5C16" w:rsidRPr="00CE5C16" w:rsidDel="00CE5C16">
        <w:rPr>
          <w:rFonts w:ascii="Times New Roman" w:hAnsi="Times New Roman" w:cs="Times New Roman"/>
          <w:sz w:val="20"/>
          <w:szCs w:val="20"/>
        </w:rPr>
        <w:t xml:space="preserve"> </w:t>
      </w:r>
      <w:r w:rsidR="00185624" w:rsidRPr="00CE5C16">
        <w:rPr>
          <w:rFonts w:ascii="Times New Roman" w:hAnsi="Times New Roman" w:cs="Times New Roman"/>
          <w:sz w:val="20"/>
          <w:szCs w:val="20"/>
        </w:rPr>
        <w:t>[1]</w:t>
      </w:r>
      <w:r w:rsidRPr="00CE5C16">
        <w:rPr>
          <w:rFonts w:ascii="Times New Roman" w:hAnsi="Times New Roman" w:cs="Times New Roman"/>
          <w:sz w:val="20"/>
          <w:szCs w:val="20"/>
        </w:rPr>
        <w:t xml:space="preserve"> u</w:t>
      </w:r>
      <w:r w:rsidRPr="007A7B4E">
        <w:rPr>
          <w:rFonts w:ascii="Times New Roman" w:hAnsi="Times New Roman" w:cs="Times New Roman"/>
          <w:sz w:val="20"/>
          <w:szCs w:val="20"/>
        </w:rPr>
        <w:t xml:space="preserve">sing the default parameters. Prodigal </w:t>
      </w:r>
      <w:r w:rsidR="00217ABC" w:rsidRPr="00CE5C16">
        <w:rPr>
          <w:rFonts w:ascii="Times New Roman" w:hAnsi="Times New Roman" w:cs="Times New Roman" w:hint="eastAsia"/>
          <w:sz w:val="20"/>
          <w:szCs w:val="20"/>
        </w:rPr>
        <w:t>v</w:t>
      </w:r>
      <w:r w:rsidR="00CE5C16" w:rsidRPr="00CE5C16">
        <w:rPr>
          <w:rFonts w:ascii="Times New Roman" w:hAnsi="Times New Roman" w:cs="Times New Roman" w:hint="eastAsia"/>
          <w:sz w:val="20"/>
          <w:szCs w:val="20"/>
        </w:rPr>
        <w:t xml:space="preserve"> 2.6</w:t>
      </w:r>
      <w:r w:rsidR="00217ABC" w:rsidRPr="00CE5C16">
        <w:rPr>
          <w:rFonts w:ascii="Times New Roman" w:hAnsi="Times New Roman" w:cs="Times New Roman"/>
          <w:sz w:val="20"/>
          <w:szCs w:val="20"/>
        </w:rPr>
        <w:t xml:space="preserve"> </w:t>
      </w:r>
      <w:r w:rsidR="00185624" w:rsidRPr="00CE5C16">
        <w:rPr>
          <w:rFonts w:ascii="Times New Roman" w:hAnsi="Times New Roman" w:cs="Times New Roman"/>
          <w:sz w:val="20"/>
          <w:szCs w:val="20"/>
        </w:rPr>
        <w:t>[2]</w:t>
      </w:r>
      <w:r w:rsidRPr="00CE5C16">
        <w:rPr>
          <w:rFonts w:ascii="Times New Roman" w:hAnsi="Times New Roman" w:cs="Times New Roman"/>
          <w:sz w:val="20"/>
          <w:szCs w:val="20"/>
        </w:rPr>
        <w:t xml:space="preserve"> was used fo</w:t>
      </w:r>
      <w:r w:rsidRPr="007A7B4E">
        <w:rPr>
          <w:rFonts w:ascii="Times New Roman" w:hAnsi="Times New Roman" w:cs="Times New Roman"/>
          <w:sz w:val="20"/>
          <w:szCs w:val="20"/>
        </w:rPr>
        <w:t xml:space="preserve">r predicting the coding sequence (CDS), while infernal </w:t>
      </w:r>
      <w:r w:rsidR="00185624" w:rsidRPr="007A7B4E">
        <w:rPr>
          <w:rFonts w:ascii="Times New Roman" w:hAnsi="Times New Roman" w:cs="Times New Roman"/>
          <w:sz w:val="20"/>
          <w:szCs w:val="20"/>
        </w:rPr>
        <w:t>[3]</w:t>
      </w:r>
      <w:r w:rsidRPr="007A7B4E">
        <w:rPr>
          <w:rFonts w:ascii="Times New Roman" w:hAnsi="Times New Roman" w:cs="Times New Roman"/>
          <w:sz w:val="20"/>
          <w:szCs w:val="20"/>
        </w:rPr>
        <w:t xml:space="preserve"> and </w:t>
      </w:r>
      <w:r w:rsidR="00CE5C16" w:rsidRPr="007A7B4E">
        <w:rPr>
          <w:rFonts w:ascii="Times New Roman" w:hAnsi="Times New Roman" w:cs="Times New Roman"/>
          <w:sz w:val="20"/>
          <w:szCs w:val="20"/>
        </w:rPr>
        <w:t>R</w:t>
      </w:r>
      <w:r w:rsidR="00CE5C16">
        <w:rPr>
          <w:rFonts w:ascii="Times New Roman" w:hAnsi="Times New Roman" w:cs="Times New Roman" w:hint="eastAsia"/>
          <w:sz w:val="20"/>
          <w:szCs w:val="20"/>
        </w:rPr>
        <w:t>N</w:t>
      </w:r>
      <w:r w:rsidR="00CE5C16" w:rsidRPr="00CE5C16">
        <w:rPr>
          <w:rFonts w:ascii="Times New Roman" w:hAnsi="Times New Roman" w:cs="Times New Roman" w:hint="eastAsia"/>
          <w:sz w:val="20"/>
          <w:szCs w:val="20"/>
        </w:rPr>
        <w:t>A</w:t>
      </w:r>
      <w:r w:rsidR="00CE5C16" w:rsidRPr="00CE5C16">
        <w:rPr>
          <w:rFonts w:ascii="Times New Roman" w:hAnsi="Times New Roman" w:cs="Times New Roman"/>
          <w:sz w:val="20"/>
          <w:szCs w:val="20"/>
        </w:rPr>
        <w:t xml:space="preserve">mmer </w:t>
      </w:r>
      <w:r w:rsidR="00217ABC" w:rsidRPr="00CE5C16">
        <w:rPr>
          <w:rFonts w:ascii="Times New Roman" w:hAnsi="Times New Roman" w:cs="Times New Roman" w:hint="eastAsia"/>
          <w:sz w:val="20"/>
          <w:szCs w:val="20"/>
        </w:rPr>
        <w:t>v</w:t>
      </w:r>
      <w:r w:rsidR="00CE5C16" w:rsidRPr="00CE5C16">
        <w:rPr>
          <w:rFonts w:ascii="Times New Roman" w:hAnsi="Times New Roman" w:cs="Times New Roman" w:hint="eastAsia"/>
          <w:sz w:val="20"/>
          <w:szCs w:val="20"/>
        </w:rPr>
        <w:t xml:space="preserve"> 1.2</w:t>
      </w:r>
      <w:r w:rsidR="00217ABC" w:rsidRPr="00CE5C16">
        <w:rPr>
          <w:rFonts w:ascii="Times New Roman" w:hAnsi="Times New Roman" w:cs="Times New Roman"/>
          <w:sz w:val="20"/>
          <w:szCs w:val="20"/>
        </w:rPr>
        <w:t xml:space="preserve"> </w:t>
      </w:r>
      <w:r w:rsidR="00185624" w:rsidRPr="00CE5C16">
        <w:rPr>
          <w:rFonts w:ascii="Times New Roman" w:hAnsi="Times New Roman" w:cs="Times New Roman"/>
          <w:sz w:val="20"/>
          <w:szCs w:val="20"/>
        </w:rPr>
        <w:t>[4]</w:t>
      </w:r>
      <w:r w:rsidRPr="007A7B4E">
        <w:rPr>
          <w:rFonts w:ascii="Times New Roman" w:hAnsi="Times New Roman" w:cs="Times New Roman"/>
          <w:sz w:val="20"/>
          <w:szCs w:val="20"/>
        </w:rPr>
        <w:t xml:space="preserve"> were used for tRNA, rRNA, and ncRNA predictions. The predicted CDSs were annotated with the KEGG database through blast </w:t>
      </w:r>
      <w:r w:rsidR="00185624" w:rsidRPr="007A7B4E">
        <w:rPr>
          <w:rFonts w:ascii="Times New Roman" w:hAnsi="Times New Roman" w:cs="Times New Roman"/>
          <w:sz w:val="20"/>
          <w:szCs w:val="20"/>
        </w:rPr>
        <w:t>[5]</w:t>
      </w:r>
      <w:r w:rsidRPr="007A7B4E">
        <w:rPr>
          <w:rFonts w:ascii="Times New Roman" w:hAnsi="Times New Roman" w:cs="Times New Roman"/>
          <w:sz w:val="20"/>
          <w:szCs w:val="20"/>
        </w:rPr>
        <w:t xml:space="preserve"> and e-value &lt; 1e-35. </w:t>
      </w:r>
    </w:p>
    <w:p w14:paraId="73191511" w14:textId="288F7ED4" w:rsidR="00BA36A1" w:rsidRPr="007A7B4E" w:rsidRDefault="00185624" w:rsidP="007A7B4E">
      <w:pPr>
        <w:spacing w:line="480" w:lineRule="auto"/>
        <w:rPr>
          <w:rFonts w:ascii="Times New Roman" w:hAnsi="Times New Roman" w:cs="Times New Roman"/>
          <w:b/>
          <w:bCs/>
          <w:sz w:val="20"/>
          <w:szCs w:val="20"/>
          <w:lang w:val="en-GB"/>
        </w:rPr>
      </w:pPr>
      <w:bookmarkStart w:id="6" w:name="OLE_LINK13"/>
      <w:r w:rsidRPr="007A7B4E">
        <w:rPr>
          <w:rFonts w:ascii="Times New Roman" w:hAnsi="Times New Roman" w:cs="Times New Roman"/>
          <w:b/>
          <w:bCs/>
          <w:sz w:val="20"/>
          <w:szCs w:val="20"/>
          <w:lang w:val="en-GB"/>
        </w:rPr>
        <w:t xml:space="preserve">1.2 </w:t>
      </w:r>
      <w:r w:rsidR="00BA36A1" w:rsidRPr="007A7B4E">
        <w:rPr>
          <w:rFonts w:ascii="Times New Roman" w:hAnsi="Times New Roman" w:cs="Times New Roman"/>
          <w:b/>
          <w:bCs/>
          <w:sz w:val="20"/>
          <w:szCs w:val="20"/>
          <w:lang w:val="en-GB"/>
        </w:rPr>
        <w:t xml:space="preserve">Murine </w:t>
      </w:r>
      <w:bookmarkEnd w:id="6"/>
      <w:r w:rsidR="00BA36A1" w:rsidRPr="007A7B4E">
        <w:rPr>
          <w:rFonts w:ascii="Times New Roman" w:hAnsi="Times New Roman" w:cs="Times New Roman"/>
          <w:b/>
          <w:bCs/>
          <w:sz w:val="20"/>
          <w:szCs w:val="20"/>
          <w:lang w:val="en-GB"/>
        </w:rPr>
        <w:t xml:space="preserve">treatment </w:t>
      </w:r>
      <w:r w:rsidR="00BA36A1" w:rsidRPr="00217ABC">
        <w:rPr>
          <w:rFonts w:ascii="Times New Roman" w:hAnsi="Times New Roman" w:cs="Times New Roman"/>
          <w:b/>
          <w:bCs/>
          <w:sz w:val="20"/>
          <w:szCs w:val="20"/>
          <w:lang w:val="en-GB"/>
        </w:rPr>
        <w:t>and</w:t>
      </w:r>
      <w:r w:rsidR="00BA36A1" w:rsidRPr="00CE5C16">
        <w:rPr>
          <w:rFonts w:ascii="Times New Roman" w:hAnsi="Times New Roman" w:cs="Times New Roman"/>
          <w:b/>
          <w:bCs/>
          <w:sz w:val="20"/>
          <w:szCs w:val="20"/>
          <w:lang w:val="en-GB"/>
        </w:rPr>
        <w:t xml:space="preserve"> </w:t>
      </w:r>
      <w:r w:rsidR="00BA36A1" w:rsidRPr="00217ABC">
        <w:rPr>
          <w:rFonts w:ascii="Times New Roman" w:hAnsi="Times New Roman" w:cs="Times New Roman"/>
          <w:b/>
          <w:bCs/>
          <w:sz w:val="20"/>
          <w:szCs w:val="20"/>
          <w:lang w:val="en-GB"/>
        </w:rPr>
        <w:t xml:space="preserve">sample </w:t>
      </w:r>
      <w:r w:rsidR="00BA36A1" w:rsidRPr="007A7B4E">
        <w:rPr>
          <w:rFonts w:ascii="Times New Roman" w:hAnsi="Times New Roman" w:cs="Times New Roman"/>
          <w:b/>
          <w:bCs/>
          <w:sz w:val="20"/>
          <w:szCs w:val="20"/>
          <w:lang w:val="en-GB"/>
        </w:rPr>
        <w:t>collection</w:t>
      </w:r>
    </w:p>
    <w:p w14:paraId="296B6E6A" w14:textId="602A8DA5" w:rsidR="00BA36A1" w:rsidRPr="007A7B4E" w:rsidRDefault="00BA36A1" w:rsidP="007A7B4E">
      <w:pPr>
        <w:spacing w:line="480" w:lineRule="auto"/>
        <w:ind w:firstLineChars="100" w:firstLine="200"/>
        <w:rPr>
          <w:rFonts w:ascii="Times New Roman" w:hAnsi="Times New Roman" w:cs="Times New Roman"/>
          <w:sz w:val="20"/>
          <w:szCs w:val="20"/>
          <w:lang w:val="en-GB"/>
        </w:rPr>
      </w:pPr>
      <w:r w:rsidRPr="007A7B4E">
        <w:rPr>
          <w:rFonts w:ascii="Times New Roman" w:hAnsi="Times New Roman" w:cs="Times New Roman"/>
          <w:sz w:val="20"/>
          <w:szCs w:val="20"/>
          <w:lang w:val="en-GB"/>
        </w:rPr>
        <w:t xml:space="preserve">Prior to the formal experiment, we conducted a pilot study to determine the effect of </w:t>
      </w:r>
      <w:r w:rsidRPr="007A7B4E">
        <w:rPr>
          <w:rFonts w:ascii="Times New Roman" w:hAnsi="Times New Roman" w:cs="Times New Roman"/>
          <w:i/>
          <w:iCs/>
          <w:sz w:val="20"/>
          <w:szCs w:val="20"/>
          <w:lang w:val="en-GB"/>
        </w:rPr>
        <w:t>F. necrophorum</w:t>
      </w:r>
      <w:r w:rsidRPr="007A7B4E">
        <w:rPr>
          <w:rFonts w:ascii="Times New Roman" w:hAnsi="Times New Roman" w:cs="Times New Roman"/>
          <w:sz w:val="20"/>
          <w:szCs w:val="20"/>
          <w:lang w:val="en-GB"/>
        </w:rPr>
        <w:t xml:space="preserve"> on endometritis in mice at different time points (24h, 46h, 48h). The mice were randomly divided into 4 groups, including control group (Con, uterine injected with 100 μL sterile saline), </w:t>
      </w:r>
      <w:r w:rsidRPr="007A7B4E">
        <w:rPr>
          <w:rFonts w:ascii="Times New Roman" w:hAnsi="Times New Roman" w:cs="Times New Roman"/>
          <w:i/>
          <w:iCs/>
          <w:sz w:val="20"/>
          <w:szCs w:val="20"/>
          <w:lang w:val="en-GB"/>
        </w:rPr>
        <w:t>F. necrophorum</w:t>
      </w:r>
      <w:r w:rsidRPr="007A7B4E">
        <w:rPr>
          <w:rFonts w:ascii="Times New Roman" w:hAnsi="Times New Roman" w:cs="Times New Roman"/>
          <w:sz w:val="20"/>
          <w:szCs w:val="20"/>
          <w:lang w:val="en-GB"/>
        </w:rPr>
        <w:t xml:space="preserve"> treatment groups: 24h (uterine injected with 100 μL</w:t>
      </w:r>
      <w:r w:rsidRPr="007A7B4E">
        <w:rPr>
          <w:rFonts w:ascii="Times New Roman" w:hAnsi="Times New Roman" w:cs="Times New Roman"/>
          <w:i/>
          <w:iCs/>
          <w:sz w:val="20"/>
          <w:szCs w:val="20"/>
          <w:lang w:val="en-GB"/>
        </w:rPr>
        <w:t xml:space="preserve"> F. necrophorum</w:t>
      </w:r>
      <w:r w:rsidRPr="007A7B4E">
        <w:rPr>
          <w:rFonts w:ascii="Times New Roman" w:hAnsi="Times New Roman" w:cs="Times New Roman"/>
          <w:sz w:val="20"/>
          <w:szCs w:val="20"/>
          <w:lang w:val="en-GB"/>
        </w:rPr>
        <w:t xml:space="preserve"> and observed after 24h), 36h (uterine injected with 100 μL </w:t>
      </w:r>
      <w:r w:rsidRPr="007A7B4E">
        <w:rPr>
          <w:rFonts w:ascii="Times New Roman" w:hAnsi="Times New Roman" w:cs="Times New Roman"/>
          <w:i/>
          <w:iCs/>
          <w:sz w:val="20"/>
          <w:szCs w:val="20"/>
          <w:lang w:val="en-GB"/>
        </w:rPr>
        <w:t>F. necrophorum</w:t>
      </w:r>
      <w:r w:rsidRPr="007A7B4E">
        <w:rPr>
          <w:rFonts w:ascii="Times New Roman" w:hAnsi="Times New Roman" w:cs="Times New Roman"/>
          <w:sz w:val="20"/>
          <w:szCs w:val="20"/>
          <w:lang w:val="en-GB"/>
        </w:rPr>
        <w:t xml:space="preserve"> and observed after 36h) and 48h (uterine injected with 100 μL </w:t>
      </w:r>
      <w:r w:rsidRPr="007A7B4E">
        <w:rPr>
          <w:rFonts w:ascii="Times New Roman" w:hAnsi="Times New Roman" w:cs="Times New Roman"/>
          <w:i/>
          <w:iCs/>
          <w:sz w:val="20"/>
          <w:szCs w:val="20"/>
          <w:lang w:val="en-GB"/>
        </w:rPr>
        <w:t>F. necrophorum</w:t>
      </w:r>
      <w:r w:rsidRPr="007A7B4E">
        <w:rPr>
          <w:rFonts w:ascii="Times New Roman" w:hAnsi="Times New Roman" w:cs="Times New Roman"/>
          <w:sz w:val="20"/>
          <w:szCs w:val="20"/>
          <w:lang w:val="en-GB"/>
        </w:rPr>
        <w:t xml:space="preserve"> and observed after 48h). The uterus tissues were collected and stored at -80℃ for </w:t>
      </w:r>
      <w:r w:rsidR="00DB1678">
        <w:rPr>
          <w:rFonts w:ascii="Times New Roman" w:hAnsi="Times New Roman" w:cs="Times New Roman" w:hint="eastAsia"/>
          <w:sz w:val="20"/>
          <w:szCs w:val="20"/>
          <w:lang w:val="en-GB"/>
        </w:rPr>
        <w:t>quantifying</w:t>
      </w:r>
      <w:r w:rsidR="00DB1678" w:rsidRPr="007A7B4E">
        <w:rPr>
          <w:rFonts w:ascii="Times New Roman" w:hAnsi="Times New Roman" w:cs="Times New Roman"/>
          <w:sz w:val="20"/>
          <w:szCs w:val="20"/>
          <w:lang w:val="en-GB"/>
        </w:rPr>
        <w:t xml:space="preserve"> </w:t>
      </w:r>
      <w:r w:rsidRPr="007A7B4E">
        <w:rPr>
          <w:rFonts w:ascii="Times New Roman" w:hAnsi="Times New Roman" w:cs="Times New Roman"/>
          <w:sz w:val="20"/>
          <w:szCs w:val="20"/>
          <w:lang w:val="en-GB"/>
        </w:rPr>
        <w:t xml:space="preserve">inflammatory cytokines. </w:t>
      </w:r>
    </w:p>
    <w:p w14:paraId="46722C47" w14:textId="77777777" w:rsidR="009806C9" w:rsidRPr="007A7B4E" w:rsidRDefault="009806C9" w:rsidP="007A7B4E">
      <w:pPr>
        <w:spacing w:line="480" w:lineRule="auto"/>
        <w:rPr>
          <w:rFonts w:ascii="Times New Roman" w:hAnsi="Times New Roman" w:cs="Times New Roman"/>
          <w:b/>
          <w:bCs/>
          <w:sz w:val="20"/>
          <w:szCs w:val="20"/>
        </w:rPr>
      </w:pPr>
      <w:r w:rsidRPr="007A7B4E">
        <w:rPr>
          <w:rFonts w:ascii="Times New Roman" w:hAnsi="Times New Roman" w:cs="Times New Roman"/>
          <w:b/>
          <w:bCs/>
          <w:sz w:val="20"/>
          <w:szCs w:val="20"/>
        </w:rPr>
        <w:t>1.3 Statistical analysis</w:t>
      </w:r>
    </w:p>
    <w:p w14:paraId="25196F4B" w14:textId="38BFF8A3" w:rsidR="009806C9" w:rsidRPr="007A7B4E" w:rsidRDefault="009806C9" w:rsidP="007A7B4E">
      <w:pPr>
        <w:spacing w:line="480" w:lineRule="auto"/>
        <w:ind w:firstLineChars="100" w:firstLine="200"/>
        <w:rPr>
          <w:rFonts w:ascii="Times New Roman" w:hAnsi="Times New Roman" w:cs="Times New Roman"/>
          <w:sz w:val="20"/>
          <w:szCs w:val="20"/>
        </w:rPr>
      </w:pPr>
      <w:r w:rsidRPr="007A7B4E">
        <w:rPr>
          <w:rFonts w:ascii="Times New Roman" w:hAnsi="Times New Roman" w:cs="Times New Roman"/>
          <w:sz w:val="20"/>
          <w:szCs w:val="20"/>
        </w:rPr>
        <w:lastRenderedPageBreak/>
        <w:t xml:space="preserve">Statistical analysis of cytokine levels </w:t>
      </w:r>
      <w:r w:rsidR="00EB78A4" w:rsidRPr="007A7B4E">
        <w:rPr>
          <w:rFonts w:ascii="Times New Roman" w:hAnsi="Times New Roman" w:cs="Times New Roman"/>
          <w:sz w:val="20"/>
          <w:szCs w:val="20"/>
        </w:rPr>
        <w:t>was</w:t>
      </w:r>
      <w:r w:rsidRPr="007A7B4E">
        <w:rPr>
          <w:rFonts w:ascii="Times New Roman" w:hAnsi="Times New Roman" w:cs="Times New Roman"/>
          <w:sz w:val="20"/>
          <w:szCs w:val="20"/>
        </w:rPr>
        <w:t xml:space="preserve"> conducted with one-way ANOVA and the post hoc test Tukey's HSD test for multiple comparisons using R (v 4.4.0, https://www.r-project.org/).</w:t>
      </w:r>
    </w:p>
    <w:p w14:paraId="237C1D89" w14:textId="1B6C819D" w:rsidR="00BA36A1" w:rsidRPr="007A7B4E" w:rsidRDefault="00185624" w:rsidP="007A7B4E">
      <w:pPr>
        <w:spacing w:line="480" w:lineRule="auto"/>
        <w:rPr>
          <w:rFonts w:ascii="Times New Roman" w:hAnsi="Times New Roman" w:cs="Times New Roman"/>
          <w:b/>
          <w:bCs/>
          <w:sz w:val="20"/>
          <w:szCs w:val="20"/>
        </w:rPr>
      </w:pPr>
      <w:r w:rsidRPr="007A7B4E">
        <w:rPr>
          <w:rFonts w:ascii="Times New Roman" w:hAnsi="Times New Roman" w:cs="Times New Roman"/>
          <w:b/>
          <w:bCs/>
          <w:sz w:val="20"/>
          <w:szCs w:val="20"/>
        </w:rPr>
        <w:t>2. S</w:t>
      </w:r>
      <w:r w:rsidR="00BA36A1" w:rsidRPr="007A7B4E">
        <w:rPr>
          <w:rFonts w:ascii="Times New Roman" w:hAnsi="Times New Roman" w:cs="Times New Roman"/>
          <w:b/>
          <w:bCs/>
          <w:sz w:val="20"/>
          <w:szCs w:val="20"/>
        </w:rPr>
        <w:t>upplementary results</w:t>
      </w:r>
    </w:p>
    <w:p w14:paraId="68F4AD95" w14:textId="03D285DF" w:rsidR="00BA36A1" w:rsidRPr="007A7B4E" w:rsidRDefault="00185624" w:rsidP="007A7B4E">
      <w:pPr>
        <w:spacing w:line="480" w:lineRule="auto"/>
        <w:rPr>
          <w:rFonts w:ascii="Times New Roman" w:hAnsi="Times New Roman" w:cs="Times New Roman"/>
          <w:b/>
          <w:bCs/>
          <w:sz w:val="20"/>
          <w:szCs w:val="20"/>
        </w:rPr>
      </w:pPr>
      <w:bookmarkStart w:id="7" w:name="OLE_LINK38"/>
      <w:r w:rsidRPr="007A7B4E">
        <w:rPr>
          <w:rFonts w:ascii="Times New Roman" w:hAnsi="Times New Roman" w:cs="Times New Roman"/>
          <w:b/>
          <w:bCs/>
          <w:sz w:val="20"/>
          <w:szCs w:val="20"/>
        </w:rPr>
        <w:t xml:space="preserve">2.1 </w:t>
      </w:r>
      <w:r w:rsidR="00BA36A1" w:rsidRPr="007A7B4E">
        <w:rPr>
          <w:rFonts w:ascii="Times New Roman" w:hAnsi="Times New Roman" w:cs="Times New Roman"/>
          <w:b/>
          <w:bCs/>
          <w:i/>
          <w:iCs/>
          <w:sz w:val="20"/>
          <w:szCs w:val="20"/>
        </w:rPr>
        <w:t>F. necrophorum</w:t>
      </w:r>
      <w:bookmarkEnd w:id="7"/>
      <w:r w:rsidR="00BA36A1" w:rsidRPr="007A7B4E">
        <w:rPr>
          <w:rFonts w:ascii="Times New Roman" w:hAnsi="Times New Roman" w:cs="Times New Roman"/>
          <w:b/>
          <w:bCs/>
          <w:sz w:val="20"/>
          <w:szCs w:val="20"/>
        </w:rPr>
        <w:t xml:space="preserve"> culture </w:t>
      </w:r>
      <w:r w:rsidR="00BA36A1" w:rsidRPr="00703ECE">
        <w:rPr>
          <w:rFonts w:ascii="Times New Roman" w:hAnsi="Times New Roman" w:cs="Times New Roman"/>
          <w:b/>
          <w:bCs/>
          <w:i/>
          <w:iCs/>
          <w:sz w:val="20"/>
          <w:szCs w:val="20"/>
        </w:rPr>
        <w:t>in vitro</w:t>
      </w:r>
      <w:r w:rsidR="00BA36A1" w:rsidRPr="007A7B4E">
        <w:rPr>
          <w:rFonts w:ascii="Times New Roman" w:hAnsi="Times New Roman" w:cs="Times New Roman"/>
          <w:b/>
          <w:bCs/>
          <w:sz w:val="20"/>
          <w:szCs w:val="20"/>
        </w:rPr>
        <w:t xml:space="preserve"> and functional analysis</w:t>
      </w:r>
    </w:p>
    <w:p w14:paraId="0DB42372" w14:textId="1622466E" w:rsidR="00BA36A1" w:rsidRPr="007A7B4E" w:rsidRDefault="00DB1678" w:rsidP="007A7B4E">
      <w:pPr>
        <w:spacing w:line="480" w:lineRule="auto"/>
        <w:ind w:firstLineChars="100" w:firstLine="200"/>
        <w:rPr>
          <w:rFonts w:ascii="Times New Roman" w:hAnsi="Times New Roman" w:cs="Times New Roman"/>
          <w:sz w:val="20"/>
          <w:szCs w:val="20"/>
        </w:rPr>
      </w:pPr>
      <w:r>
        <w:rPr>
          <w:rFonts w:ascii="Times New Roman" w:hAnsi="Times New Roman" w:cs="Times New Roman" w:hint="eastAsia"/>
          <w:sz w:val="20"/>
          <w:szCs w:val="20"/>
        </w:rPr>
        <w:t>W</w:t>
      </w:r>
      <w:r w:rsidR="00BA36A1" w:rsidRPr="007A7B4E">
        <w:rPr>
          <w:rFonts w:ascii="Times New Roman" w:hAnsi="Times New Roman" w:cs="Times New Roman"/>
          <w:sz w:val="20"/>
          <w:szCs w:val="20"/>
        </w:rPr>
        <w:t xml:space="preserve">e performed whole genome sequencing to further explore the function of </w:t>
      </w:r>
      <w:r w:rsidR="00BA36A1" w:rsidRPr="007A7B4E">
        <w:rPr>
          <w:rFonts w:ascii="Times New Roman" w:hAnsi="Times New Roman" w:cs="Times New Roman"/>
          <w:i/>
          <w:iCs/>
          <w:sz w:val="20"/>
          <w:szCs w:val="20"/>
        </w:rPr>
        <w:t>Fusobacterium</w:t>
      </w:r>
      <w:r w:rsidR="00BA36A1" w:rsidRPr="007A7B4E">
        <w:rPr>
          <w:rFonts w:ascii="Times New Roman" w:hAnsi="Times New Roman" w:cs="Times New Roman"/>
          <w:sz w:val="20"/>
          <w:szCs w:val="20"/>
        </w:rPr>
        <w:t xml:space="preserve"> </w:t>
      </w:r>
      <w:r w:rsidR="00BA36A1" w:rsidRPr="007A7B4E">
        <w:rPr>
          <w:rFonts w:ascii="Times New Roman" w:hAnsi="Times New Roman" w:cs="Times New Roman"/>
          <w:i/>
          <w:iCs/>
          <w:sz w:val="20"/>
          <w:szCs w:val="20"/>
        </w:rPr>
        <w:t>necrophorum</w:t>
      </w:r>
      <w:r w:rsidR="00BA36A1" w:rsidRPr="007A7B4E">
        <w:rPr>
          <w:rFonts w:ascii="Times New Roman" w:hAnsi="Times New Roman" w:cs="Times New Roman"/>
          <w:sz w:val="20"/>
          <w:szCs w:val="20"/>
        </w:rPr>
        <w:t xml:space="preserve"> </w:t>
      </w:r>
      <w:r w:rsidR="00BA36A1" w:rsidRPr="007A7B4E">
        <w:rPr>
          <w:rFonts w:ascii="Times New Roman" w:hAnsi="Times New Roman" w:cs="Times New Roman"/>
          <w:i/>
          <w:iCs/>
          <w:sz w:val="20"/>
          <w:szCs w:val="20"/>
        </w:rPr>
        <w:t>subsp</w:t>
      </w:r>
      <w:r w:rsidR="00BA36A1" w:rsidRPr="007A7B4E">
        <w:rPr>
          <w:rFonts w:ascii="Times New Roman" w:hAnsi="Times New Roman" w:cs="Times New Roman"/>
          <w:sz w:val="20"/>
          <w:szCs w:val="20"/>
        </w:rPr>
        <w:t xml:space="preserve">. </w:t>
      </w:r>
      <w:r w:rsidR="00BA36A1" w:rsidRPr="007A7B4E">
        <w:rPr>
          <w:rFonts w:ascii="Times New Roman" w:hAnsi="Times New Roman" w:cs="Times New Roman"/>
          <w:i/>
          <w:iCs/>
          <w:sz w:val="20"/>
          <w:szCs w:val="20"/>
        </w:rPr>
        <w:t>necrophorum</w:t>
      </w:r>
      <w:r w:rsidR="00BA36A1" w:rsidRPr="007A7B4E">
        <w:rPr>
          <w:rFonts w:ascii="Times New Roman" w:hAnsi="Times New Roman" w:cs="Times New Roman"/>
          <w:sz w:val="20"/>
          <w:szCs w:val="20"/>
        </w:rPr>
        <w:t xml:space="preserve"> (standard strain, BNCC336998). The KEGG annotation illustrated that most of the genes were annotated with “Global and overview maps” (908), “Carbohydrate metabolism” (266 genes), and “Amino acid metabolism” (171 genes) (Fig. </w:t>
      </w:r>
      <w:r w:rsidR="009B79CE" w:rsidRPr="007A7B4E">
        <w:rPr>
          <w:rFonts w:ascii="Times New Roman" w:hAnsi="Times New Roman" w:cs="Times New Roman"/>
          <w:sz w:val="20"/>
          <w:szCs w:val="20"/>
        </w:rPr>
        <w:t>S</w:t>
      </w:r>
      <w:r w:rsidR="009B79CE">
        <w:rPr>
          <w:rFonts w:ascii="Times New Roman" w:hAnsi="Times New Roman" w:cs="Times New Roman" w:hint="eastAsia"/>
          <w:sz w:val="20"/>
          <w:szCs w:val="20"/>
        </w:rPr>
        <w:t>5</w:t>
      </w:r>
      <w:r w:rsidR="009B79CE" w:rsidRPr="007A7B4E">
        <w:rPr>
          <w:rFonts w:ascii="Times New Roman" w:hAnsi="Times New Roman" w:cs="Times New Roman"/>
          <w:sz w:val="20"/>
          <w:szCs w:val="20"/>
        </w:rPr>
        <w:t>A</w:t>
      </w:r>
      <w:r w:rsidR="00BA36A1" w:rsidRPr="007A7B4E">
        <w:rPr>
          <w:rFonts w:ascii="Times New Roman" w:hAnsi="Times New Roman" w:cs="Times New Roman"/>
          <w:sz w:val="20"/>
          <w:szCs w:val="20"/>
        </w:rPr>
        <w:t>, Table S</w:t>
      </w:r>
      <w:r w:rsidR="00F12ED3">
        <w:rPr>
          <w:rFonts w:ascii="Times New Roman" w:hAnsi="Times New Roman" w:cs="Times New Roman" w:hint="eastAsia"/>
          <w:sz w:val="20"/>
          <w:szCs w:val="20"/>
        </w:rPr>
        <w:t>21</w:t>
      </w:r>
      <w:r w:rsidR="00BA36A1" w:rsidRPr="007A7B4E">
        <w:rPr>
          <w:rFonts w:ascii="Times New Roman" w:hAnsi="Times New Roman" w:cs="Times New Roman"/>
          <w:sz w:val="20"/>
          <w:szCs w:val="20"/>
        </w:rPr>
        <w:t xml:space="preserve">). Further analysis of “Carbohydrate metabolism” indicated that the annotated genes participated in 15 KEGG level 3 pathways, </w:t>
      </w:r>
      <w:r w:rsidR="009B79CE">
        <w:rPr>
          <w:rFonts w:ascii="Times New Roman" w:hAnsi="Times New Roman" w:cs="Times New Roman" w:hint="eastAsia"/>
          <w:sz w:val="20"/>
          <w:szCs w:val="20"/>
        </w:rPr>
        <w:t xml:space="preserve">mainly </w:t>
      </w:r>
      <w:r w:rsidR="00BA36A1" w:rsidRPr="007A7B4E">
        <w:rPr>
          <w:rFonts w:ascii="Times New Roman" w:hAnsi="Times New Roman" w:cs="Times New Roman"/>
          <w:sz w:val="20"/>
          <w:szCs w:val="20"/>
        </w:rPr>
        <w:t>including “Pyruvate metabolism” (39 genes), “Amino sugar and nucleotide sugar metabolism” (39 genes), “Glycolysis / Gluconeogenesis” (31 genes), “Butanoate metabolism” (28 genes), “Propanoate metabolism” (23 genes), “Galactose metabolism” (20 genes), “Starch and sucrose metabolism” (19 genes),</w:t>
      </w:r>
      <w:r w:rsidR="009B79CE">
        <w:rPr>
          <w:rFonts w:ascii="Times New Roman" w:hAnsi="Times New Roman" w:cs="Times New Roman" w:hint="eastAsia"/>
          <w:sz w:val="20"/>
          <w:szCs w:val="20"/>
        </w:rPr>
        <w:t xml:space="preserve"> and</w:t>
      </w:r>
      <w:r w:rsidR="00BA36A1" w:rsidRPr="007A7B4E">
        <w:rPr>
          <w:rFonts w:ascii="Times New Roman" w:hAnsi="Times New Roman" w:cs="Times New Roman"/>
          <w:sz w:val="20"/>
          <w:szCs w:val="20"/>
        </w:rPr>
        <w:t xml:space="preserve"> “Fructose and mannose metabolism” (18 genes)</w:t>
      </w:r>
      <w:r w:rsidR="009B79CE">
        <w:rPr>
          <w:rFonts w:ascii="Times New Roman" w:hAnsi="Times New Roman" w:cs="Times New Roman" w:hint="eastAsia"/>
          <w:sz w:val="20"/>
          <w:szCs w:val="20"/>
        </w:rPr>
        <w:t xml:space="preserve"> </w:t>
      </w:r>
      <w:r w:rsidR="00BA36A1" w:rsidRPr="007A7B4E">
        <w:rPr>
          <w:rFonts w:ascii="Times New Roman" w:hAnsi="Times New Roman" w:cs="Times New Roman"/>
          <w:sz w:val="20"/>
          <w:szCs w:val="20"/>
        </w:rPr>
        <w:t xml:space="preserve">(Fig. </w:t>
      </w:r>
      <w:r w:rsidR="009B79CE" w:rsidRPr="007A7B4E">
        <w:rPr>
          <w:rFonts w:ascii="Times New Roman" w:hAnsi="Times New Roman" w:cs="Times New Roman"/>
          <w:sz w:val="20"/>
          <w:szCs w:val="20"/>
        </w:rPr>
        <w:t>S</w:t>
      </w:r>
      <w:r w:rsidR="009B79CE">
        <w:rPr>
          <w:rFonts w:ascii="Times New Roman" w:hAnsi="Times New Roman" w:cs="Times New Roman" w:hint="eastAsia"/>
          <w:sz w:val="20"/>
          <w:szCs w:val="20"/>
        </w:rPr>
        <w:t>5</w:t>
      </w:r>
      <w:r w:rsidR="009B79CE" w:rsidRPr="007A7B4E">
        <w:rPr>
          <w:rFonts w:ascii="Times New Roman" w:hAnsi="Times New Roman" w:cs="Times New Roman"/>
          <w:sz w:val="20"/>
          <w:szCs w:val="20"/>
        </w:rPr>
        <w:t>B</w:t>
      </w:r>
      <w:r w:rsidR="00BA36A1" w:rsidRPr="007A7B4E">
        <w:rPr>
          <w:rFonts w:ascii="Times New Roman" w:hAnsi="Times New Roman" w:cs="Times New Roman"/>
          <w:sz w:val="20"/>
          <w:szCs w:val="20"/>
        </w:rPr>
        <w:t>, Table S</w:t>
      </w:r>
      <w:r w:rsidR="00550702">
        <w:rPr>
          <w:rFonts w:ascii="Times New Roman" w:hAnsi="Times New Roman" w:cs="Times New Roman" w:hint="eastAsia"/>
          <w:sz w:val="20"/>
          <w:szCs w:val="20"/>
        </w:rPr>
        <w:t>2</w:t>
      </w:r>
      <w:r w:rsidR="00B87689">
        <w:rPr>
          <w:rFonts w:ascii="Times New Roman" w:hAnsi="Times New Roman" w:cs="Times New Roman" w:hint="eastAsia"/>
          <w:sz w:val="20"/>
          <w:szCs w:val="20"/>
        </w:rPr>
        <w:t>2</w:t>
      </w:r>
      <w:r w:rsidR="00BA36A1" w:rsidRPr="007A7B4E">
        <w:rPr>
          <w:rFonts w:ascii="Times New Roman" w:hAnsi="Times New Roman" w:cs="Times New Roman"/>
          <w:sz w:val="20"/>
          <w:szCs w:val="20"/>
        </w:rPr>
        <w:t>). Similarly, “Amino acid metabolism” indicated that the annotated genes were participated in 14 key KEGG level 3 pathways,</w:t>
      </w:r>
      <w:r w:rsidR="009B79CE">
        <w:rPr>
          <w:rFonts w:ascii="Times New Roman" w:hAnsi="Times New Roman" w:cs="Times New Roman" w:hint="eastAsia"/>
          <w:sz w:val="20"/>
          <w:szCs w:val="20"/>
        </w:rPr>
        <w:t xml:space="preserve"> mainly</w:t>
      </w:r>
      <w:r w:rsidR="00BA36A1" w:rsidRPr="007A7B4E">
        <w:rPr>
          <w:rFonts w:ascii="Times New Roman" w:hAnsi="Times New Roman" w:cs="Times New Roman"/>
          <w:sz w:val="20"/>
          <w:szCs w:val="20"/>
        </w:rPr>
        <w:t xml:space="preserve"> including “Cysteine and methionine metabolism” (28 genes), “Alanine, aspartate and glutamate metabolism” (24 genes), “Glycine, serine and threonine metabolism” (19 genes), “Phenylalanine, tyrosine and tryptophan biosynthesis” (17 genes), “Lysine biosynthesis” (15 genes), “Valine, leucine and isoleucine degradation” (13 genes), </w:t>
      </w:r>
      <w:r w:rsidR="009B79CE">
        <w:rPr>
          <w:rFonts w:ascii="Times New Roman" w:hAnsi="Times New Roman" w:cs="Times New Roman" w:hint="eastAsia"/>
          <w:sz w:val="20"/>
          <w:szCs w:val="20"/>
        </w:rPr>
        <w:t xml:space="preserve">and </w:t>
      </w:r>
      <w:r w:rsidR="00BA36A1" w:rsidRPr="007A7B4E">
        <w:rPr>
          <w:rFonts w:ascii="Times New Roman" w:hAnsi="Times New Roman" w:cs="Times New Roman"/>
          <w:sz w:val="20"/>
          <w:szCs w:val="20"/>
        </w:rPr>
        <w:t>“Lysine degradation” (11 genes) (Fig. S</w:t>
      </w:r>
      <w:r w:rsidR="00373800">
        <w:rPr>
          <w:rFonts w:ascii="Times New Roman" w:hAnsi="Times New Roman" w:cs="Times New Roman" w:hint="eastAsia"/>
          <w:sz w:val="20"/>
          <w:szCs w:val="20"/>
        </w:rPr>
        <w:t>5</w:t>
      </w:r>
      <w:r w:rsidR="00BA36A1" w:rsidRPr="007A7B4E">
        <w:rPr>
          <w:rFonts w:ascii="Times New Roman" w:hAnsi="Times New Roman" w:cs="Times New Roman"/>
          <w:sz w:val="20"/>
          <w:szCs w:val="20"/>
        </w:rPr>
        <w:t>C, Table S</w:t>
      </w:r>
      <w:r w:rsidR="00550702">
        <w:rPr>
          <w:rFonts w:ascii="Times New Roman" w:hAnsi="Times New Roman" w:cs="Times New Roman" w:hint="eastAsia"/>
          <w:sz w:val="20"/>
          <w:szCs w:val="20"/>
        </w:rPr>
        <w:t>2</w:t>
      </w:r>
      <w:r w:rsidR="00B87689">
        <w:rPr>
          <w:rFonts w:ascii="Times New Roman" w:hAnsi="Times New Roman" w:cs="Times New Roman" w:hint="eastAsia"/>
          <w:sz w:val="20"/>
          <w:szCs w:val="20"/>
        </w:rPr>
        <w:t>2</w:t>
      </w:r>
      <w:r w:rsidR="00BA36A1" w:rsidRPr="007A7B4E">
        <w:rPr>
          <w:rFonts w:ascii="Times New Roman" w:hAnsi="Times New Roman" w:cs="Times New Roman"/>
          <w:sz w:val="20"/>
          <w:szCs w:val="20"/>
        </w:rPr>
        <w:t>).</w:t>
      </w:r>
    </w:p>
    <w:p w14:paraId="5A6D6AB6" w14:textId="6EB47A7E" w:rsidR="008B1567" w:rsidRPr="007A7B4E" w:rsidRDefault="00185624" w:rsidP="007A7B4E">
      <w:pPr>
        <w:spacing w:line="480" w:lineRule="auto"/>
        <w:rPr>
          <w:rFonts w:ascii="Times New Roman" w:hAnsi="Times New Roman" w:cs="Times New Roman"/>
          <w:b/>
          <w:bCs/>
          <w:sz w:val="20"/>
          <w:szCs w:val="20"/>
        </w:rPr>
      </w:pPr>
      <w:r w:rsidRPr="007A7B4E">
        <w:rPr>
          <w:rFonts w:ascii="Times New Roman" w:hAnsi="Times New Roman" w:cs="Times New Roman"/>
          <w:b/>
          <w:bCs/>
          <w:sz w:val="20"/>
          <w:szCs w:val="20"/>
        </w:rPr>
        <w:t xml:space="preserve">2.2 </w:t>
      </w:r>
      <w:r w:rsidR="00640718" w:rsidRPr="007A7B4E">
        <w:rPr>
          <w:rFonts w:ascii="Times New Roman" w:hAnsi="Times New Roman" w:cs="Times New Roman"/>
          <w:b/>
          <w:bCs/>
          <w:i/>
          <w:iCs/>
          <w:sz w:val="20"/>
          <w:szCs w:val="20"/>
        </w:rPr>
        <w:t>F. necrophorum</w:t>
      </w:r>
      <w:r w:rsidR="00640718" w:rsidRPr="007A7B4E">
        <w:rPr>
          <w:rFonts w:ascii="Times New Roman" w:hAnsi="Times New Roman" w:cs="Times New Roman"/>
          <w:b/>
          <w:bCs/>
          <w:sz w:val="20"/>
          <w:szCs w:val="20"/>
        </w:rPr>
        <w:t xml:space="preserve"> </w:t>
      </w:r>
      <w:r w:rsidR="00BF113D" w:rsidRPr="007A7B4E">
        <w:rPr>
          <w:rFonts w:ascii="Times New Roman" w:hAnsi="Times New Roman" w:cs="Times New Roman"/>
          <w:b/>
          <w:bCs/>
          <w:sz w:val="20"/>
          <w:szCs w:val="20"/>
        </w:rPr>
        <w:t xml:space="preserve">can </w:t>
      </w:r>
      <w:r w:rsidR="00640718" w:rsidRPr="007A7B4E">
        <w:rPr>
          <w:rFonts w:ascii="Times New Roman" w:hAnsi="Times New Roman" w:cs="Times New Roman"/>
          <w:b/>
          <w:bCs/>
          <w:sz w:val="20"/>
          <w:szCs w:val="20"/>
        </w:rPr>
        <w:t>induce endometritis in mice</w:t>
      </w:r>
    </w:p>
    <w:p w14:paraId="5263659F" w14:textId="44A1F973" w:rsidR="008B1567" w:rsidRPr="007A7B4E" w:rsidRDefault="008B1567" w:rsidP="007A7B4E">
      <w:pPr>
        <w:spacing w:line="480" w:lineRule="auto"/>
        <w:ind w:firstLineChars="100" w:firstLine="200"/>
        <w:rPr>
          <w:rFonts w:ascii="Times New Roman" w:hAnsi="Times New Roman" w:cs="Times New Roman"/>
          <w:sz w:val="20"/>
          <w:szCs w:val="20"/>
        </w:rPr>
      </w:pPr>
      <w:r w:rsidRPr="007A7B4E">
        <w:rPr>
          <w:rFonts w:ascii="Times New Roman" w:hAnsi="Times New Roman" w:cs="Times New Roman"/>
          <w:sz w:val="20"/>
          <w:szCs w:val="20"/>
        </w:rPr>
        <w:t xml:space="preserve">As </w:t>
      </w:r>
      <w:bookmarkStart w:id="8" w:name="_Hlk185387271"/>
      <w:r w:rsidRPr="007A7B4E">
        <w:rPr>
          <w:rFonts w:ascii="Times New Roman" w:hAnsi="Times New Roman" w:cs="Times New Roman"/>
          <w:i/>
          <w:iCs/>
          <w:sz w:val="20"/>
          <w:szCs w:val="20"/>
        </w:rPr>
        <w:t>F. necrophorum</w:t>
      </w:r>
      <w:r w:rsidRPr="007A7B4E">
        <w:rPr>
          <w:rFonts w:ascii="Times New Roman" w:hAnsi="Times New Roman" w:cs="Times New Roman"/>
          <w:sz w:val="20"/>
          <w:szCs w:val="20"/>
        </w:rPr>
        <w:t xml:space="preserve"> </w:t>
      </w:r>
      <w:bookmarkEnd w:id="8"/>
      <w:r w:rsidRPr="007A7B4E">
        <w:rPr>
          <w:rFonts w:ascii="Times New Roman" w:hAnsi="Times New Roman" w:cs="Times New Roman"/>
          <w:sz w:val="20"/>
          <w:szCs w:val="20"/>
        </w:rPr>
        <w:t xml:space="preserve">was proportionally increased in CE, we performed a uterine infection experiment in mice to validate the effect of </w:t>
      </w:r>
      <w:r w:rsidRPr="007A7B4E">
        <w:rPr>
          <w:rFonts w:ascii="Times New Roman" w:hAnsi="Times New Roman" w:cs="Times New Roman"/>
          <w:i/>
          <w:iCs/>
          <w:sz w:val="20"/>
          <w:szCs w:val="20"/>
        </w:rPr>
        <w:t>F. necrophorum</w:t>
      </w:r>
      <w:r w:rsidRPr="007A7B4E">
        <w:rPr>
          <w:rFonts w:ascii="Times New Roman" w:hAnsi="Times New Roman" w:cs="Times New Roman"/>
          <w:sz w:val="20"/>
          <w:szCs w:val="20"/>
        </w:rPr>
        <w:t xml:space="preserve"> on endometritis. Edema of uterine tissue was clearly </w:t>
      </w:r>
      <w:r w:rsidRPr="007A7B4E">
        <w:rPr>
          <w:rFonts w:ascii="Times New Roman" w:hAnsi="Times New Roman" w:cs="Times New Roman"/>
          <w:sz w:val="20"/>
          <w:szCs w:val="20"/>
        </w:rPr>
        <w:lastRenderedPageBreak/>
        <w:t>observed at 24-, 36-, and 48- hours post-infection (Fig. S</w:t>
      </w:r>
      <w:r w:rsidR="00373800">
        <w:rPr>
          <w:rFonts w:ascii="Times New Roman" w:hAnsi="Times New Roman" w:cs="Times New Roman" w:hint="eastAsia"/>
          <w:sz w:val="20"/>
          <w:szCs w:val="20"/>
        </w:rPr>
        <w:t>6</w:t>
      </w:r>
      <w:r w:rsidRPr="007A7B4E">
        <w:rPr>
          <w:rFonts w:ascii="Times New Roman" w:hAnsi="Times New Roman" w:cs="Times New Roman"/>
          <w:sz w:val="20"/>
          <w:szCs w:val="20"/>
        </w:rPr>
        <w:t>A). Additionally, the concentration of inflammatory markers TNF-α (</w:t>
      </w:r>
      <w:r w:rsidRPr="007A7B4E">
        <w:rPr>
          <w:rFonts w:ascii="Times New Roman" w:hAnsi="Times New Roman" w:cs="Times New Roman"/>
          <w:i/>
          <w:iCs/>
          <w:sz w:val="20"/>
          <w:szCs w:val="20"/>
        </w:rPr>
        <w:t>p</w:t>
      </w:r>
      <w:r w:rsidRPr="007A7B4E">
        <w:rPr>
          <w:rFonts w:ascii="Times New Roman" w:hAnsi="Times New Roman" w:cs="Times New Roman"/>
          <w:sz w:val="20"/>
          <w:szCs w:val="20"/>
        </w:rPr>
        <w:t xml:space="preserve"> &lt; 0.001 in 36h; </w:t>
      </w:r>
      <w:r w:rsidRPr="007A7B4E">
        <w:rPr>
          <w:rFonts w:ascii="Times New Roman" w:hAnsi="Times New Roman" w:cs="Times New Roman"/>
          <w:i/>
          <w:iCs/>
          <w:sz w:val="20"/>
          <w:szCs w:val="20"/>
        </w:rPr>
        <w:t>p</w:t>
      </w:r>
      <w:r w:rsidRPr="007A7B4E">
        <w:rPr>
          <w:rFonts w:ascii="Times New Roman" w:hAnsi="Times New Roman" w:cs="Times New Roman"/>
          <w:sz w:val="20"/>
          <w:szCs w:val="20"/>
        </w:rPr>
        <w:t xml:space="preserve"> &lt;0.01 in 48h), IL-1β (</w:t>
      </w:r>
      <w:r w:rsidRPr="007A7B4E">
        <w:rPr>
          <w:rFonts w:ascii="Times New Roman" w:hAnsi="Times New Roman" w:cs="Times New Roman"/>
          <w:i/>
          <w:iCs/>
          <w:sz w:val="20"/>
          <w:szCs w:val="20"/>
        </w:rPr>
        <w:t>p</w:t>
      </w:r>
      <w:r w:rsidRPr="007A7B4E">
        <w:rPr>
          <w:rFonts w:ascii="Times New Roman" w:hAnsi="Times New Roman" w:cs="Times New Roman"/>
          <w:sz w:val="20"/>
          <w:szCs w:val="20"/>
        </w:rPr>
        <w:t xml:space="preserve"> &lt; 0.01 in 24h; </w:t>
      </w:r>
      <w:r w:rsidRPr="007A7B4E">
        <w:rPr>
          <w:rFonts w:ascii="Times New Roman" w:hAnsi="Times New Roman" w:cs="Times New Roman"/>
          <w:i/>
          <w:iCs/>
          <w:sz w:val="20"/>
          <w:szCs w:val="20"/>
        </w:rPr>
        <w:t>p</w:t>
      </w:r>
      <w:r w:rsidRPr="007A7B4E">
        <w:rPr>
          <w:rFonts w:ascii="Times New Roman" w:hAnsi="Times New Roman" w:cs="Times New Roman"/>
          <w:sz w:val="20"/>
          <w:szCs w:val="20"/>
        </w:rPr>
        <w:t xml:space="preserve"> &lt; 0.001 in 36h; </w:t>
      </w:r>
      <w:r w:rsidRPr="007A7B4E">
        <w:rPr>
          <w:rFonts w:ascii="Times New Roman" w:hAnsi="Times New Roman" w:cs="Times New Roman"/>
          <w:i/>
          <w:iCs/>
          <w:sz w:val="20"/>
          <w:szCs w:val="20"/>
        </w:rPr>
        <w:t>p</w:t>
      </w:r>
      <w:r w:rsidRPr="007A7B4E">
        <w:rPr>
          <w:rFonts w:ascii="Times New Roman" w:hAnsi="Times New Roman" w:cs="Times New Roman"/>
          <w:sz w:val="20"/>
          <w:szCs w:val="20"/>
        </w:rPr>
        <w:t xml:space="preserve"> &lt; 0.001 in 48h) and IL-6 (</w:t>
      </w:r>
      <w:r w:rsidRPr="007A7B4E">
        <w:rPr>
          <w:rFonts w:ascii="Times New Roman" w:hAnsi="Times New Roman" w:cs="Times New Roman"/>
          <w:i/>
          <w:iCs/>
          <w:sz w:val="20"/>
          <w:szCs w:val="20"/>
        </w:rPr>
        <w:t>p</w:t>
      </w:r>
      <w:r w:rsidRPr="007A7B4E">
        <w:rPr>
          <w:rFonts w:ascii="Times New Roman" w:hAnsi="Times New Roman" w:cs="Times New Roman"/>
          <w:sz w:val="20"/>
          <w:szCs w:val="20"/>
        </w:rPr>
        <w:t xml:space="preserve"> &lt; 0.05 in 36h; </w:t>
      </w:r>
      <w:r w:rsidRPr="007A7B4E">
        <w:rPr>
          <w:rFonts w:ascii="Times New Roman" w:hAnsi="Times New Roman" w:cs="Times New Roman"/>
          <w:i/>
          <w:iCs/>
          <w:sz w:val="20"/>
          <w:szCs w:val="20"/>
        </w:rPr>
        <w:t>p</w:t>
      </w:r>
      <w:r w:rsidRPr="007A7B4E">
        <w:rPr>
          <w:rFonts w:ascii="Times New Roman" w:hAnsi="Times New Roman" w:cs="Times New Roman"/>
          <w:sz w:val="20"/>
          <w:szCs w:val="20"/>
        </w:rPr>
        <w:t xml:space="preserve"> &lt; 0.01 in 48h) in the uterus was significantly increased after 36-h and 48-h post-infection (Fig. S</w:t>
      </w:r>
      <w:r w:rsidR="00373800">
        <w:rPr>
          <w:rFonts w:ascii="Times New Roman" w:hAnsi="Times New Roman" w:cs="Times New Roman" w:hint="eastAsia"/>
          <w:sz w:val="20"/>
          <w:szCs w:val="20"/>
        </w:rPr>
        <w:t>6</w:t>
      </w:r>
      <w:r w:rsidRPr="007A7B4E">
        <w:rPr>
          <w:rFonts w:ascii="Times New Roman" w:hAnsi="Times New Roman" w:cs="Times New Roman"/>
          <w:sz w:val="20"/>
          <w:szCs w:val="20"/>
        </w:rPr>
        <w:t xml:space="preserve">B). These results suggested that a notable inflammation of the uterus in mice started 36h after the injection with </w:t>
      </w:r>
      <w:bookmarkStart w:id="9" w:name="OLE_LINK30"/>
      <w:r w:rsidRPr="007A7B4E">
        <w:rPr>
          <w:rFonts w:ascii="Times New Roman" w:hAnsi="Times New Roman" w:cs="Times New Roman"/>
          <w:i/>
          <w:iCs/>
          <w:sz w:val="20"/>
          <w:szCs w:val="20"/>
        </w:rPr>
        <w:t>F. necrophorum</w:t>
      </w:r>
      <w:bookmarkEnd w:id="9"/>
      <w:r w:rsidRPr="007A7B4E">
        <w:rPr>
          <w:rFonts w:ascii="Times New Roman" w:hAnsi="Times New Roman" w:cs="Times New Roman"/>
          <w:sz w:val="20"/>
          <w:szCs w:val="20"/>
        </w:rPr>
        <w:t>.</w:t>
      </w:r>
    </w:p>
    <w:p w14:paraId="7D12B348" w14:textId="3EAC17EE" w:rsidR="00185624" w:rsidRPr="007A7B4E" w:rsidRDefault="009806C9" w:rsidP="007A7B4E">
      <w:pPr>
        <w:spacing w:line="480" w:lineRule="auto"/>
        <w:rPr>
          <w:rFonts w:ascii="Times New Roman" w:hAnsi="Times New Roman" w:cs="Times New Roman"/>
          <w:b/>
          <w:bCs/>
        </w:rPr>
      </w:pPr>
      <w:r w:rsidRPr="007A7B4E">
        <w:rPr>
          <w:rFonts w:ascii="Times New Roman" w:hAnsi="Times New Roman" w:cs="Times New Roman"/>
          <w:b/>
          <w:bCs/>
        </w:rPr>
        <w:t>Reference</w:t>
      </w:r>
    </w:p>
    <w:p w14:paraId="54B1E462" w14:textId="62B0DA66" w:rsidR="007A7B4E" w:rsidRPr="007A7B4E" w:rsidRDefault="007A7B4E" w:rsidP="007A7B4E">
      <w:pPr>
        <w:pStyle w:val="ab"/>
        <w:spacing w:after="0" w:line="480" w:lineRule="auto"/>
        <w:rPr>
          <w:rFonts w:ascii="Times New Roman" w:hAnsi="Times New Roman" w:cs="Times New Roman"/>
        </w:rPr>
      </w:pPr>
      <w:r w:rsidRPr="007A7B4E">
        <w:rPr>
          <w:rFonts w:ascii="Times New Roman" w:hAnsi="Times New Roman" w:cs="Times New Roman"/>
        </w:rPr>
        <w:t>1. Hernandez D, François P, Farinelli L, Østerås M, Schrenzel J. De novo bacterial genome sequencing: Millions of very short reads assembled on a desktop computer. Genome Res. 2008;18</w:t>
      </w:r>
      <w:r w:rsidR="00CD7163">
        <w:rPr>
          <w:rFonts w:ascii="Times New Roman" w:hAnsi="Times New Roman" w:cs="Times New Roman" w:hint="eastAsia"/>
        </w:rPr>
        <w:t>(5)</w:t>
      </w:r>
      <w:r w:rsidRPr="007A7B4E">
        <w:rPr>
          <w:rFonts w:ascii="Times New Roman" w:hAnsi="Times New Roman" w:cs="Times New Roman"/>
        </w:rPr>
        <w:t>:802</w:t>
      </w:r>
      <w:r w:rsidR="00C82B96">
        <w:rPr>
          <w:rFonts w:ascii="Times New Roman" w:hAnsi="Times New Roman" w:cs="Times New Roman" w:hint="eastAsia"/>
        </w:rPr>
        <w:t>-</w:t>
      </w:r>
      <w:r w:rsidRPr="007A7B4E">
        <w:rPr>
          <w:rFonts w:ascii="Times New Roman" w:hAnsi="Times New Roman" w:cs="Times New Roman"/>
        </w:rPr>
        <w:t>9.</w:t>
      </w:r>
    </w:p>
    <w:p w14:paraId="47936D53" w14:textId="0F0D4C25" w:rsidR="007A7B4E" w:rsidRPr="007A7B4E" w:rsidRDefault="007A7B4E" w:rsidP="007A7B4E">
      <w:pPr>
        <w:pStyle w:val="ab"/>
        <w:spacing w:after="0" w:line="480" w:lineRule="auto"/>
        <w:rPr>
          <w:rFonts w:ascii="Times New Roman" w:hAnsi="Times New Roman" w:cs="Times New Roman"/>
        </w:rPr>
      </w:pPr>
      <w:r w:rsidRPr="007A7B4E">
        <w:rPr>
          <w:rFonts w:ascii="Times New Roman" w:hAnsi="Times New Roman" w:cs="Times New Roman"/>
        </w:rPr>
        <w:t>2. Hyatt D, Chen G-L, LoCascio PF, Land ML, Larimer FW, Hauser LJ. Prodigal: prokaryotic gene recognition and translation initiation site identification. BMC Bioinformatics. 2010;11:119.</w:t>
      </w:r>
    </w:p>
    <w:p w14:paraId="7DD5EE4D" w14:textId="1B7DF0D8" w:rsidR="007A7B4E" w:rsidRPr="007A7B4E" w:rsidRDefault="007A7B4E" w:rsidP="007A7B4E">
      <w:pPr>
        <w:pStyle w:val="ab"/>
        <w:spacing w:after="0" w:line="480" w:lineRule="auto"/>
        <w:rPr>
          <w:rFonts w:ascii="Times New Roman" w:hAnsi="Times New Roman" w:cs="Times New Roman"/>
        </w:rPr>
      </w:pPr>
      <w:r w:rsidRPr="007A7B4E">
        <w:rPr>
          <w:rFonts w:ascii="Times New Roman" w:hAnsi="Times New Roman" w:cs="Times New Roman"/>
        </w:rPr>
        <w:t>3. Nawrocki EP, Eddy SR. Infernal 1.1: 100-fold faster RNA homology searches. Bioinformatics. 2013;29</w:t>
      </w:r>
      <w:r w:rsidR="00284FBD">
        <w:rPr>
          <w:rFonts w:ascii="Times New Roman" w:hAnsi="Times New Roman" w:cs="Times New Roman" w:hint="eastAsia"/>
        </w:rPr>
        <w:t>(22)</w:t>
      </w:r>
      <w:r w:rsidRPr="007A7B4E">
        <w:rPr>
          <w:rFonts w:ascii="Times New Roman" w:hAnsi="Times New Roman" w:cs="Times New Roman"/>
        </w:rPr>
        <w:t>:2933</w:t>
      </w:r>
      <w:r w:rsidR="003F61F9">
        <w:rPr>
          <w:rFonts w:ascii="Times New Roman" w:hAnsi="Times New Roman" w:cs="Times New Roman" w:hint="eastAsia"/>
        </w:rPr>
        <w:t>-</w:t>
      </w:r>
      <w:r w:rsidRPr="007A7B4E">
        <w:rPr>
          <w:rFonts w:ascii="Times New Roman" w:hAnsi="Times New Roman" w:cs="Times New Roman"/>
        </w:rPr>
        <w:t>5.</w:t>
      </w:r>
    </w:p>
    <w:p w14:paraId="1324086C" w14:textId="3C308BA7" w:rsidR="007A7B4E" w:rsidRPr="007A7B4E" w:rsidRDefault="007A7B4E" w:rsidP="007A7B4E">
      <w:pPr>
        <w:pStyle w:val="ab"/>
        <w:spacing w:after="0" w:line="480" w:lineRule="auto"/>
        <w:rPr>
          <w:rFonts w:ascii="Times New Roman" w:hAnsi="Times New Roman" w:cs="Times New Roman"/>
        </w:rPr>
      </w:pPr>
      <w:r w:rsidRPr="007A7B4E">
        <w:rPr>
          <w:rFonts w:ascii="Times New Roman" w:hAnsi="Times New Roman" w:cs="Times New Roman"/>
        </w:rPr>
        <w:t>4. Lagesen K, Hallin P, Rødland EA, Stærfeldt H-H, Rognes T, Ussery DW. RNAmmer: consistent and rapid annotation of ribosomal RNA genes. Nucleic Acids Res. 2007;35</w:t>
      </w:r>
      <w:r w:rsidR="00BA62E6">
        <w:rPr>
          <w:rFonts w:ascii="Times New Roman" w:hAnsi="Times New Roman" w:cs="Times New Roman" w:hint="eastAsia"/>
        </w:rPr>
        <w:t>(9)</w:t>
      </w:r>
      <w:r w:rsidRPr="007A7B4E">
        <w:rPr>
          <w:rFonts w:ascii="Times New Roman" w:hAnsi="Times New Roman" w:cs="Times New Roman"/>
        </w:rPr>
        <w:t>:3100</w:t>
      </w:r>
      <w:r w:rsidR="00DF1114">
        <w:rPr>
          <w:rFonts w:ascii="Times New Roman" w:hAnsi="Times New Roman" w:cs="Times New Roman" w:hint="eastAsia"/>
        </w:rPr>
        <w:t>-</w:t>
      </w:r>
      <w:r w:rsidRPr="007A7B4E">
        <w:rPr>
          <w:rFonts w:ascii="Times New Roman" w:hAnsi="Times New Roman" w:cs="Times New Roman"/>
        </w:rPr>
        <w:t>8.</w:t>
      </w:r>
    </w:p>
    <w:p w14:paraId="6863C1DE" w14:textId="0EF7EB91" w:rsidR="007A7B4E" w:rsidRPr="007A7B4E" w:rsidRDefault="007A7B4E" w:rsidP="007A7B4E">
      <w:pPr>
        <w:pStyle w:val="ab"/>
        <w:spacing w:after="0" w:line="480" w:lineRule="auto"/>
        <w:rPr>
          <w:rFonts w:ascii="Times New Roman" w:hAnsi="Times New Roman" w:cs="Times New Roman"/>
        </w:rPr>
      </w:pPr>
      <w:r w:rsidRPr="007A7B4E">
        <w:rPr>
          <w:rFonts w:ascii="Times New Roman" w:hAnsi="Times New Roman" w:cs="Times New Roman"/>
        </w:rPr>
        <w:t>5. Kanehisa M, Araki M, Goto S, Hattori M, Hirakawa M, Itoh M, et al. KEGG for linking genomes to life and the environment. Nucleic Acids Res. 2008;36:D480</w:t>
      </w:r>
      <w:r w:rsidR="00CF3925">
        <w:rPr>
          <w:rFonts w:ascii="Times New Roman" w:hAnsi="Times New Roman" w:cs="Times New Roman" w:hint="eastAsia"/>
        </w:rPr>
        <w:t>-</w:t>
      </w:r>
      <w:r w:rsidRPr="007A7B4E">
        <w:rPr>
          <w:rFonts w:ascii="Times New Roman" w:hAnsi="Times New Roman" w:cs="Times New Roman"/>
        </w:rPr>
        <w:t>4.</w:t>
      </w:r>
    </w:p>
    <w:sectPr w:rsidR="007A7B4E" w:rsidRPr="007A7B4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5028C" w14:textId="77777777" w:rsidR="001B675B" w:rsidRDefault="001B675B" w:rsidP="00BA36A1">
      <w:pPr>
        <w:rPr>
          <w:rFonts w:hint="eastAsia"/>
        </w:rPr>
      </w:pPr>
      <w:r>
        <w:separator/>
      </w:r>
    </w:p>
  </w:endnote>
  <w:endnote w:type="continuationSeparator" w:id="0">
    <w:p w14:paraId="543F03CF" w14:textId="77777777" w:rsidR="001B675B" w:rsidRDefault="001B675B" w:rsidP="00BA36A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C6DF0" w14:textId="77777777" w:rsidR="001B675B" w:rsidRDefault="001B675B" w:rsidP="00BA36A1">
      <w:pPr>
        <w:rPr>
          <w:rFonts w:hint="eastAsia"/>
        </w:rPr>
      </w:pPr>
      <w:r>
        <w:separator/>
      </w:r>
    </w:p>
  </w:footnote>
  <w:footnote w:type="continuationSeparator" w:id="0">
    <w:p w14:paraId="54E5A3A2" w14:textId="77777777" w:rsidR="001B675B" w:rsidRDefault="001B675B" w:rsidP="00BA36A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A2A25"/>
    <w:multiLevelType w:val="hybridMultilevel"/>
    <w:tmpl w:val="9ED49A9E"/>
    <w:lvl w:ilvl="0" w:tplc="37180A68">
      <w:start w:val="1"/>
      <w:numFmt w:val="decimal"/>
      <w:lvlText w:val="%1."/>
      <w:lvlJc w:val="left"/>
      <w:pPr>
        <w:ind w:left="360" w:hanging="360"/>
      </w:pPr>
      <w:rPr>
        <w:rFonts w:asciiTheme="minorHAnsi" w:eastAsiaTheme="minorEastAsia" w:hAnsiTheme="minorHAnsi" w:cstheme="minorBidi"/>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EA604E7"/>
    <w:multiLevelType w:val="hybridMultilevel"/>
    <w:tmpl w:val="26A2A0A0"/>
    <w:lvl w:ilvl="0" w:tplc="FFFFFFFF">
      <w:start w:val="1"/>
      <w:numFmt w:val="decimal"/>
      <w:lvlText w:val="%1."/>
      <w:lvlJc w:val="left"/>
      <w:pPr>
        <w:ind w:left="360" w:hanging="360"/>
      </w:pPr>
      <w:rPr>
        <w:rFonts w:asciiTheme="minorHAnsi" w:eastAsiaTheme="minorEastAsia" w:hAnsiTheme="minorHAnsi" w:cstheme="minorBidi"/>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2" w15:restartNumberingAfterBreak="0">
    <w:nsid w:val="457E353E"/>
    <w:multiLevelType w:val="hybridMultilevel"/>
    <w:tmpl w:val="F4F85C96"/>
    <w:lvl w:ilvl="0" w:tplc="F9C472D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930456586">
    <w:abstractNumId w:val="0"/>
  </w:num>
  <w:num w:numId="2" w16cid:durableId="1025978973">
    <w:abstractNumId w:val="1"/>
  </w:num>
  <w:num w:numId="3" w16cid:durableId="18858252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C16"/>
    <w:rsid w:val="00011434"/>
    <w:rsid w:val="000D7FDB"/>
    <w:rsid w:val="000E26D4"/>
    <w:rsid w:val="00151A36"/>
    <w:rsid w:val="0016339D"/>
    <w:rsid w:val="00185624"/>
    <w:rsid w:val="00187996"/>
    <w:rsid w:val="001B675B"/>
    <w:rsid w:val="001E0BA5"/>
    <w:rsid w:val="00217ABC"/>
    <w:rsid w:val="002432F7"/>
    <w:rsid w:val="00273730"/>
    <w:rsid w:val="00284FBD"/>
    <w:rsid w:val="0030383A"/>
    <w:rsid w:val="00373800"/>
    <w:rsid w:val="003B12E0"/>
    <w:rsid w:val="003F61F9"/>
    <w:rsid w:val="004B1F04"/>
    <w:rsid w:val="005178ED"/>
    <w:rsid w:val="005220A2"/>
    <w:rsid w:val="0053179D"/>
    <w:rsid w:val="00550702"/>
    <w:rsid w:val="00553EA6"/>
    <w:rsid w:val="0055761E"/>
    <w:rsid w:val="0058607A"/>
    <w:rsid w:val="00590E35"/>
    <w:rsid w:val="00640718"/>
    <w:rsid w:val="00703ECE"/>
    <w:rsid w:val="007A7B4E"/>
    <w:rsid w:val="00847A4D"/>
    <w:rsid w:val="008B1567"/>
    <w:rsid w:val="00970C97"/>
    <w:rsid w:val="009806C9"/>
    <w:rsid w:val="009B79CE"/>
    <w:rsid w:val="009D4A96"/>
    <w:rsid w:val="00A34C16"/>
    <w:rsid w:val="00AB39AF"/>
    <w:rsid w:val="00AD34CC"/>
    <w:rsid w:val="00B13E14"/>
    <w:rsid w:val="00B23E1B"/>
    <w:rsid w:val="00B638FF"/>
    <w:rsid w:val="00B87689"/>
    <w:rsid w:val="00BA36A1"/>
    <w:rsid w:val="00BA62E6"/>
    <w:rsid w:val="00BD25B8"/>
    <w:rsid w:val="00BD52A9"/>
    <w:rsid w:val="00BF113D"/>
    <w:rsid w:val="00C44314"/>
    <w:rsid w:val="00C82B96"/>
    <w:rsid w:val="00CD7163"/>
    <w:rsid w:val="00CE5C16"/>
    <w:rsid w:val="00CF3925"/>
    <w:rsid w:val="00CF3DFF"/>
    <w:rsid w:val="00DB1678"/>
    <w:rsid w:val="00DF1114"/>
    <w:rsid w:val="00E25711"/>
    <w:rsid w:val="00E260C0"/>
    <w:rsid w:val="00E26D09"/>
    <w:rsid w:val="00E443F7"/>
    <w:rsid w:val="00E549FC"/>
    <w:rsid w:val="00E57301"/>
    <w:rsid w:val="00E76903"/>
    <w:rsid w:val="00E94483"/>
    <w:rsid w:val="00EB78A4"/>
    <w:rsid w:val="00ED7A92"/>
    <w:rsid w:val="00F01BD5"/>
    <w:rsid w:val="00F12ED3"/>
    <w:rsid w:val="00F73AE3"/>
    <w:rsid w:val="00FB5A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B3F128"/>
  <w15:chartTrackingRefBased/>
  <w15:docId w15:val="{2ED42F3B-62C4-4F39-80A6-F02432422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36A1"/>
    <w:pPr>
      <w:tabs>
        <w:tab w:val="center" w:pos="4153"/>
        <w:tab w:val="right" w:pos="8306"/>
      </w:tabs>
      <w:snapToGrid w:val="0"/>
      <w:jc w:val="center"/>
    </w:pPr>
    <w:rPr>
      <w:sz w:val="18"/>
      <w:szCs w:val="18"/>
    </w:rPr>
  </w:style>
  <w:style w:type="character" w:customStyle="1" w:styleId="a4">
    <w:name w:val="页眉 字符"/>
    <w:basedOn w:val="a0"/>
    <w:link w:val="a3"/>
    <w:uiPriority w:val="99"/>
    <w:rsid w:val="00BA36A1"/>
    <w:rPr>
      <w:sz w:val="18"/>
      <w:szCs w:val="18"/>
    </w:rPr>
  </w:style>
  <w:style w:type="paragraph" w:styleId="a5">
    <w:name w:val="footer"/>
    <w:basedOn w:val="a"/>
    <w:link w:val="a6"/>
    <w:uiPriority w:val="99"/>
    <w:unhideWhenUsed/>
    <w:rsid w:val="00BA36A1"/>
    <w:pPr>
      <w:tabs>
        <w:tab w:val="center" w:pos="4153"/>
        <w:tab w:val="right" w:pos="8306"/>
      </w:tabs>
      <w:snapToGrid w:val="0"/>
      <w:jc w:val="left"/>
    </w:pPr>
    <w:rPr>
      <w:sz w:val="18"/>
      <w:szCs w:val="18"/>
    </w:rPr>
  </w:style>
  <w:style w:type="character" w:customStyle="1" w:styleId="a6">
    <w:name w:val="页脚 字符"/>
    <w:basedOn w:val="a0"/>
    <w:link w:val="a5"/>
    <w:uiPriority w:val="99"/>
    <w:rsid w:val="00BA36A1"/>
    <w:rPr>
      <w:sz w:val="18"/>
      <w:szCs w:val="18"/>
    </w:rPr>
  </w:style>
  <w:style w:type="paragraph" w:styleId="a7">
    <w:name w:val="List Paragraph"/>
    <w:basedOn w:val="a"/>
    <w:uiPriority w:val="34"/>
    <w:qFormat/>
    <w:rsid w:val="00BA36A1"/>
    <w:pPr>
      <w:ind w:firstLineChars="200" w:firstLine="420"/>
    </w:pPr>
  </w:style>
  <w:style w:type="paragraph" w:styleId="a8">
    <w:name w:val="annotation text"/>
    <w:basedOn w:val="a"/>
    <w:link w:val="a9"/>
    <w:uiPriority w:val="99"/>
    <w:unhideWhenUsed/>
    <w:rsid w:val="00BA36A1"/>
    <w:rPr>
      <w:sz w:val="20"/>
      <w:szCs w:val="20"/>
    </w:rPr>
  </w:style>
  <w:style w:type="character" w:customStyle="1" w:styleId="a9">
    <w:name w:val="批注文字 字符"/>
    <w:basedOn w:val="a0"/>
    <w:link w:val="a8"/>
    <w:uiPriority w:val="99"/>
    <w:rsid w:val="00BA36A1"/>
    <w:rPr>
      <w:sz w:val="20"/>
      <w:szCs w:val="20"/>
    </w:rPr>
  </w:style>
  <w:style w:type="character" w:styleId="aa">
    <w:name w:val="annotation reference"/>
    <w:basedOn w:val="a0"/>
    <w:uiPriority w:val="99"/>
    <w:semiHidden/>
    <w:unhideWhenUsed/>
    <w:rsid w:val="00BA36A1"/>
    <w:rPr>
      <w:sz w:val="16"/>
      <w:szCs w:val="16"/>
    </w:rPr>
  </w:style>
  <w:style w:type="paragraph" w:styleId="ab">
    <w:name w:val="Bibliography"/>
    <w:basedOn w:val="a"/>
    <w:next w:val="a"/>
    <w:uiPriority w:val="37"/>
    <w:unhideWhenUsed/>
    <w:rsid w:val="00185624"/>
    <w:pPr>
      <w:spacing w:after="240"/>
    </w:pPr>
  </w:style>
  <w:style w:type="paragraph" w:styleId="ac">
    <w:name w:val="Revision"/>
    <w:hidden/>
    <w:uiPriority w:val="99"/>
    <w:semiHidden/>
    <w:rsid w:val="009B79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603</TotalTime>
  <Pages>3</Pages>
  <Words>725</Words>
  <Characters>4217</Characters>
  <Application>Microsoft Office Word</Application>
  <DocSecurity>0</DocSecurity>
  <Lines>61</Lines>
  <Paragraphs>22</Paragraphs>
  <ScaleCrop>false</ScaleCrop>
  <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qiqi Cao</dc:creator>
  <cp:keywords/>
  <dc:description/>
  <cp:lastModifiedBy>qiqi Cao</cp:lastModifiedBy>
  <cp:revision>45</cp:revision>
  <dcterms:created xsi:type="dcterms:W3CDTF">2024-12-15T21:59:00Z</dcterms:created>
  <dcterms:modified xsi:type="dcterms:W3CDTF">2025-09-28T15:11:00Z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id="D21nQqSl"/&gt;&lt;style id="http://www.zotero.org/styles/microbiome" hasBibliography="1" bibliographyStyleHasBeenSet="1"/&gt;&lt;prefs&gt;&lt;pref name="fieldType" value="Field"/&gt;&lt;/prefs&gt;&lt;/data&gt;</vt:lpwstr>
  </property>
</Properties>
</file>