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6A6B71" w14:textId="77777777" w:rsidR="00C13150" w:rsidRDefault="00B33A9A">
      <w:pPr>
        <w:adjustRightInd w:val="0"/>
        <w:snapToGrid w:val="0"/>
        <w:spacing w:line="48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DE74C32" wp14:editId="1D62DCC7">
            <wp:extent cx="5274310" cy="2486025"/>
            <wp:effectExtent l="0" t="0" r="2540" b="952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A8CAE3" w14:textId="77777777" w:rsidR="00C13150" w:rsidRDefault="00B33A9A">
      <w:pPr>
        <w:adjustRightInd w:val="0"/>
        <w:snapToGrid w:val="0"/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/>
          <w:b/>
        </w:rPr>
        <w:t>Fig. S1.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/>
          <w:b/>
        </w:rPr>
        <w:t xml:space="preserve">Schematic representation of the </w:t>
      </w:r>
      <w:r>
        <w:rPr>
          <w:rFonts w:ascii="Times New Roman" w:hAnsi="Times New Roman" w:cs="Times New Roman"/>
          <w:b/>
          <w:szCs w:val="21"/>
        </w:rPr>
        <w:t>study and sampling design of the trial</w:t>
      </w:r>
      <w:r>
        <w:rPr>
          <w:rFonts w:ascii="Times New Roman" w:hAnsi="Times New Roman" w:cs="Times New Roman"/>
          <w:b/>
        </w:rPr>
        <w:t>.</w:t>
      </w:r>
    </w:p>
    <w:p w14:paraId="5A7C0B1A" w14:textId="77777777" w:rsidR="00C13150" w:rsidRDefault="00C13150">
      <w:pPr>
        <w:adjustRightInd w:val="0"/>
        <w:snapToGrid w:val="0"/>
        <w:spacing w:line="480" w:lineRule="auto"/>
        <w:rPr>
          <w:rFonts w:ascii="Times New Roman" w:hAnsi="Times New Roman" w:cs="Times New Roman"/>
          <w:b/>
          <w:szCs w:val="21"/>
        </w:rPr>
      </w:pPr>
    </w:p>
    <w:p w14:paraId="63C2DDD4" w14:textId="77777777" w:rsidR="00C13150" w:rsidRDefault="00B33A9A">
      <w:pPr>
        <w:adjustRightInd w:val="0"/>
        <w:snapToGrid w:val="0"/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drawing>
          <wp:inline distT="0" distB="0" distL="0" distR="0" wp14:anchorId="74BC8420" wp14:editId="7F25A48D">
            <wp:extent cx="5274310" cy="2585085"/>
            <wp:effectExtent l="0" t="0" r="2540" b="57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85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C4F1BF" w14:textId="77777777" w:rsidR="00C13150" w:rsidRDefault="00B33A9A">
      <w:pPr>
        <w:adjustRightInd w:val="0"/>
        <w:snapToGrid w:val="0"/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Fig. S2. The number of identified species in each domain.</w:t>
      </w:r>
    </w:p>
    <w:p w14:paraId="2F7AFD29" w14:textId="77777777" w:rsidR="00C13150" w:rsidRDefault="00C13150">
      <w:pPr>
        <w:adjustRightInd w:val="0"/>
        <w:snapToGrid w:val="0"/>
        <w:spacing w:line="480" w:lineRule="auto"/>
        <w:rPr>
          <w:rFonts w:ascii="Times New Roman" w:hAnsi="Times New Roman" w:cs="Times New Roman"/>
          <w:b/>
        </w:rPr>
      </w:pPr>
    </w:p>
    <w:p w14:paraId="1C4EE065" w14:textId="77777777" w:rsidR="00C13150" w:rsidRDefault="00B33A9A">
      <w:pPr>
        <w:adjustRightInd w:val="0"/>
        <w:snapToGrid w:val="0"/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drawing>
          <wp:inline distT="0" distB="0" distL="0" distR="0" wp14:anchorId="6226A8D6" wp14:editId="0027FE13">
            <wp:extent cx="5274310" cy="1718310"/>
            <wp:effectExtent l="0" t="0" r="254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18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0335A5" w14:textId="77777777" w:rsidR="00C13150" w:rsidRDefault="00B33A9A">
      <w:pPr>
        <w:adjustRightInd w:val="0"/>
        <w:snapToGrid w:val="0"/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Fig. S3. The distribution of different rumen microbiota between EL (A) and PL (B) cows based </w:t>
      </w:r>
      <w:r>
        <w:rPr>
          <w:rFonts w:ascii="Times New Roman" w:hAnsi="Times New Roman" w:cs="Times New Roman"/>
          <w:b/>
        </w:rPr>
        <w:lastRenderedPageBreak/>
        <w:t xml:space="preserve">on </w:t>
      </w:r>
      <w:proofErr w:type="spellStart"/>
      <w:r>
        <w:rPr>
          <w:rFonts w:ascii="Times New Roman" w:hAnsi="Times New Roman" w:cs="Times New Roman"/>
          <w:b/>
        </w:rPr>
        <w:t>LEfSe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analysis.</w:t>
      </w:r>
    </w:p>
    <w:p w14:paraId="2B2DC233" w14:textId="77777777" w:rsidR="00C13150" w:rsidRDefault="00C13150">
      <w:pPr>
        <w:adjustRightInd w:val="0"/>
        <w:snapToGrid w:val="0"/>
        <w:spacing w:line="480" w:lineRule="auto"/>
        <w:rPr>
          <w:rFonts w:ascii="Times New Roman" w:hAnsi="Times New Roman" w:cs="Times New Roman"/>
          <w:b/>
        </w:rPr>
      </w:pPr>
    </w:p>
    <w:p w14:paraId="157FEE67" w14:textId="77777777" w:rsidR="00C13150" w:rsidRDefault="00B33A9A">
      <w:pPr>
        <w:adjustRightInd w:val="0"/>
        <w:snapToGrid w:val="0"/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drawing>
          <wp:inline distT="0" distB="0" distL="0" distR="0" wp14:anchorId="194ADAB3" wp14:editId="67B4B68E">
            <wp:extent cx="5274310" cy="3223895"/>
            <wp:effectExtent l="0" t="0" r="254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E9B105" w14:textId="77777777" w:rsidR="00C13150" w:rsidRDefault="00B33A9A">
      <w:pPr>
        <w:adjustRightInd w:val="0"/>
        <w:snapToGrid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Fig. S4. </w:t>
      </w:r>
      <w:bookmarkStart w:id="0" w:name="_Hlk198046831"/>
      <w:r>
        <w:rPr>
          <w:rFonts w:ascii="Times New Roman" w:hAnsi="Times New Roman" w:cs="Times New Roman"/>
          <w:b/>
        </w:rPr>
        <w:t>The spearman correlations between</w:t>
      </w:r>
      <w:r>
        <w:rPr>
          <w:rFonts w:ascii="Times New Roman" w:hAnsi="Times New Roman" w:cs="Times New Roman" w:hint="eastAsia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the significantly differential microbiota and the enriched </w:t>
      </w:r>
      <w:r>
        <w:rPr>
          <w:rFonts w:ascii="Times New Roman" w:hAnsi="Times New Roman" w:cs="Times New Roman" w:hint="eastAsia"/>
          <w:b/>
        </w:rPr>
        <w:t>t</w:t>
      </w:r>
      <w:r>
        <w:rPr>
          <w:rFonts w:ascii="Times New Roman" w:hAnsi="Times New Roman" w:cs="Times New Roman"/>
          <w:b/>
        </w:rPr>
        <w:t>ryptophan metabolism pathway.</w:t>
      </w:r>
      <w:bookmarkEnd w:id="0"/>
      <w:r>
        <w:rPr>
          <w:rFonts w:ascii="Times New Roman" w:hAnsi="Times New Roman" w:cs="Times New Roman"/>
        </w:rPr>
        <w:t xml:space="preserve"> The genera and species were selected from the significantly</w:t>
      </w:r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>differential microbiota that were significantly co</w:t>
      </w:r>
      <w:r>
        <w:rPr>
          <w:rFonts w:ascii="Times New Roman" w:hAnsi="Times New Roman" w:cs="Times New Roman"/>
        </w:rPr>
        <w:t xml:space="preserve">rrelated with metabolic stress, and the metabolites were enriched in the tryptophan metabolism. *Represents the correlation </w:t>
      </w:r>
      <w:r>
        <w:rPr>
          <w:rFonts w:ascii="Times New Roman" w:hAnsi="Times New Roman" w:cs="Times New Roman"/>
          <w:i/>
        </w:rPr>
        <w:t>P</w:t>
      </w:r>
      <w:r>
        <w:rPr>
          <w:rFonts w:ascii="Times New Roman" w:hAnsi="Times New Roman" w:cs="Times New Roman"/>
        </w:rPr>
        <w:t xml:space="preserve"> &lt; 0.05, **</w:t>
      </w:r>
      <w:r>
        <w:rPr>
          <w:rFonts w:ascii="Times New Roman" w:hAnsi="Times New Roman" w:cs="Times New Roman"/>
          <w:i/>
        </w:rPr>
        <w:t>P</w:t>
      </w:r>
      <w:r>
        <w:rPr>
          <w:rFonts w:ascii="Times New Roman" w:hAnsi="Times New Roman" w:cs="Times New Roman"/>
        </w:rPr>
        <w:t xml:space="preserve"> &lt; 0.01, and ***</w:t>
      </w:r>
      <w:r>
        <w:rPr>
          <w:rFonts w:ascii="Times New Roman" w:hAnsi="Times New Roman" w:cs="Times New Roman"/>
          <w:i/>
        </w:rPr>
        <w:t>P</w:t>
      </w:r>
      <w:r>
        <w:rPr>
          <w:rFonts w:ascii="Times New Roman" w:hAnsi="Times New Roman" w:cs="Times New Roman"/>
        </w:rPr>
        <w:t xml:space="preserve"> &lt; 0.001.</w:t>
      </w:r>
    </w:p>
    <w:p w14:paraId="0B38F139" w14:textId="77777777" w:rsidR="00C13150" w:rsidRDefault="00C13150">
      <w:pPr>
        <w:adjustRightInd w:val="0"/>
        <w:snapToGrid w:val="0"/>
        <w:spacing w:line="480" w:lineRule="auto"/>
        <w:rPr>
          <w:rFonts w:ascii="Times New Roman" w:hAnsi="Times New Roman" w:cs="Times New Roman"/>
        </w:rPr>
      </w:pPr>
    </w:p>
    <w:p w14:paraId="228ADA78" w14:textId="77777777" w:rsidR="00C13150" w:rsidRDefault="00B33A9A">
      <w:pPr>
        <w:adjustRightInd w:val="0"/>
        <w:snapToGrid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noProof/>
        </w:rPr>
        <w:lastRenderedPageBreak/>
        <w:drawing>
          <wp:inline distT="0" distB="0" distL="0" distR="0" wp14:anchorId="1ACC5045" wp14:editId="2B301539">
            <wp:extent cx="5274310" cy="4897120"/>
            <wp:effectExtent l="0" t="0" r="254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897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EC015D" w14:textId="77777777" w:rsidR="00C13150" w:rsidRDefault="00B33A9A">
      <w:pPr>
        <w:adjustRightInd w:val="0"/>
        <w:snapToGrid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Fig. S5. The distribution of enriched KEGG pathways in the rumen of EL cows and PL cows. </w:t>
      </w:r>
      <w:r>
        <w:rPr>
          <w:rFonts w:ascii="Times New Roman" w:hAnsi="Times New Roman" w:cs="Times New Roman"/>
        </w:rPr>
        <w:t>(A) Level 1</w:t>
      </w:r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>pathway. (B). Level 2 pathway.</w:t>
      </w:r>
    </w:p>
    <w:p w14:paraId="4FFD2979" w14:textId="77777777" w:rsidR="00C13150" w:rsidRDefault="00C13150">
      <w:pPr>
        <w:adjustRightInd w:val="0"/>
        <w:snapToGrid w:val="0"/>
        <w:spacing w:line="480" w:lineRule="auto"/>
        <w:rPr>
          <w:rFonts w:ascii="Times New Roman" w:hAnsi="Times New Roman" w:cs="Times New Roman"/>
        </w:rPr>
      </w:pPr>
    </w:p>
    <w:p w14:paraId="3E2CD4E2" w14:textId="77777777" w:rsidR="00C13150" w:rsidRDefault="00B33A9A">
      <w:pPr>
        <w:adjustRightInd w:val="0"/>
        <w:snapToGrid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6EAB0159" wp14:editId="315FA4C6">
            <wp:extent cx="5274310" cy="1327785"/>
            <wp:effectExtent l="0" t="0" r="2540" b="571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27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EFB858" w14:textId="77777777" w:rsidR="00C13150" w:rsidRDefault="00B33A9A">
      <w:pPr>
        <w:adjustRightInd w:val="0"/>
        <w:snapToGrid w:val="0"/>
        <w:spacing w:line="480" w:lineRule="auto"/>
        <w:rPr>
          <w:rFonts w:ascii="Times New Roman" w:hAnsi="Times New Roman" w:cs="Times New Roman"/>
          <w:b/>
          <w:szCs w:val="21"/>
        </w:rPr>
      </w:pPr>
      <w:r>
        <w:rPr>
          <w:rFonts w:ascii="Times New Roman" w:hAnsi="Times New Roman" w:cs="Times New Roman"/>
          <w:b/>
        </w:rPr>
        <w:t>Fig. S6.</w:t>
      </w:r>
      <w:r>
        <w:rPr>
          <w:rFonts w:ascii="Times New Roman" w:hAnsi="Times New Roman" w:cs="Times New Roman"/>
          <w:b/>
          <w:szCs w:val="21"/>
        </w:rPr>
        <w:t xml:space="preserve"> Percentages of numbers of main metabolite subclasses in (A) serum and (B) rumen.</w:t>
      </w:r>
    </w:p>
    <w:p w14:paraId="7F7FE46D" w14:textId="77777777" w:rsidR="00C13150" w:rsidRDefault="00C13150">
      <w:pPr>
        <w:adjustRightInd w:val="0"/>
        <w:snapToGrid w:val="0"/>
        <w:spacing w:line="480" w:lineRule="auto"/>
        <w:rPr>
          <w:rFonts w:ascii="Times New Roman" w:hAnsi="Times New Roman" w:cs="Times New Roman"/>
          <w:b/>
          <w:szCs w:val="21"/>
        </w:rPr>
      </w:pPr>
    </w:p>
    <w:p w14:paraId="686B2F58" w14:textId="77777777" w:rsidR="00C13150" w:rsidRDefault="00B33A9A">
      <w:pPr>
        <w:adjustRightInd w:val="0"/>
        <w:snapToGrid w:val="0"/>
        <w:spacing w:line="480" w:lineRule="auto"/>
        <w:jc w:val="center"/>
        <w:rPr>
          <w:rFonts w:ascii="Times New Roman" w:hAnsi="Times New Roman" w:cs="Times New Roman"/>
          <w:b/>
          <w:szCs w:val="21"/>
        </w:rPr>
      </w:pPr>
      <w:r>
        <w:rPr>
          <w:b/>
          <w:noProof/>
          <w:szCs w:val="21"/>
        </w:rPr>
        <w:lastRenderedPageBreak/>
        <w:drawing>
          <wp:inline distT="0" distB="0" distL="0" distR="0" wp14:anchorId="3D411A12" wp14:editId="0591EBBA">
            <wp:extent cx="5274310" cy="1917065"/>
            <wp:effectExtent l="0" t="0" r="2540" b="698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17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0425A6" w14:textId="77777777" w:rsidR="00C13150" w:rsidRDefault="00B33A9A">
      <w:pPr>
        <w:adjustRightInd w:val="0"/>
        <w:snapToGrid w:val="0"/>
        <w:spacing w:line="480" w:lineRule="auto"/>
        <w:rPr>
          <w:rFonts w:ascii="Times New Roman" w:hAnsi="Times New Roman" w:cs="Times New Roman"/>
          <w:bCs/>
          <w:szCs w:val="21"/>
        </w:rPr>
      </w:pPr>
      <w:bookmarkStart w:id="1" w:name="_Hlk203924336"/>
      <w:bookmarkStart w:id="2" w:name="_Hlk204154110"/>
      <w:r>
        <w:rPr>
          <w:rFonts w:ascii="Times New Roman" w:hAnsi="Times New Roman" w:cs="Times New Roman"/>
          <w:b/>
          <w:szCs w:val="21"/>
        </w:rPr>
        <w:t xml:space="preserve">Fig. S7. Monte Carlo simulation protocol under the experimental design. </w:t>
      </w:r>
      <w:bookmarkEnd w:id="1"/>
      <w:r>
        <w:rPr>
          <w:rFonts w:ascii="Times New Roman" w:hAnsi="Times New Roman" w:cs="Times New Roman"/>
          <w:bCs/>
          <w:szCs w:val="21"/>
        </w:rPr>
        <w:t>The simulation protocol employed a random sam</w:t>
      </w:r>
      <w:r>
        <w:rPr>
          <w:rFonts w:ascii="Times New Roman" w:hAnsi="Times New Roman" w:cs="Times New Roman"/>
          <w:bCs/>
          <w:szCs w:val="21"/>
        </w:rPr>
        <w:t>pling scheme with two replicates per experimental unit, systematically evaluating the statistical robustness of our approach.</w:t>
      </w:r>
    </w:p>
    <w:p w14:paraId="0125339D" w14:textId="77777777" w:rsidR="00C13150" w:rsidRDefault="00C13150">
      <w:pPr>
        <w:adjustRightInd w:val="0"/>
        <w:snapToGrid w:val="0"/>
        <w:spacing w:line="480" w:lineRule="auto"/>
        <w:rPr>
          <w:rFonts w:ascii="Times New Roman" w:hAnsi="Times New Roman" w:cs="Times New Roman"/>
          <w:bCs/>
          <w:szCs w:val="21"/>
        </w:rPr>
      </w:pPr>
    </w:p>
    <w:bookmarkEnd w:id="2"/>
    <w:p w14:paraId="0B39CD81" w14:textId="77777777" w:rsidR="00C13150" w:rsidRDefault="00B33A9A">
      <w:pPr>
        <w:adjustRightInd w:val="0"/>
        <w:snapToGrid w:val="0"/>
        <w:spacing w:line="480" w:lineRule="auto"/>
        <w:jc w:val="center"/>
        <w:rPr>
          <w:rFonts w:ascii="Times New Roman" w:hAnsi="Times New Roman" w:cs="Times New Roman"/>
          <w:b/>
          <w:szCs w:val="21"/>
        </w:rPr>
      </w:pPr>
      <w:r>
        <w:rPr>
          <w:rFonts w:ascii="Times New Roman" w:hAnsi="Times New Roman" w:cs="Times New Roman"/>
          <w:noProof/>
          <w:szCs w:val="21"/>
        </w:rPr>
        <w:drawing>
          <wp:inline distT="0" distB="0" distL="114300" distR="114300" wp14:anchorId="4A0CE11D" wp14:editId="6B24E542">
            <wp:extent cx="5272405" cy="2404110"/>
            <wp:effectExtent l="0" t="0" r="10795" b="8890"/>
            <wp:docPr id="2" name="图片 2" descr="FigureS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ureS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404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8D7B92" w14:textId="77777777" w:rsidR="00C13150" w:rsidRDefault="00B33A9A">
      <w:pPr>
        <w:adjustRightInd w:val="0"/>
        <w:snapToGrid w:val="0"/>
        <w:spacing w:line="480" w:lineRule="auto"/>
        <w:rPr>
          <w:rFonts w:ascii="Times New Roman" w:hAnsi="Times New Roman" w:cs="Times New Roman"/>
          <w:bCs/>
          <w:szCs w:val="21"/>
        </w:rPr>
      </w:pPr>
      <w:r>
        <w:rPr>
          <w:rFonts w:ascii="Times New Roman" w:hAnsi="Times New Roman" w:cs="Times New Roman"/>
          <w:b/>
          <w:szCs w:val="21"/>
        </w:rPr>
        <w:t>Fig. S8.</w:t>
      </w:r>
      <w:r>
        <w:rPr>
          <w:rFonts w:ascii="Times New Roman" w:hAnsi="Times New Roman" w:cs="Times New Roman" w:hint="eastAsia"/>
          <w:b/>
          <w:szCs w:val="21"/>
        </w:rPr>
        <w:t xml:space="preserve"> Monte Carlo simulation of power</w:t>
      </w:r>
      <w:r>
        <w:rPr>
          <w:rFonts w:ascii="Times New Roman" w:hAnsi="Times New Roman" w:cs="Times New Roman"/>
          <w:b/>
          <w:szCs w:val="21"/>
        </w:rPr>
        <w:t>-</w:t>
      </w:r>
      <w:r>
        <w:rPr>
          <w:rFonts w:ascii="Times New Roman" w:hAnsi="Times New Roman" w:cs="Times New Roman" w:hint="eastAsia"/>
          <w:b/>
          <w:szCs w:val="21"/>
        </w:rPr>
        <w:t xml:space="preserve">sample size relationships. </w:t>
      </w:r>
      <w:r w:rsidRPr="00B33A9A">
        <w:rPr>
          <w:rFonts w:ascii="Times New Roman" w:hAnsi="Times New Roman" w:cs="Times New Roman" w:hint="eastAsia"/>
          <w:bCs/>
          <w:szCs w:val="21"/>
          <w:highlight w:val="yellow"/>
        </w:rPr>
        <w:t>A sample size of n = 15 achieve</w:t>
      </w:r>
      <w:r w:rsidRPr="00B33A9A">
        <w:rPr>
          <w:rFonts w:ascii="Times New Roman" w:hAnsi="Times New Roman" w:cs="Times New Roman"/>
          <w:bCs/>
          <w:szCs w:val="21"/>
          <w:highlight w:val="yellow"/>
        </w:rPr>
        <w:t>d</w:t>
      </w:r>
      <w:r w:rsidRPr="00B33A9A">
        <w:rPr>
          <w:rFonts w:ascii="Times New Roman" w:hAnsi="Times New Roman" w:cs="Times New Roman" w:hint="eastAsia"/>
          <w:bCs/>
          <w:szCs w:val="21"/>
          <w:highlight w:val="yellow"/>
        </w:rPr>
        <w:t xml:space="preserve"> 80% statistical power for all phenotypes except for GLU, NEFA, LPS, SAA, and HPT.</w:t>
      </w:r>
    </w:p>
    <w:p w14:paraId="25CA6DBD" w14:textId="77777777" w:rsidR="00C13150" w:rsidRDefault="00C13150">
      <w:pPr>
        <w:adjustRightInd w:val="0"/>
        <w:snapToGrid w:val="0"/>
        <w:spacing w:line="480" w:lineRule="auto"/>
        <w:rPr>
          <w:rFonts w:ascii="Times New Roman" w:hAnsi="Times New Roman" w:cs="Times New Roman"/>
          <w:bCs/>
          <w:szCs w:val="21"/>
        </w:rPr>
      </w:pPr>
    </w:p>
    <w:p w14:paraId="61E0B7C9" w14:textId="77777777" w:rsidR="00C13150" w:rsidRDefault="00B33A9A">
      <w:pPr>
        <w:adjustRightInd w:val="0"/>
        <w:snapToGrid w:val="0"/>
        <w:spacing w:line="480" w:lineRule="auto"/>
        <w:jc w:val="center"/>
        <w:rPr>
          <w:rFonts w:ascii="Times New Roman" w:hAnsi="Times New Roman" w:cs="Times New Roman"/>
          <w:b/>
          <w:szCs w:val="21"/>
        </w:rPr>
      </w:pPr>
      <w:r>
        <w:rPr>
          <w:rFonts w:ascii="Times New Roman" w:hAnsi="Times New Roman" w:cs="Times New Roman"/>
          <w:noProof/>
          <w:szCs w:val="21"/>
        </w:rPr>
        <w:lastRenderedPageBreak/>
        <w:drawing>
          <wp:inline distT="0" distB="0" distL="114300" distR="114300" wp14:anchorId="017BF903" wp14:editId="0C0C8816">
            <wp:extent cx="5272405" cy="2404110"/>
            <wp:effectExtent l="0" t="0" r="10795" b="8890"/>
            <wp:docPr id="4" name="图片 4" descr="FigureS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FigureS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404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F788D8" w14:textId="77777777" w:rsidR="00C13150" w:rsidRDefault="00B33A9A">
      <w:pPr>
        <w:spacing w:line="48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b/>
          <w:bCs/>
          <w:szCs w:val="21"/>
        </w:rPr>
        <w:t>Fig. S9. Monte Carlo simulation of power</w:t>
      </w:r>
      <w:r>
        <w:rPr>
          <w:rFonts w:ascii="Times New Roman" w:hAnsi="Times New Roman" w:cs="Times New Roman"/>
          <w:b/>
          <w:bCs/>
          <w:szCs w:val="21"/>
        </w:rPr>
        <w:t>-</w:t>
      </w:r>
      <w:r>
        <w:rPr>
          <w:rFonts w:ascii="Times New Roman" w:hAnsi="Times New Roman" w:cs="Times New Roman" w:hint="eastAsia"/>
          <w:b/>
          <w:bCs/>
          <w:szCs w:val="21"/>
        </w:rPr>
        <w:t>residual variance relationships.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Pr="00B33A9A">
        <w:rPr>
          <w:rFonts w:ascii="Times New Roman" w:hAnsi="Times New Roman" w:cs="Times New Roman" w:hint="eastAsia"/>
          <w:szCs w:val="21"/>
          <w:highlight w:val="yellow"/>
        </w:rPr>
        <w:t>Statistical power exceed</w:t>
      </w:r>
      <w:r w:rsidRPr="00B33A9A">
        <w:rPr>
          <w:rFonts w:ascii="Times New Roman" w:hAnsi="Times New Roman" w:cs="Times New Roman" w:hint="eastAsia"/>
          <w:szCs w:val="21"/>
          <w:highlight w:val="yellow"/>
        </w:rPr>
        <w:t>ed</w:t>
      </w:r>
      <w:r w:rsidRPr="00B33A9A">
        <w:rPr>
          <w:rFonts w:ascii="Times New Roman" w:hAnsi="Times New Roman" w:cs="Times New Roman" w:hint="eastAsia"/>
          <w:szCs w:val="21"/>
          <w:highlight w:val="yellow"/>
        </w:rPr>
        <w:t xml:space="preserve"> 0.80 at residual variance levels below 0.125 for all phenotypes excep</w:t>
      </w:r>
      <w:r w:rsidRPr="00B33A9A">
        <w:rPr>
          <w:rFonts w:ascii="Times New Roman" w:hAnsi="Times New Roman" w:cs="Times New Roman" w:hint="eastAsia"/>
          <w:szCs w:val="21"/>
          <w:highlight w:val="yellow"/>
        </w:rPr>
        <w:t>t NEFA, LPS, SAA, and HPT.</w:t>
      </w:r>
    </w:p>
    <w:p w14:paraId="27496C62" w14:textId="77777777" w:rsidR="00C13150" w:rsidRDefault="00C13150">
      <w:pPr>
        <w:spacing w:line="480" w:lineRule="auto"/>
        <w:rPr>
          <w:rFonts w:ascii="Times New Roman" w:hAnsi="Times New Roman" w:cs="Times New Roman"/>
          <w:szCs w:val="21"/>
        </w:rPr>
      </w:pPr>
    </w:p>
    <w:p w14:paraId="46CFC1FE" w14:textId="77777777" w:rsidR="00C13150" w:rsidRDefault="00B33A9A">
      <w:pPr>
        <w:adjustRightInd w:val="0"/>
        <w:snapToGrid w:val="0"/>
        <w:spacing w:line="480" w:lineRule="auto"/>
        <w:jc w:val="center"/>
        <w:rPr>
          <w:rFonts w:ascii="Times New Roman" w:hAnsi="Times New Roman" w:cs="Times New Roman"/>
          <w:b/>
          <w:szCs w:val="21"/>
        </w:rPr>
      </w:pPr>
      <w:r>
        <w:rPr>
          <w:rFonts w:ascii="Times New Roman" w:hAnsi="Times New Roman" w:cs="Times New Roman"/>
          <w:noProof/>
          <w:szCs w:val="21"/>
        </w:rPr>
        <w:drawing>
          <wp:inline distT="0" distB="0" distL="114300" distR="114300" wp14:anchorId="57CD7CF9" wp14:editId="01403EA8">
            <wp:extent cx="5269230" cy="2571750"/>
            <wp:effectExtent l="0" t="0" r="13970" b="19050"/>
            <wp:docPr id="13" name="图片 13" descr="FigureS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FigureS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5217AC" w14:textId="77777777" w:rsidR="00C13150" w:rsidRDefault="00B33A9A">
      <w:pPr>
        <w:adjustRightInd w:val="0"/>
        <w:snapToGrid w:val="0"/>
        <w:spacing w:line="480" w:lineRule="auto"/>
        <w:rPr>
          <w:rFonts w:ascii="Times New Roman" w:hAnsi="Times New Roman" w:cs="Times New Roman"/>
          <w:b/>
          <w:szCs w:val="21"/>
        </w:rPr>
      </w:pPr>
      <w:r w:rsidRPr="00B33A9A">
        <w:rPr>
          <w:rFonts w:ascii="Times New Roman" w:hAnsi="Times New Roman" w:cs="Times New Roman"/>
          <w:b/>
          <w:szCs w:val="21"/>
          <w:highlight w:val="yellow"/>
        </w:rPr>
        <w:t>Fig. S10. MCMC trace plots of variance component estimates for host phenotypes.</w:t>
      </w:r>
    </w:p>
    <w:p w14:paraId="0762F8A1" w14:textId="77777777" w:rsidR="00C13150" w:rsidRDefault="00C13150">
      <w:pPr>
        <w:adjustRightInd w:val="0"/>
        <w:snapToGrid w:val="0"/>
        <w:spacing w:line="480" w:lineRule="auto"/>
        <w:rPr>
          <w:rFonts w:ascii="Times New Roman" w:hAnsi="Times New Roman" w:cs="Times New Roman"/>
          <w:b/>
          <w:szCs w:val="21"/>
        </w:rPr>
      </w:pPr>
    </w:p>
    <w:p w14:paraId="7AE8F57A" w14:textId="77777777" w:rsidR="00C13150" w:rsidRDefault="00B33A9A">
      <w:pPr>
        <w:adjustRightInd w:val="0"/>
        <w:snapToGrid w:val="0"/>
        <w:spacing w:line="48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noProof/>
          <w:szCs w:val="21"/>
        </w:rPr>
        <w:lastRenderedPageBreak/>
        <w:drawing>
          <wp:inline distT="0" distB="0" distL="0" distR="0" wp14:anchorId="18B054E7" wp14:editId="3FB5D94B">
            <wp:extent cx="5274310" cy="2614930"/>
            <wp:effectExtent l="0" t="0" r="254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14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1E43FA" w14:textId="77777777" w:rsidR="00C13150" w:rsidRDefault="00B33A9A">
      <w:pPr>
        <w:spacing w:line="480" w:lineRule="auto"/>
        <w:rPr>
          <w:rFonts w:ascii="Times New Roman" w:hAnsi="Times New Roman" w:cs="Times New Roman"/>
          <w:szCs w:val="21"/>
        </w:rPr>
      </w:pPr>
      <w:r w:rsidRPr="00B33A9A">
        <w:rPr>
          <w:rFonts w:ascii="Times New Roman Bold" w:hAnsi="Times New Roman Bold" w:cs="Times New Roman Bold"/>
          <w:b/>
          <w:bCs/>
          <w:szCs w:val="21"/>
          <w:highlight w:val="yellow"/>
        </w:rPr>
        <w:t>Fig. S11. Scatter plots of sample residual distributions.</w:t>
      </w:r>
      <w:r w:rsidRPr="00B33A9A">
        <w:rPr>
          <w:rFonts w:ascii="Times New Roman" w:hAnsi="Times New Roman" w:cs="Times New Roman" w:hint="eastAsia"/>
          <w:szCs w:val="21"/>
          <w:highlight w:val="yellow"/>
        </w:rPr>
        <w:t xml:space="preserve"> Residual distributions for NEFA, LPS, SAA, and HPT showed greater size and dispersion, while other phenotypes were markedly more concentrated.</w:t>
      </w:r>
    </w:p>
    <w:p w14:paraId="6222B4FF" w14:textId="77777777" w:rsidR="00C13150" w:rsidRDefault="00B33A9A">
      <w:pPr>
        <w:adjustRightInd w:val="0"/>
        <w:snapToGrid w:val="0"/>
        <w:spacing w:line="480" w:lineRule="auto"/>
        <w:jc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noProof/>
          <w:szCs w:val="21"/>
        </w:rPr>
        <w:drawing>
          <wp:inline distT="0" distB="0" distL="114300" distR="114300" wp14:anchorId="3E5DDA24" wp14:editId="3186689A">
            <wp:extent cx="2834640" cy="2792095"/>
            <wp:effectExtent l="0" t="0" r="10160" b="1905"/>
            <wp:docPr id="15" name="图片 15" descr="FigureS_COW_numb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FigureS_COW_number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2792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86790B" w14:textId="77777777" w:rsidR="00C13150" w:rsidRDefault="00B33A9A">
      <w:pPr>
        <w:spacing w:line="480" w:lineRule="auto"/>
        <w:rPr>
          <w:rFonts w:ascii="Times New Roman Regular" w:hAnsi="Times New Roman Regular" w:cs="Times New Roman Regular"/>
          <w:bCs/>
          <w:szCs w:val="21"/>
        </w:rPr>
      </w:pPr>
      <w:r w:rsidRPr="00854AF6">
        <w:rPr>
          <w:rFonts w:ascii="Times New Roman Bold" w:hAnsi="Times New Roman Bold" w:cs="Times New Roman Bold"/>
          <w:b/>
          <w:szCs w:val="21"/>
          <w:highlight w:val="yellow"/>
        </w:rPr>
        <w:t xml:space="preserve">Fig. S12. Monte Carlo simulation of power-sample size relationships after refitting the models. </w:t>
      </w:r>
      <w:r w:rsidRPr="00854AF6">
        <w:rPr>
          <w:rFonts w:ascii="Times New Roman Regular" w:hAnsi="Times New Roman Regular" w:cs="Times New Roman Regular"/>
          <w:bCs/>
          <w:szCs w:val="21"/>
          <w:highlight w:val="yellow"/>
        </w:rPr>
        <w:t xml:space="preserve">All </w:t>
      </w:r>
      <w:r w:rsidRPr="00854AF6">
        <w:rPr>
          <w:rFonts w:ascii="Times New Roman Regular" w:hAnsi="Times New Roman Regular" w:cs="Times New Roman Regular"/>
          <w:bCs/>
          <w:szCs w:val="21"/>
          <w:highlight w:val="yellow"/>
        </w:rPr>
        <w:t>phenotypes except SAA attained a statistical power of &gt; 0.8 at n = 15; SAA showed substantial improvement and approached this threshold.</w:t>
      </w:r>
    </w:p>
    <w:p w14:paraId="09DE961B" w14:textId="77777777" w:rsidR="00C13150" w:rsidRDefault="00C13150">
      <w:pPr>
        <w:spacing w:line="480" w:lineRule="auto"/>
        <w:rPr>
          <w:rFonts w:ascii="Times New Roman Regular" w:hAnsi="Times New Roman Regular" w:cs="Times New Roman Regular"/>
          <w:bCs/>
          <w:szCs w:val="21"/>
        </w:rPr>
      </w:pPr>
    </w:p>
    <w:p w14:paraId="3B314DFE" w14:textId="77777777" w:rsidR="00C13150" w:rsidRDefault="00B33A9A">
      <w:pPr>
        <w:adjustRightInd w:val="0"/>
        <w:snapToGrid w:val="0"/>
        <w:spacing w:line="480" w:lineRule="auto"/>
        <w:jc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noProof/>
          <w:szCs w:val="21"/>
        </w:rPr>
        <w:lastRenderedPageBreak/>
        <w:drawing>
          <wp:inline distT="0" distB="0" distL="114300" distR="114300" wp14:anchorId="0C67A767" wp14:editId="7F8DCA85">
            <wp:extent cx="2822575" cy="2792095"/>
            <wp:effectExtent l="0" t="0" r="22225" b="1905"/>
            <wp:docPr id="16" name="图片 16" descr="FigureS-v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FigureS-var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822575" cy="2792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89EE59" w14:textId="77777777" w:rsidR="00C13150" w:rsidRDefault="00B33A9A">
      <w:pPr>
        <w:spacing w:line="480" w:lineRule="auto"/>
        <w:rPr>
          <w:rFonts w:ascii="Times New Roman" w:hAnsi="Times New Roman" w:cs="Times New Roman"/>
          <w:szCs w:val="21"/>
        </w:rPr>
      </w:pPr>
      <w:r w:rsidRPr="00854AF6">
        <w:rPr>
          <w:rFonts w:ascii="Times New Roman Bold" w:hAnsi="Times New Roman Bold" w:cs="Times New Roman Bold"/>
          <w:b/>
          <w:bCs/>
          <w:szCs w:val="21"/>
          <w:highlight w:val="yellow"/>
        </w:rPr>
        <w:t>Fig. S13. Monte Carlo simulation of power-residual variance relationships after refitting the models.</w:t>
      </w:r>
      <w:r w:rsidRPr="00854AF6">
        <w:rPr>
          <w:rFonts w:ascii="Times New Roman" w:hAnsi="Times New Roman" w:cs="Times New Roman" w:hint="eastAsia"/>
          <w:szCs w:val="21"/>
          <w:highlight w:val="yellow"/>
        </w:rPr>
        <w:t xml:space="preserve"> Statistical po</w:t>
      </w:r>
      <w:r w:rsidRPr="00854AF6">
        <w:rPr>
          <w:rFonts w:ascii="Times New Roman" w:hAnsi="Times New Roman" w:cs="Times New Roman" w:hint="eastAsia"/>
          <w:szCs w:val="21"/>
          <w:highlight w:val="yellow"/>
        </w:rPr>
        <w:t>wer was maintained at or above 0.80 for the re-modeled phenotypes NEFA, LPS, SAA, and HPT, at residual variance levels below 0.125.</w:t>
      </w:r>
    </w:p>
    <w:p w14:paraId="5F89CDCE" w14:textId="77777777" w:rsidR="00C13150" w:rsidRDefault="00C13150">
      <w:pPr>
        <w:spacing w:line="480" w:lineRule="auto"/>
        <w:rPr>
          <w:rFonts w:ascii="Times New Roman" w:hAnsi="Times New Roman" w:cs="Times New Roman"/>
          <w:szCs w:val="21"/>
        </w:rPr>
      </w:pPr>
    </w:p>
    <w:p w14:paraId="44A9533E" w14:textId="77777777" w:rsidR="00C13150" w:rsidRDefault="00B33A9A">
      <w:pPr>
        <w:adjustRightInd w:val="0"/>
        <w:snapToGrid w:val="0"/>
        <w:jc w:val="center"/>
        <w:rPr>
          <w:rFonts w:ascii="Times New Roman" w:hAnsi="Times New Roman" w:cs="Times New Roman"/>
          <w:b/>
          <w:szCs w:val="21"/>
        </w:rPr>
      </w:pPr>
      <w:r>
        <w:rPr>
          <w:rFonts w:ascii="Times New Roman" w:hAnsi="Times New Roman" w:cs="Times New Roman" w:hint="eastAsia"/>
          <w:noProof/>
          <w:szCs w:val="21"/>
        </w:rPr>
        <w:drawing>
          <wp:inline distT="0" distB="0" distL="114300" distR="114300" wp14:anchorId="7D9F41AE" wp14:editId="61A7A9AB">
            <wp:extent cx="2953385" cy="2987040"/>
            <wp:effectExtent l="0" t="0" r="18415" b="10160"/>
            <wp:docPr id="5" name="图片 5" descr="FigureS_log_trace_pl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FigureS_log_trace_plot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953385" cy="2987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EB5195" w14:textId="77777777" w:rsidR="00C13150" w:rsidRDefault="00B33A9A">
      <w:pPr>
        <w:adjustRightInd w:val="0"/>
        <w:snapToGrid w:val="0"/>
        <w:spacing w:line="480" w:lineRule="auto"/>
        <w:rPr>
          <w:rFonts w:ascii="Times New Roman" w:hAnsi="Times New Roman" w:cs="Times New Roman"/>
          <w:b/>
        </w:rPr>
      </w:pPr>
      <w:r w:rsidRPr="00854AF6">
        <w:rPr>
          <w:rFonts w:ascii="Times New Roman" w:hAnsi="Times New Roman" w:cs="Times New Roman" w:hint="eastAsia"/>
          <w:b/>
          <w:highlight w:val="yellow"/>
        </w:rPr>
        <w:t xml:space="preserve">Fig. S14. MCMC trace plots of refitted models that demonstrated improved convergence of variance component estimates for </w:t>
      </w:r>
      <w:r w:rsidRPr="00854AF6">
        <w:rPr>
          <w:rFonts w:ascii="Times New Roman" w:hAnsi="Times New Roman" w:cs="Times New Roman" w:hint="eastAsia"/>
          <w:b/>
          <w:highlight w:val="yellow"/>
        </w:rPr>
        <w:t>NEFA, LPS, SAA, and HPT.</w:t>
      </w:r>
    </w:p>
    <w:p w14:paraId="14A595BA" w14:textId="77777777" w:rsidR="00C13150" w:rsidRDefault="00C13150">
      <w:pPr>
        <w:adjustRightInd w:val="0"/>
        <w:snapToGrid w:val="0"/>
        <w:spacing w:line="480" w:lineRule="auto"/>
        <w:rPr>
          <w:rFonts w:ascii="Times New Roman" w:hAnsi="Times New Roman" w:cs="Times New Roman"/>
          <w:b/>
        </w:rPr>
      </w:pPr>
    </w:p>
    <w:p w14:paraId="2F6DB6D2" w14:textId="77777777" w:rsidR="00C13150" w:rsidRDefault="00B33A9A">
      <w:pPr>
        <w:adjustRightInd w:val="0"/>
        <w:snapToGrid w:val="0"/>
        <w:spacing w:line="480" w:lineRule="auto"/>
        <w:rPr>
          <w:rFonts w:ascii="Times New Roman" w:hAnsi="Times New Roman" w:cs="Times New Roman"/>
          <w:b/>
        </w:rPr>
      </w:pPr>
      <w:bookmarkStart w:id="3" w:name="_Hlk203494005"/>
      <w:r>
        <w:rPr>
          <w:rFonts w:ascii="Times New Roman" w:hAnsi="Times New Roman" w:cs="Times New Roman"/>
          <w:b/>
        </w:rPr>
        <w:t xml:space="preserve">R script snippet </w:t>
      </w:r>
      <w:r>
        <w:rPr>
          <w:rFonts w:ascii="Times New Roman" w:hAnsi="Times New Roman" w:cs="Times New Roman" w:hint="eastAsia"/>
          <w:b/>
        </w:rPr>
        <w:t>for</w:t>
      </w:r>
      <w:r>
        <w:rPr>
          <w:rFonts w:ascii="Times New Roman" w:hAnsi="Times New Roman" w:cs="Times New Roman"/>
          <w:b/>
        </w:rPr>
        <w:t xml:space="preserve"> LMM analysis</w:t>
      </w:r>
    </w:p>
    <w:bookmarkEnd w:id="3"/>
    <w:p w14:paraId="1F0B5D40" w14:textId="77777777" w:rsidR="00C13150" w:rsidRDefault="00B33A9A">
      <w:pPr>
        <w:adjustRightInd w:val="0"/>
        <w:snapToGrid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library(lme4qtl)</w:t>
      </w:r>
    </w:p>
    <w:p w14:paraId="12051441" w14:textId="77777777" w:rsidR="00C13150" w:rsidRDefault="00B33A9A">
      <w:pPr>
        <w:adjustRightInd w:val="0"/>
        <w:snapToGrid w:val="0"/>
        <w:spacing w:line="48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set.seed</w:t>
      </w:r>
      <w:proofErr w:type="spellEnd"/>
      <w:r>
        <w:rPr>
          <w:rFonts w:ascii="Times New Roman" w:hAnsi="Times New Roman" w:cs="Times New Roman"/>
        </w:rPr>
        <w:t>(123)</w:t>
      </w:r>
    </w:p>
    <w:p w14:paraId="67E6B756" w14:textId="77777777" w:rsidR="00C13150" w:rsidRDefault="00B33A9A">
      <w:pPr>
        <w:adjustRightInd w:val="0"/>
        <w:snapToGrid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 &lt;- 30</w:t>
      </w:r>
    </w:p>
    <w:p w14:paraId="19144126" w14:textId="77777777" w:rsidR="00C13150" w:rsidRDefault="00B33A9A">
      <w:pPr>
        <w:adjustRightInd w:val="0"/>
        <w:snapToGrid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RM &lt;- matrix(</w:t>
      </w:r>
      <w:proofErr w:type="spellStart"/>
      <w:r>
        <w:rPr>
          <w:rFonts w:ascii="Times New Roman" w:hAnsi="Times New Roman" w:cs="Times New Roman"/>
        </w:rPr>
        <w:t>rnorm</w:t>
      </w:r>
      <w:proofErr w:type="spellEnd"/>
      <w:r>
        <w:rPr>
          <w:rFonts w:ascii="Times New Roman" w:hAnsi="Times New Roman" w:cs="Times New Roman"/>
        </w:rPr>
        <w:t>(n^2), n, n)</w:t>
      </w:r>
    </w:p>
    <w:p w14:paraId="39141FA7" w14:textId="77777777" w:rsidR="00C13150" w:rsidRDefault="00B33A9A">
      <w:pPr>
        <w:adjustRightInd w:val="0"/>
        <w:snapToGrid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RM &lt;- (RM + t(RM)) / 2</w:t>
      </w:r>
    </w:p>
    <w:p w14:paraId="540F2322" w14:textId="77777777" w:rsidR="00C13150" w:rsidRDefault="00B33A9A">
      <w:pPr>
        <w:adjustRightInd w:val="0"/>
        <w:snapToGrid w:val="0"/>
        <w:spacing w:line="48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diag</w:t>
      </w:r>
      <w:proofErr w:type="spellEnd"/>
      <w:r>
        <w:rPr>
          <w:rFonts w:ascii="Times New Roman" w:hAnsi="Times New Roman" w:cs="Times New Roman"/>
        </w:rPr>
        <w:t>(RM) &lt;- 1</w:t>
      </w:r>
    </w:p>
    <w:p w14:paraId="63C3A48B" w14:textId="77777777" w:rsidR="00C13150" w:rsidRDefault="00B33A9A">
      <w:pPr>
        <w:adjustRightInd w:val="0"/>
        <w:snapToGrid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df &lt;- </w:t>
      </w:r>
      <w:proofErr w:type="spellStart"/>
      <w:r>
        <w:rPr>
          <w:rFonts w:ascii="Times New Roman" w:hAnsi="Times New Roman" w:cs="Times New Roman"/>
        </w:rPr>
        <w:t>data.frame</w:t>
      </w:r>
      <w:proofErr w:type="spellEnd"/>
      <w:r>
        <w:rPr>
          <w:rFonts w:ascii="Times New Roman" w:hAnsi="Times New Roman" w:cs="Times New Roman"/>
        </w:rPr>
        <w:t xml:space="preserve">(Sample = factor(1:n), DIM = </w:t>
      </w:r>
      <w:proofErr w:type="spellStart"/>
      <w:r>
        <w:rPr>
          <w:rFonts w:ascii="Times New Roman" w:hAnsi="Times New Roman" w:cs="Times New Roman"/>
        </w:rPr>
        <w:t>rnorm</w:t>
      </w:r>
      <w:proofErr w:type="spellEnd"/>
      <w:r>
        <w:rPr>
          <w:rFonts w:ascii="Times New Roman" w:hAnsi="Times New Roman" w:cs="Times New Roman"/>
        </w:rPr>
        <w:t xml:space="preserve">(n, mean = 50, </w:t>
      </w:r>
      <w:proofErr w:type="spellStart"/>
      <w:r>
        <w:rPr>
          <w:rFonts w:ascii="Times New Roman" w:hAnsi="Times New Roman" w:cs="Times New Roman"/>
        </w:rPr>
        <w:t>sd</w:t>
      </w:r>
      <w:proofErr w:type="spellEnd"/>
      <w:r>
        <w:rPr>
          <w:rFonts w:ascii="Times New Roman" w:hAnsi="Times New Roman" w:cs="Times New Roman"/>
        </w:rPr>
        <w:t xml:space="preserve"> = 10),Trait = </w:t>
      </w:r>
      <w:proofErr w:type="spellStart"/>
      <w:r>
        <w:rPr>
          <w:rFonts w:ascii="Times New Roman" w:hAnsi="Times New Roman" w:cs="Times New Roman"/>
        </w:rPr>
        <w:t>rnorm</w:t>
      </w:r>
      <w:proofErr w:type="spellEnd"/>
      <w:r>
        <w:rPr>
          <w:rFonts w:ascii="Times New Roman" w:hAnsi="Times New Roman" w:cs="Times New Roman"/>
        </w:rPr>
        <w:t>(n))</w:t>
      </w:r>
    </w:p>
    <w:p w14:paraId="638C567D" w14:textId="77777777" w:rsidR="00C13150" w:rsidRDefault="00B33A9A">
      <w:pPr>
        <w:adjustRightInd w:val="0"/>
        <w:snapToGrid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model &lt;- </w:t>
      </w:r>
      <w:proofErr w:type="spellStart"/>
      <w:r>
        <w:rPr>
          <w:rFonts w:ascii="Times New Roman" w:hAnsi="Times New Roman" w:cs="Times New Roman"/>
        </w:rPr>
        <w:t>relmatLmer</w:t>
      </w:r>
      <w:proofErr w:type="spellEnd"/>
      <w:r>
        <w:rPr>
          <w:rFonts w:ascii="Times New Roman" w:hAnsi="Times New Roman" w:cs="Times New Roman"/>
        </w:rPr>
        <w:t xml:space="preserve">(Trait ~ DIM + (1 | Sample), </w:t>
      </w:r>
      <w:proofErr w:type="spellStart"/>
      <w:r>
        <w:rPr>
          <w:rFonts w:ascii="Times New Roman" w:hAnsi="Times New Roman" w:cs="Times New Roman"/>
        </w:rPr>
        <w:t>data,relmat</w:t>
      </w:r>
      <w:proofErr w:type="spellEnd"/>
      <w:r>
        <w:rPr>
          <w:rFonts w:ascii="Times New Roman" w:hAnsi="Times New Roman" w:cs="Times New Roman"/>
        </w:rPr>
        <w:t>=list(Sample=RM))</w:t>
      </w:r>
    </w:p>
    <w:p w14:paraId="19DEEC21" w14:textId="77777777" w:rsidR="00C13150" w:rsidRDefault="00B33A9A">
      <w:pPr>
        <w:adjustRightInd w:val="0"/>
        <w:snapToGrid w:val="0"/>
        <w:spacing w:line="48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vc</w:t>
      </w:r>
      <w:proofErr w:type="spellEnd"/>
      <w:r>
        <w:rPr>
          <w:rFonts w:ascii="Times New Roman" w:hAnsi="Times New Roman" w:cs="Times New Roman"/>
        </w:rPr>
        <w:t xml:space="preserve"> &lt;- </w:t>
      </w:r>
      <w:proofErr w:type="spellStart"/>
      <w:r>
        <w:rPr>
          <w:rFonts w:ascii="Times New Roman" w:hAnsi="Times New Roman" w:cs="Times New Roman"/>
        </w:rPr>
        <w:t>VarCorr</w:t>
      </w:r>
      <w:proofErr w:type="spellEnd"/>
      <w:r>
        <w:rPr>
          <w:rFonts w:ascii="Times New Roman" w:hAnsi="Times New Roman" w:cs="Times New Roman"/>
        </w:rPr>
        <w:t>(model)</w:t>
      </w:r>
    </w:p>
    <w:p w14:paraId="181564FD" w14:textId="77777777" w:rsidR="00C13150" w:rsidRDefault="00B33A9A">
      <w:pPr>
        <w:adjustRightInd w:val="0"/>
        <w:snapToGrid w:val="0"/>
        <w:spacing w:line="48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var_sample</w:t>
      </w:r>
      <w:proofErr w:type="spellEnd"/>
      <w:r>
        <w:rPr>
          <w:rFonts w:ascii="Times New Roman" w:hAnsi="Times New Roman" w:cs="Times New Roman"/>
        </w:rPr>
        <w:t xml:space="preserve"> &lt;- </w:t>
      </w:r>
      <w:proofErr w:type="spellStart"/>
      <w:r>
        <w:rPr>
          <w:rFonts w:ascii="Times New Roman" w:hAnsi="Times New Roman" w:cs="Times New Roman"/>
        </w:rPr>
        <w:t>as.numeric</w:t>
      </w:r>
      <w:proofErr w:type="spellEnd"/>
      <w:r>
        <w:rPr>
          <w:rFonts w:ascii="Times New Roman" w:hAnsi="Times New Roman" w:cs="Times New Roman"/>
        </w:rPr>
        <w:t>(</w:t>
      </w:r>
      <w:proofErr w:type="spellStart"/>
      <w:r>
        <w:rPr>
          <w:rFonts w:ascii="Times New Roman" w:hAnsi="Times New Roman" w:cs="Times New Roman"/>
        </w:rPr>
        <w:t>vc$Sample</w:t>
      </w:r>
      <w:proofErr w:type="spellEnd"/>
      <w:r>
        <w:rPr>
          <w:rFonts w:ascii="Times New Roman" w:hAnsi="Times New Roman" w:cs="Times New Roman"/>
        </w:rPr>
        <w:t>)</w:t>
      </w:r>
    </w:p>
    <w:p w14:paraId="07CFFDD4" w14:textId="77777777" w:rsidR="00C13150" w:rsidRDefault="00B33A9A">
      <w:pPr>
        <w:adjustRightInd w:val="0"/>
        <w:snapToGrid w:val="0"/>
        <w:spacing w:line="48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var_resid</w:t>
      </w:r>
      <w:proofErr w:type="spellEnd"/>
      <w:r>
        <w:rPr>
          <w:rFonts w:ascii="Times New Roman" w:hAnsi="Times New Roman" w:cs="Times New Roman"/>
        </w:rPr>
        <w:t xml:space="preserve">  &lt;- </w:t>
      </w:r>
      <w:proofErr w:type="spellStart"/>
      <w:r>
        <w:rPr>
          <w:rFonts w:ascii="Times New Roman" w:hAnsi="Times New Roman" w:cs="Times New Roman"/>
        </w:rPr>
        <w:t>attr</w:t>
      </w:r>
      <w:proofErr w:type="spellEnd"/>
      <w:r>
        <w:rPr>
          <w:rFonts w:ascii="Times New Roman" w:hAnsi="Times New Roman" w:cs="Times New Roman"/>
        </w:rPr>
        <w:t>(</w:t>
      </w:r>
      <w:proofErr w:type="spellStart"/>
      <w:r>
        <w:rPr>
          <w:rFonts w:ascii="Times New Roman" w:hAnsi="Times New Roman" w:cs="Times New Roman"/>
        </w:rPr>
        <w:t>vc</w:t>
      </w:r>
      <w:proofErr w:type="spellEnd"/>
      <w:r>
        <w:rPr>
          <w:rFonts w:ascii="Times New Roman" w:hAnsi="Times New Roman" w:cs="Times New Roman"/>
        </w:rPr>
        <w:t>, "</w:t>
      </w:r>
      <w:proofErr w:type="spellStart"/>
      <w:r>
        <w:rPr>
          <w:rFonts w:ascii="Times New Roman" w:hAnsi="Times New Roman" w:cs="Times New Roman"/>
        </w:rPr>
        <w:t>sc</w:t>
      </w:r>
      <w:proofErr w:type="spellEnd"/>
      <w:r>
        <w:rPr>
          <w:rFonts w:ascii="Times New Roman" w:hAnsi="Times New Roman" w:cs="Times New Roman"/>
        </w:rPr>
        <w:t>")^2</w:t>
      </w:r>
    </w:p>
    <w:p w14:paraId="51495F2B" w14:textId="77777777" w:rsidR="00C13150" w:rsidRDefault="00B33A9A">
      <w:pPr>
        <w:adjustRightInd w:val="0"/>
        <w:snapToGrid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R2 &lt;- </w:t>
      </w:r>
      <w:proofErr w:type="spellStart"/>
      <w:r>
        <w:rPr>
          <w:rFonts w:ascii="Times New Roman" w:hAnsi="Times New Roman" w:cs="Times New Roman"/>
        </w:rPr>
        <w:t>var_sample</w:t>
      </w:r>
      <w:proofErr w:type="spellEnd"/>
      <w:r>
        <w:rPr>
          <w:rFonts w:ascii="Times New Roman" w:hAnsi="Times New Roman" w:cs="Times New Roman"/>
        </w:rPr>
        <w:t xml:space="preserve"> / (</w:t>
      </w:r>
      <w:proofErr w:type="spellStart"/>
      <w:r>
        <w:rPr>
          <w:rFonts w:ascii="Times New Roman" w:hAnsi="Times New Roman" w:cs="Times New Roman"/>
        </w:rPr>
        <w:t>var_sample</w:t>
      </w:r>
      <w:proofErr w:type="spellEnd"/>
      <w:r>
        <w:rPr>
          <w:rFonts w:ascii="Times New Roman" w:hAnsi="Times New Roman" w:cs="Times New Roman"/>
        </w:rPr>
        <w:t xml:space="preserve"> + </w:t>
      </w:r>
      <w:proofErr w:type="spellStart"/>
      <w:r>
        <w:rPr>
          <w:rFonts w:ascii="Times New Roman" w:hAnsi="Times New Roman" w:cs="Times New Roman"/>
        </w:rPr>
        <w:t>var_resid</w:t>
      </w:r>
      <w:proofErr w:type="spellEnd"/>
      <w:r>
        <w:rPr>
          <w:rFonts w:ascii="Times New Roman" w:hAnsi="Times New Roman" w:cs="Times New Roman"/>
        </w:rPr>
        <w:t>)</w:t>
      </w:r>
    </w:p>
    <w:p w14:paraId="06D4D475" w14:textId="77777777" w:rsidR="00C13150" w:rsidRDefault="00B33A9A">
      <w:pPr>
        <w:adjustRightInd w:val="0"/>
        <w:snapToGrid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cat("Microbiome explained </w:t>
      </w:r>
      <w:r>
        <w:rPr>
          <w:rFonts w:ascii="Times New Roman" w:hAnsi="Times New Roman" w:cs="Times New Roman"/>
        </w:rPr>
        <w:t>variance (R²):", round(R2, 4), "\n")</w:t>
      </w:r>
    </w:p>
    <w:sectPr w:rsidR="00C1315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 Bold">
    <w:panose1 w:val="02020803070505020304"/>
    <w:charset w:val="00"/>
    <w:family w:val="auto"/>
    <w:pitch w:val="default"/>
    <w:sig w:usb0="E0002AEF" w:usb1="C0007841" w:usb2="00000009" w:usb3="00000000" w:csb0="400001FF" w:csb1="FFFF0000"/>
  </w:font>
  <w:font w:name="Times New Roman Regular">
    <w:altName w:val="Times New Roman"/>
    <w:charset w:val="00"/>
    <w:family w:val="auto"/>
    <w:pitch w:val="default"/>
    <w:sig w:usb0="E0002AEF" w:usb1="C0007841" w:usb2="00000009" w:usb3="00000000" w:csb0="400001FF" w:csb1="FFFF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4F5"/>
    <w:rsid w:val="ECDFAA15"/>
    <w:rsid w:val="F7F71B76"/>
    <w:rsid w:val="00021B1E"/>
    <w:rsid w:val="000363C4"/>
    <w:rsid w:val="000765B9"/>
    <w:rsid w:val="000778CF"/>
    <w:rsid w:val="0008718B"/>
    <w:rsid w:val="000C0B5E"/>
    <w:rsid w:val="000D1612"/>
    <w:rsid w:val="000E53BC"/>
    <w:rsid w:val="00104ADF"/>
    <w:rsid w:val="00121F51"/>
    <w:rsid w:val="00122292"/>
    <w:rsid w:val="00130823"/>
    <w:rsid w:val="00161B9F"/>
    <w:rsid w:val="00197439"/>
    <w:rsid w:val="00197DD7"/>
    <w:rsid w:val="001A0367"/>
    <w:rsid w:val="001C1D42"/>
    <w:rsid w:val="001C50C7"/>
    <w:rsid w:val="00200F27"/>
    <w:rsid w:val="00202EB2"/>
    <w:rsid w:val="00204124"/>
    <w:rsid w:val="00211B09"/>
    <w:rsid w:val="00250DBE"/>
    <w:rsid w:val="00253572"/>
    <w:rsid w:val="00265B55"/>
    <w:rsid w:val="0026605F"/>
    <w:rsid w:val="0027590B"/>
    <w:rsid w:val="00277C1A"/>
    <w:rsid w:val="002F269D"/>
    <w:rsid w:val="003033AB"/>
    <w:rsid w:val="00316D18"/>
    <w:rsid w:val="003177F1"/>
    <w:rsid w:val="003515ED"/>
    <w:rsid w:val="00351E2B"/>
    <w:rsid w:val="00356F91"/>
    <w:rsid w:val="0036402F"/>
    <w:rsid w:val="003669AD"/>
    <w:rsid w:val="003958D0"/>
    <w:rsid w:val="003A5394"/>
    <w:rsid w:val="003C5C0E"/>
    <w:rsid w:val="003D7B40"/>
    <w:rsid w:val="003E233C"/>
    <w:rsid w:val="003E3B9C"/>
    <w:rsid w:val="003E7F19"/>
    <w:rsid w:val="00414146"/>
    <w:rsid w:val="00425235"/>
    <w:rsid w:val="00431FDD"/>
    <w:rsid w:val="00443E99"/>
    <w:rsid w:val="0046537F"/>
    <w:rsid w:val="00476AA3"/>
    <w:rsid w:val="004867A5"/>
    <w:rsid w:val="00490F35"/>
    <w:rsid w:val="004A2C7F"/>
    <w:rsid w:val="004E14E5"/>
    <w:rsid w:val="005004FA"/>
    <w:rsid w:val="00512599"/>
    <w:rsid w:val="00514654"/>
    <w:rsid w:val="0052203B"/>
    <w:rsid w:val="005428B3"/>
    <w:rsid w:val="005615EF"/>
    <w:rsid w:val="00566974"/>
    <w:rsid w:val="00566C57"/>
    <w:rsid w:val="005767A2"/>
    <w:rsid w:val="0059351A"/>
    <w:rsid w:val="005B5222"/>
    <w:rsid w:val="005C1267"/>
    <w:rsid w:val="005D7A67"/>
    <w:rsid w:val="005E47CC"/>
    <w:rsid w:val="00600106"/>
    <w:rsid w:val="00614993"/>
    <w:rsid w:val="00641003"/>
    <w:rsid w:val="006666FA"/>
    <w:rsid w:val="00693E6E"/>
    <w:rsid w:val="006A0FFF"/>
    <w:rsid w:val="006B6AB6"/>
    <w:rsid w:val="006D6AD0"/>
    <w:rsid w:val="00721F9C"/>
    <w:rsid w:val="007344C7"/>
    <w:rsid w:val="00756185"/>
    <w:rsid w:val="007604F5"/>
    <w:rsid w:val="00776BF0"/>
    <w:rsid w:val="007939E5"/>
    <w:rsid w:val="00795BCA"/>
    <w:rsid w:val="007A4AB6"/>
    <w:rsid w:val="007D0874"/>
    <w:rsid w:val="007E38A2"/>
    <w:rsid w:val="00802A2B"/>
    <w:rsid w:val="00854AF6"/>
    <w:rsid w:val="0085700D"/>
    <w:rsid w:val="00890261"/>
    <w:rsid w:val="008940A5"/>
    <w:rsid w:val="008B0273"/>
    <w:rsid w:val="008B08AF"/>
    <w:rsid w:val="008B3D92"/>
    <w:rsid w:val="008C1921"/>
    <w:rsid w:val="008D540F"/>
    <w:rsid w:val="008F538D"/>
    <w:rsid w:val="008F5FA8"/>
    <w:rsid w:val="00913CEF"/>
    <w:rsid w:val="009550FF"/>
    <w:rsid w:val="00955527"/>
    <w:rsid w:val="00970601"/>
    <w:rsid w:val="00980002"/>
    <w:rsid w:val="009B2EC0"/>
    <w:rsid w:val="009B75B7"/>
    <w:rsid w:val="009C4B75"/>
    <w:rsid w:val="00A00BA4"/>
    <w:rsid w:val="00A21406"/>
    <w:rsid w:val="00A22D36"/>
    <w:rsid w:val="00A25CC6"/>
    <w:rsid w:val="00A50685"/>
    <w:rsid w:val="00A55521"/>
    <w:rsid w:val="00A55F55"/>
    <w:rsid w:val="00A5684A"/>
    <w:rsid w:val="00A70D7F"/>
    <w:rsid w:val="00A86857"/>
    <w:rsid w:val="00A90B0C"/>
    <w:rsid w:val="00A90C91"/>
    <w:rsid w:val="00AC161C"/>
    <w:rsid w:val="00AD0805"/>
    <w:rsid w:val="00AD1C07"/>
    <w:rsid w:val="00AD48F9"/>
    <w:rsid w:val="00B0672C"/>
    <w:rsid w:val="00B06E9C"/>
    <w:rsid w:val="00B26EF7"/>
    <w:rsid w:val="00B33A9A"/>
    <w:rsid w:val="00B357D3"/>
    <w:rsid w:val="00B5584D"/>
    <w:rsid w:val="00B714AE"/>
    <w:rsid w:val="00B90890"/>
    <w:rsid w:val="00B91385"/>
    <w:rsid w:val="00BA33AA"/>
    <w:rsid w:val="00BC1C5A"/>
    <w:rsid w:val="00BE22F7"/>
    <w:rsid w:val="00C105B3"/>
    <w:rsid w:val="00C13150"/>
    <w:rsid w:val="00C17E22"/>
    <w:rsid w:val="00C3180B"/>
    <w:rsid w:val="00C817A2"/>
    <w:rsid w:val="00CB54F2"/>
    <w:rsid w:val="00CD25BE"/>
    <w:rsid w:val="00CF01AD"/>
    <w:rsid w:val="00D11CB4"/>
    <w:rsid w:val="00D13048"/>
    <w:rsid w:val="00D3766F"/>
    <w:rsid w:val="00D551A6"/>
    <w:rsid w:val="00D73ACB"/>
    <w:rsid w:val="00D7478B"/>
    <w:rsid w:val="00DB52E9"/>
    <w:rsid w:val="00DD7873"/>
    <w:rsid w:val="00DF02DB"/>
    <w:rsid w:val="00E003FC"/>
    <w:rsid w:val="00E1222B"/>
    <w:rsid w:val="00E33AD0"/>
    <w:rsid w:val="00E67D09"/>
    <w:rsid w:val="00E84EA0"/>
    <w:rsid w:val="00EA6042"/>
    <w:rsid w:val="00F11C62"/>
    <w:rsid w:val="00F23E07"/>
    <w:rsid w:val="00F2702B"/>
    <w:rsid w:val="00F616C7"/>
    <w:rsid w:val="00F639DE"/>
    <w:rsid w:val="00F6459D"/>
    <w:rsid w:val="00FB71B7"/>
    <w:rsid w:val="00FE71BC"/>
    <w:rsid w:val="35FF8935"/>
    <w:rsid w:val="68FF767A"/>
    <w:rsid w:val="76FF2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13F7D0"/>
  <w15:docId w15:val="{87B58D63-3E07-4D87-8C43-E6D5EE966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Strong"/>
    <w:basedOn w:val="a0"/>
    <w:uiPriority w:val="22"/>
    <w:qFormat/>
    <w:rPr>
      <w:b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f"/><Relationship Id="rId13" Type="http://schemas.openxmlformats.org/officeDocument/2006/relationships/image" Target="media/image10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tiff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tiff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11" Type="http://schemas.openxmlformats.org/officeDocument/2006/relationships/image" Target="media/image8.tiff"/><Relationship Id="rId5" Type="http://schemas.openxmlformats.org/officeDocument/2006/relationships/image" Target="media/image2.jpeg"/><Relationship Id="rId15" Type="http://schemas.openxmlformats.org/officeDocument/2006/relationships/image" Target="media/image12.tiff"/><Relationship Id="rId10" Type="http://schemas.openxmlformats.org/officeDocument/2006/relationships/image" Target="media/image7.png"/><Relationship Id="rId19" Type="http://schemas.openxmlformats.org/officeDocument/2006/relationships/theme" Target="theme/theme1.xml"/><Relationship Id="rId4" Type="http://schemas.openxmlformats.org/officeDocument/2006/relationships/image" Target="media/image1.tiff"/><Relationship Id="rId9" Type="http://schemas.openxmlformats.org/officeDocument/2006/relationships/image" Target="media/image6.tiff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441</Words>
  <Characters>2520</Characters>
  <Application>Microsoft Office Word</Application>
  <DocSecurity>0</DocSecurity>
  <Lines>21</Lines>
  <Paragraphs>5</Paragraphs>
  <ScaleCrop>false</ScaleCrop>
  <Company/>
  <LinksUpToDate>false</LinksUpToDate>
  <CharactersWithSpaces>2956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shiquan zhu</dc:creator>
  <cp:lastModifiedBy>shiquan zhu</cp:lastModifiedBy>
  <cp:revision>45</cp:revision>
  <dcterms:created xsi:type="dcterms:W3CDTF">2025-01-10T09:56:00Z</dcterms:created>
  <dcterms:modified xsi:type="dcterms:W3CDTF">2025-10-01T12:28:00Z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2052-12.1.22553.22553</vt:lpwstr>
  </property>
  <property fmtid="{D5CDD505-2E9C-101B-9397-08002B2CF9AE}" pid="3" name="ICV">
    <vt:lpwstr>156FB62C84D508A69B53D968B5E41DC8_42</vt:lpwstr>
  </property>
</Properties>
</file>