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A3AF0" w14:textId="77777777" w:rsidR="00471529" w:rsidRDefault="00000000">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Supporting Information for</w:t>
      </w:r>
    </w:p>
    <w:p w14:paraId="42F3F190" w14:textId="77777777" w:rsidR="00471529" w:rsidRDefault="00000000">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Stress-induced enrichment of </w:t>
      </w:r>
      <w:r>
        <w:rPr>
          <w:rFonts w:ascii="Times New Roman" w:hAnsi="Times New Roman" w:cs="Times New Roman"/>
          <w:b/>
          <w:bCs/>
          <w:i/>
          <w:iCs/>
          <w:sz w:val="28"/>
          <w:szCs w:val="28"/>
        </w:rPr>
        <w:t>Pseudomonas</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sp</w:t>
      </w:r>
      <w:r>
        <w:rPr>
          <w:rFonts w:ascii="Times New Roman" w:hAnsi="Times New Roman" w:cs="Times New Roman"/>
          <w:b/>
          <w:bCs/>
          <w:sz w:val="28"/>
          <w:szCs w:val="28"/>
        </w:rPr>
        <w:t xml:space="preserve">. stimulates the adaptive response of </w:t>
      </w:r>
      <w:r>
        <w:rPr>
          <w:rFonts w:ascii="Times New Roman" w:hAnsi="Times New Roman" w:cs="Times New Roman"/>
          <w:b/>
          <w:bCs/>
          <w:i/>
          <w:iCs/>
          <w:sz w:val="28"/>
          <w:szCs w:val="28"/>
        </w:rPr>
        <w:t>Auxenochlorella pyrenoidosa</w:t>
      </w:r>
      <w:r>
        <w:rPr>
          <w:rFonts w:ascii="Times New Roman" w:hAnsi="Times New Roman" w:cs="Times New Roman"/>
          <w:b/>
          <w:bCs/>
          <w:sz w:val="28"/>
          <w:szCs w:val="28"/>
        </w:rPr>
        <w:t xml:space="preserve"> and antibiotic-resistant proliferation</w:t>
      </w:r>
    </w:p>
    <w:p w14:paraId="2386FC21" w14:textId="77777777" w:rsidR="00471529" w:rsidRDefault="00471529">
      <w:pPr>
        <w:spacing w:line="360" w:lineRule="auto"/>
        <w:jc w:val="center"/>
        <w:rPr>
          <w:rFonts w:ascii="Times New Roman" w:hAnsi="Times New Roman" w:cs="Times New Roman"/>
          <w:sz w:val="24"/>
          <w:szCs w:val="24"/>
        </w:rPr>
      </w:pPr>
      <w:bookmarkStart w:id="0" w:name="_Hlk145421117"/>
    </w:p>
    <w:p w14:paraId="0C833729" w14:textId="77777777" w:rsidR="00471529" w:rsidRDefault="00000000">
      <w:pPr>
        <w:spacing w:line="360" w:lineRule="auto"/>
        <w:jc w:val="center"/>
        <w:rPr>
          <w:rFonts w:ascii="Times New Roman" w:hAnsi="Times New Roman" w:cs="Times New Roman"/>
          <w:sz w:val="24"/>
          <w:szCs w:val="24"/>
        </w:rPr>
      </w:pPr>
      <w:bookmarkStart w:id="1" w:name="_Hlk152578903"/>
      <w:r>
        <w:rPr>
          <w:rFonts w:ascii="Times New Roman" w:hAnsi="Times New Roman" w:cs="Times New Roman"/>
          <w:sz w:val="24"/>
          <w:szCs w:val="24"/>
        </w:rPr>
        <w:t>Qian Liu</w:t>
      </w:r>
      <w:r>
        <w:rPr>
          <w:rFonts w:ascii="Times New Roman" w:hAnsi="Times New Roman" w:cs="Times New Roman"/>
          <w:sz w:val="24"/>
          <w:szCs w:val="24"/>
          <w:vertAlign w:val="superscript"/>
        </w:rPr>
        <w:t>1,2</w:t>
      </w:r>
      <w:r>
        <w:rPr>
          <w:rFonts w:ascii="Times New Roman" w:hAnsi="Times New Roman" w:cs="Times New Roman"/>
          <w:sz w:val="24"/>
          <w:szCs w:val="24"/>
        </w:rPr>
        <w:t>, Jia Jia</w:t>
      </w:r>
      <w:r>
        <w:rPr>
          <w:rFonts w:ascii="Times New Roman" w:hAnsi="Times New Roman" w:cs="Times New Roman"/>
          <w:sz w:val="24"/>
          <w:szCs w:val="24"/>
          <w:vertAlign w:val="superscript"/>
        </w:rPr>
        <w:t>1,*</w:t>
      </w:r>
      <w:r>
        <w:rPr>
          <w:rFonts w:ascii="Times New Roman" w:hAnsi="Times New Roman" w:cs="Times New Roman"/>
          <w:sz w:val="24"/>
          <w:szCs w:val="24"/>
        </w:rPr>
        <w:t>, Xin Chen</w:t>
      </w:r>
      <w:r>
        <w:rPr>
          <w:rFonts w:ascii="Times New Roman" w:hAnsi="Times New Roman" w:cs="Times New Roman"/>
          <w:sz w:val="24"/>
          <w:szCs w:val="24"/>
          <w:vertAlign w:val="superscript"/>
        </w:rPr>
        <w:t>1</w:t>
      </w:r>
      <w:r>
        <w:rPr>
          <w:rFonts w:ascii="Times New Roman" w:hAnsi="Times New Roman" w:cs="Times New Roman" w:hint="eastAsia"/>
          <w:sz w:val="24"/>
          <w:szCs w:val="24"/>
          <w:vertAlign w:val="superscript"/>
        </w:rPr>
        <w:t>,3</w:t>
      </w:r>
      <w:r>
        <w:rPr>
          <w:rFonts w:ascii="Times New Roman" w:hAnsi="Times New Roman" w:cs="Times New Roman"/>
          <w:sz w:val="24"/>
          <w:szCs w:val="24"/>
        </w:rPr>
        <w:t>, Chenxi Wu</w:t>
      </w:r>
      <w:bookmarkEnd w:id="1"/>
      <w:r>
        <w:rPr>
          <w:rFonts w:ascii="Times New Roman" w:hAnsi="Times New Roman" w:cs="Times New Roman"/>
          <w:sz w:val="24"/>
          <w:szCs w:val="24"/>
          <w:vertAlign w:val="superscript"/>
        </w:rPr>
        <w:t>1</w:t>
      </w:r>
      <w:r>
        <w:rPr>
          <w:rFonts w:ascii="Times New Roman" w:hAnsi="Times New Roman" w:cs="Times New Roman" w:hint="eastAsia"/>
          <w:sz w:val="24"/>
          <w:szCs w:val="24"/>
          <w:vertAlign w:val="superscript"/>
        </w:rPr>
        <w:t>,4</w:t>
      </w:r>
    </w:p>
    <w:p w14:paraId="20E7EA13" w14:textId="77777777" w:rsidR="00471529" w:rsidRDefault="00471529">
      <w:pPr>
        <w:spacing w:line="360" w:lineRule="auto"/>
        <w:rPr>
          <w:rFonts w:ascii="Times New Roman" w:hAnsi="Times New Roman" w:cs="Times New Roman"/>
          <w:sz w:val="24"/>
          <w:szCs w:val="24"/>
        </w:rPr>
      </w:pPr>
    </w:p>
    <w:p w14:paraId="7C0BADFF" w14:textId="77777777" w:rsidR="00471529" w:rsidRDefault="00000000">
      <w:pPr>
        <w:spacing w:line="360" w:lineRule="auto"/>
        <w:rPr>
          <w:rFonts w:ascii="Times New Roman" w:hAnsi="Times New Roman" w:cs="Times New Roman"/>
          <w:sz w:val="24"/>
          <w:szCs w:val="24"/>
          <w:shd w:val="clear" w:color="auto" w:fill="FFFFFF"/>
        </w:rPr>
      </w:pPr>
      <w:bookmarkStart w:id="2" w:name="_Hlk152578847"/>
      <w:r>
        <w:rPr>
          <w:rFonts w:ascii="Times New Roman" w:hAnsi="Times New Roman" w:cs="Times New Roman"/>
          <w:sz w:val="24"/>
          <w:szCs w:val="24"/>
          <w:shd w:val="clear" w:color="auto" w:fill="FFFFFF"/>
        </w:rPr>
        <w:t xml:space="preserve">1. </w:t>
      </w:r>
      <w:r>
        <w:rPr>
          <w:rFonts w:ascii="Times New Roman" w:hAnsi="Times New Roman" w:cs="Times New Roman" w:hint="eastAsia"/>
          <w:sz w:val="24"/>
          <w:szCs w:val="24"/>
          <w:shd w:val="clear" w:color="auto" w:fill="FFFFFF"/>
        </w:rPr>
        <w:t>Aquatic Biodiversity and Water Ecological Environment Protection Research Center, Institute of Hydrobiology, Chinese Academy of Sciences, Wuhan, 430072, China</w:t>
      </w:r>
    </w:p>
    <w:p w14:paraId="671EFA55" w14:textId="77777777" w:rsidR="00471529" w:rsidRDefault="0000000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 </w:t>
      </w:r>
      <w:r>
        <w:rPr>
          <w:rFonts w:ascii="Times New Roman" w:hAnsi="Times New Roman" w:cs="Times New Roman" w:hint="eastAsia"/>
          <w:sz w:val="24"/>
          <w:szCs w:val="24"/>
          <w:shd w:val="clear" w:color="auto" w:fill="FFFFFF"/>
        </w:rPr>
        <w:t>Nanchang Normal University, Nanchang 330101, China</w:t>
      </w:r>
    </w:p>
    <w:p w14:paraId="2A7681E5" w14:textId="77777777" w:rsidR="00471529" w:rsidRDefault="00000000">
      <w:pPr>
        <w:spacing w:line="360" w:lineRule="auto"/>
        <w:rPr>
          <w:rFonts w:ascii="Times New Roman" w:hAnsi="Times New Roman" w:cs="Times New Roman"/>
          <w:sz w:val="24"/>
          <w:szCs w:val="24"/>
          <w:shd w:val="clear" w:color="auto" w:fill="FFFFFF"/>
        </w:rPr>
      </w:pPr>
      <w:r>
        <w:rPr>
          <w:rFonts w:ascii="Times New Roman" w:hAnsi="Times New Roman" w:cs="Times New Roman" w:hint="eastAsia"/>
          <w:sz w:val="24"/>
          <w:szCs w:val="24"/>
          <w:shd w:val="clear" w:color="auto" w:fill="FFFFFF"/>
        </w:rPr>
        <w:t>3. Institute of Chemistry, Hubei Institute of Measurement and Testing Technology, Wuhan, 430073, China</w:t>
      </w:r>
    </w:p>
    <w:p w14:paraId="1F620110" w14:textId="77777777" w:rsidR="00471529" w:rsidRDefault="00000000">
      <w:pPr>
        <w:spacing w:line="360" w:lineRule="auto"/>
        <w:rPr>
          <w:rFonts w:ascii="Times New Roman" w:hAnsi="Times New Roman" w:cs="Times New Roman"/>
          <w:sz w:val="24"/>
          <w:szCs w:val="24"/>
          <w:shd w:val="clear" w:color="auto" w:fill="FFFFFF"/>
        </w:rPr>
      </w:pPr>
      <w:bookmarkStart w:id="3" w:name="_Hlk206961246"/>
      <w:bookmarkEnd w:id="2"/>
      <w:r>
        <w:rPr>
          <w:rFonts w:ascii="Times New Roman" w:hAnsi="Times New Roman" w:cs="Times New Roman" w:hint="eastAsia"/>
          <w:sz w:val="24"/>
          <w:szCs w:val="24"/>
          <w:shd w:val="clear" w:color="auto" w:fill="FFFFFF"/>
        </w:rPr>
        <w:t>4. Qinghai Lake Comprehensive Observation and Research Station, Chinese Academy of Sciences, Haibei 812200, China</w:t>
      </w:r>
    </w:p>
    <w:bookmarkEnd w:id="3"/>
    <w:p w14:paraId="0DCF989C" w14:textId="77777777" w:rsidR="00471529" w:rsidRDefault="00471529">
      <w:pPr>
        <w:spacing w:line="360" w:lineRule="auto"/>
        <w:rPr>
          <w:rFonts w:ascii="Times New Roman" w:hAnsi="Times New Roman" w:cs="Times New Roman"/>
          <w:sz w:val="24"/>
          <w:szCs w:val="24"/>
          <w:shd w:val="clear" w:color="auto" w:fill="FFFFFF"/>
        </w:rPr>
      </w:pPr>
    </w:p>
    <w:p w14:paraId="701E4B52" w14:textId="77777777" w:rsidR="00471529" w:rsidRDefault="0000000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*Corresponding author</w:t>
      </w:r>
    </w:p>
    <w:p w14:paraId="553C80E6" w14:textId="77777777" w:rsidR="00471529" w:rsidRDefault="0000000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Jia </w:t>
      </w:r>
      <w:proofErr w:type="spellStart"/>
      <w:r>
        <w:rPr>
          <w:rFonts w:ascii="Times New Roman" w:hAnsi="Times New Roman" w:cs="Times New Roman"/>
          <w:sz w:val="24"/>
          <w:szCs w:val="24"/>
          <w:shd w:val="clear" w:color="auto" w:fill="FFFFFF"/>
        </w:rPr>
        <w:t>Jia</w:t>
      </w:r>
      <w:proofErr w:type="spellEnd"/>
    </w:p>
    <w:p w14:paraId="0D29D7FE"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Email: </w:t>
      </w:r>
      <w:bookmarkStart w:id="4" w:name="_Hlk132049578"/>
      <w:r>
        <w:rPr>
          <w:rFonts w:ascii="Times New Roman" w:hAnsi="Times New Roman" w:cs="Times New Roman"/>
          <w:sz w:val="24"/>
          <w:szCs w:val="24"/>
        </w:rPr>
        <w:fldChar w:fldCharType="begin"/>
      </w:r>
      <w:r>
        <w:rPr>
          <w:rFonts w:ascii="Times New Roman" w:hAnsi="Times New Roman" w:cs="Times New Roman"/>
          <w:sz w:val="24"/>
          <w:szCs w:val="24"/>
        </w:rPr>
        <w:instrText>HYPERLINK "mailto:jia263319@ihb.ac.cn"</w:instrText>
      </w:r>
      <w:r>
        <w:rPr>
          <w:rFonts w:ascii="Times New Roman" w:hAnsi="Times New Roman" w:cs="Times New Roman"/>
          <w:sz w:val="24"/>
          <w:szCs w:val="24"/>
        </w:rPr>
      </w:r>
      <w:r>
        <w:rPr>
          <w:rFonts w:ascii="Times New Roman" w:hAnsi="Times New Roman" w:cs="Times New Roman"/>
          <w:sz w:val="24"/>
          <w:szCs w:val="24"/>
        </w:rPr>
        <w:fldChar w:fldCharType="separate"/>
      </w:r>
      <w:r>
        <w:rPr>
          <w:rStyle w:val="ab"/>
          <w:rFonts w:ascii="Times New Roman" w:hAnsi="Times New Roman" w:cs="Times New Roman"/>
          <w:sz w:val="24"/>
          <w:szCs w:val="24"/>
        </w:rPr>
        <w:t>jia263319@ihb.ac.cn</w:t>
      </w:r>
      <w:r>
        <w:rPr>
          <w:rFonts w:ascii="Times New Roman" w:hAnsi="Times New Roman" w:cs="Times New Roman"/>
          <w:sz w:val="24"/>
          <w:szCs w:val="24"/>
        </w:rPr>
        <w:fldChar w:fldCharType="end"/>
      </w:r>
    </w:p>
    <w:bookmarkEnd w:id="0"/>
    <w:bookmarkEnd w:id="4"/>
    <w:p w14:paraId="194FD5FC" w14:textId="77777777" w:rsidR="00471529" w:rsidRDefault="00000000">
      <w:pPr>
        <w:spacing w:line="360" w:lineRule="auto"/>
        <w:rPr>
          <w:rFonts w:hint="eastAsia"/>
        </w:rPr>
      </w:pPr>
      <w:r>
        <w:rPr>
          <w:rFonts w:ascii="Times New Roman" w:hAnsi="Times New Roman" w:cs="Times New Roman"/>
          <w:sz w:val="24"/>
          <w:szCs w:val="24"/>
        </w:rPr>
        <w:t xml:space="preserve">Address: </w:t>
      </w:r>
      <w:proofErr w:type="spellStart"/>
      <w:r>
        <w:rPr>
          <w:rFonts w:ascii="Times New Roman" w:hAnsi="Times New Roman" w:cs="Times New Roman"/>
          <w:sz w:val="24"/>
          <w:szCs w:val="24"/>
        </w:rPr>
        <w:t>Donghu</w:t>
      </w:r>
      <w:proofErr w:type="spellEnd"/>
      <w:r>
        <w:rPr>
          <w:rFonts w:ascii="Times New Roman" w:hAnsi="Times New Roman" w:cs="Times New Roman"/>
          <w:sz w:val="24"/>
          <w:szCs w:val="24"/>
        </w:rPr>
        <w:t xml:space="preserve"> South Road #7, Wuhan, 430072, P. R. China</w:t>
      </w:r>
    </w:p>
    <w:p w14:paraId="26D0EC8E" w14:textId="77777777" w:rsidR="00471529" w:rsidRDefault="00471529">
      <w:pPr>
        <w:spacing w:line="360" w:lineRule="auto"/>
        <w:rPr>
          <w:rFonts w:ascii="Times New Roman" w:hAnsi="Times New Roman" w:cs="Times New Roman"/>
          <w:b/>
          <w:bCs/>
          <w:sz w:val="28"/>
          <w:szCs w:val="32"/>
        </w:rPr>
      </w:pPr>
    </w:p>
    <w:p w14:paraId="380FCC6B" w14:textId="77777777" w:rsidR="00471529" w:rsidRDefault="00471529">
      <w:pPr>
        <w:spacing w:line="360" w:lineRule="auto"/>
        <w:rPr>
          <w:rFonts w:ascii="Times New Roman" w:hAnsi="Times New Roman" w:cs="Times New Roman"/>
          <w:sz w:val="24"/>
          <w:szCs w:val="24"/>
        </w:rPr>
        <w:sectPr w:rsidR="00471529">
          <w:pgSz w:w="11906" w:h="16838"/>
          <w:pgMar w:top="1440" w:right="1800" w:bottom="1440" w:left="1800" w:header="851" w:footer="992" w:gutter="0"/>
          <w:lnNumType w:countBy="1" w:restart="continuous"/>
          <w:cols w:space="425"/>
          <w:docGrid w:type="lines" w:linePitch="312"/>
        </w:sectPr>
      </w:pPr>
    </w:p>
    <w:p w14:paraId="5121EDA0" w14:textId="77777777" w:rsidR="00471529" w:rsidRDefault="00000000">
      <w:pPr>
        <w:spacing w:line="360" w:lineRule="auto"/>
        <w:rPr>
          <w:rFonts w:ascii="Times New Roman" w:hAnsi="Times New Roman" w:cs="Times New Roman"/>
          <w:b/>
          <w:sz w:val="24"/>
          <w:szCs w:val="24"/>
        </w:rPr>
      </w:pPr>
      <w:bookmarkStart w:id="5" w:name="_Hlk180145095"/>
      <w:bookmarkStart w:id="6" w:name="OLE_LINK1"/>
      <w:bookmarkStart w:id="7" w:name="OLE_LINK2"/>
      <w:r>
        <w:rPr>
          <w:rFonts w:ascii="Times New Roman" w:hAnsi="Times New Roman" w:cs="Times New Roman" w:hint="eastAsia"/>
          <w:b/>
          <w:sz w:val="24"/>
          <w:szCs w:val="24"/>
        </w:rPr>
        <w:lastRenderedPageBreak/>
        <w:t>N</w:t>
      </w:r>
      <w:r>
        <w:rPr>
          <w:rFonts w:ascii="Times New Roman" w:hAnsi="Times New Roman" w:cs="Times New Roman"/>
          <w:b/>
          <w:sz w:val="24"/>
          <w:szCs w:val="24"/>
        </w:rPr>
        <w:t>umber of Texts: 1</w:t>
      </w:r>
      <w:r>
        <w:rPr>
          <w:rFonts w:ascii="Times New Roman" w:hAnsi="Times New Roman" w:cs="Times New Roman" w:hint="eastAsia"/>
          <w:b/>
          <w:sz w:val="24"/>
          <w:szCs w:val="24"/>
        </w:rPr>
        <w:t>4</w:t>
      </w:r>
    </w:p>
    <w:p w14:paraId="1DA5FB47"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Number of Figures: </w:t>
      </w:r>
      <w:r>
        <w:rPr>
          <w:rFonts w:ascii="Times New Roman" w:hAnsi="Times New Roman" w:cs="Times New Roman" w:hint="eastAsia"/>
          <w:b/>
          <w:sz w:val="24"/>
          <w:szCs w:val="24"/>
        </w:rPr>
        <w:t>14</w:t>
      </w:r>
    </w:p>
    <w:p w14:paraId="03A598B4"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Number of Tables: </w:t>
      </w:r>
      <w:r>
        <w:rPr>
          <w:rFonts w:ascii="Times New Roman" w:hAnsi="Times New Roman" w:cs="Times New Roman" w:hint="eastAsia"/>
          <w:b/>
          <w:sz w:val="24"/>
          <w:szCs w:val="24"/>
        </w:rPr>
        <w:t>10</w:t>
      </w:r>
    </w:p>
    <w:p w14:paraId="02DFF6EE" w14:textId="77777777" w:rsidR="00471529" w:rsidRDefault="00471529">
      <w:pPr>
        <w:spacing w:line="360" w:lineRule="auto"/>
        <w:rPr>
          <w:rFonts w:ascii="Times New Roman" w:hAnsi="Times New Roman" w:cs="Times New Roman"/>
          <w:b/>
          <w:sz w:val="24"/>
          <w:szCs w:val="24"/>
        </w:rPr>
      </w:pPr>
    </w:p>
    <w:p w14:paraId="6510AB27"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hint="eastAsia"/>
          <w:b/>
          <w:sz w:val="24"/>
          <w:szCs w:val="24"/>
        </w:rPr>
        <w:t>T</w:t>
      </w:r>
      <w:r>
        <w:rPr>
          <w:rFonts w:ascii="Times New Roman" w:hAnsi="Times New Roman" w:cs="Times New Roman"/>
          <w:b/>
          <w:sz w:val="24"/>
          <w:szCs w:val="24"/>
        </w:rPr>
        <w:t>ext captions</w:t>
      </w:r>
    </w:p>
    <w:p w14:paraId="4B82D4D5"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S1. </w:t>
      </w:r>
      <w:r>
        <w:rPr>
          <w:rFonts w:ascii="Times New Roman" w:hAnsi="Times New Roman" w:cs="Times New Roman"/>
          <w:bCs/>
          <w:sz w:val="24"/>
          <w:szCs w:val="24"/>
        </w:rPr>
        <w:t>Details of the pre-experiment</w:t>
      </w:r>
    </w:p>
    <w:p w14:paraId="752BBBCE"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S2. </w:t>
      </w:r>
      <w:r>
        <w:rPr>
          <w:rFonts w:ascii="Times New Roman" w:hAnsi="Times New Roman" w:cs="Times New Roman"/>
          <w:bCs/>
          <w:sz w:val="24"/>
          <w:szCs w:val="24"/>
        </w:rPr>
        <w:t xml:space="preserve">Determination of physiological properties of </w:t>
      </w:r>
      <w:r>
        <w:rPr>
          <w:rFonts w:ascii="Times New Roman" w:hAnsi="Times New Roman" w:cs="Times New Roman"/>
          <w:bCs/>
          <w:i/>
          <w:iCs/>
          <w:sz w:val="24"/>
          <w:szCs w:val="24"/>
        </w:rPr>
        <w:t>A. pyrenoidosa</w:t>
      </w:r>
    </w:p>
    <w:p w14:paraId="29D0B22B"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S3. </w:t>
      </w:r>
      <w:r>
        <w:rPr>
          <w:rFonts w:ascii="Times New Roman" w:hAnsi="Times New Roman" w:cs="Times New Roman"/>
          <w:bCs/>
          <w:sz w:val="24"/>
          <w:szCs w:val="24"/>
        </w:rPr>
        <w:t>Transcriptomic analysis</w:t>
      </w:r>
    </w:p>
    <w:p w14:paraId="464FD77D"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S4. </w:t>
      </w:r>
      <w:r>
        <w:rPr>
          <w:rFonts w:ascii="Times New Roman" w:hAnsi="Times New Roman" w:cs="Times New Roman"/>
          <w:bCs/>
          <w:sz w:val="24"/>
          <w:szCs w:val="24"/>
        </w:rPr>
        <w:t>Non-target metabolomic analysis</w:t>
      </w:r>
    </w:p>
    <w:p w14:paraId="000AB546"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S5. </w:t>
      </w:r>
      <w:r>
        <w:rPr>
          <w:rFonts w:ascii="Times New Roman" w:hAnsi="Times New Roman" w:cs="Times New Roman"/>
          <w:bCs/>
          <w:sz w:val="24"/>
          <w:szCs w:val="24"/>
        </w:rPr>
        <w:t>Metagenomic analysis</w:t>
      </w:r>
    </w:p>
    <w:p w14:paraId="35D8F042"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Text S6.</w:t>
      </w:r>
      <w:r>
        <w:rPr>
          <w:rFonts w:ascii="Times New Roman" w:hAnsi="Times New Roman" w:cs="Times New Roman"/>
          <w:bCs/>
          <w:sz w:val="24"/>
          <w:szCs w:val="24"/>
        </w:rPr>
        <w:t xml:space="preserve"> Calculation of ARGs abundance</w:t>
      </w:r>
    </w:p>
    <w:p w14:paraId="5E85E5CC"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Text S7.</w:t>
      </w:r>
      <w:r>
        <w:rPr>
          <w:rFonts w:ascii="Times New Roman" w:hAnsi="Times New Roman" w:cs="Times New Roman"/>
          <w:bCs/>
          <w:sz w:val="24"/>
          <w:szCs w:val="24"/>
        </w:rPr>
        <w:t xml:space="preserve"> Identification of ARC hosts</w:t>
      </w:r>
    </w:p>
    <w:p w14:paraId="51CDB812"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Text S8.</w:t>
      </w:r>
      <w:r>
        <w:rPr>
          <w:rFonts w:ascii="Times New Roman" w:hAnsi="Times New Roman" w:cs="Times New Roman"/>
          <w:bCs/>
          <w:sz w:val="24"/>
          <w:szCs w:val="24"/>
        </w:rPr>
        <w:t xml:space="preserve"> Identification of MGEs</w:t>
      </w:r>
    </w:p>
    <w:p w14:paraId="5C1B7922"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S9. </w:t>
      </w:r>
      <w:r>
        <w:rPr>
          <w:rFonts w:ascii="Times New Roman" w:hAnsi="Times New Roman" w:cs="Times New Roman"/>
          <w:bCs/>
          <w:sz w:val="24"/>
          <w:szCs w:val="24"/>
        </w:rPr>
        <w:t>Isolation of phycospheric bacteria</w:t>
      </w:r>
    </w:p>
    <w:p w14:paraId="2502EB17"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Text S10.</w:t>
      </w:r>
      <w:r>
        <w:rPr>
          <w:rFonts w:ascii="Times New Roman" w:hAnsi="Times New Roman" w:cs="Times New Roman"/>
          <w:bCs/>
          <w:sz w:val="24"/>
          <w:szCs w:val="24"/>
        </w:rPr>
        <w:t xml:space="preserve"> Whole genome sequencing of phycospheric isolates</w:t>
      </w:r>
    </w:p>
    <w:p w14:paraId="7C018DBF"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Text S11.</w:t>
      </w:r>
      <w:r>
        <w:rPr>
          <w:rFonts w:ascii="Times New Roman" w:hAnsi="Times New Roman" w:cs="Times New Roman"/>
          <w:bCs/>
          <w:sz w:val="24"/>
          <w:szCs w:val="24"/>
        </w:rPr>
        <w:t xml:space="preserve"> Determination of the minimum inhibitory concentration (MIC) of phycospheric isolates on FF</w:t>
      </w:r>
    </w:p>
    <w:p w14:paraId="62A7C1A9"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S12. </w:t>
      </w:r>
      <w:r>
        <w:rPr>
          <w:rFonts w:ascii="Times New Roman" w:hAnsi="Times New Roman" w:cs="Times New Roman"/>
          <w:bCs/>
          <w:sz w:val="24"/>
          <w:szCs w:val="24"/>
        </w:rPr>
        <w:t xml:space="preserve">The co-culture experiment of phycospheric isolates and </w:t>
      </w:r>
      <w:r>
        <w:rPr>
          <w:rFonts w:ascii="Times New Roman" w:hAnsi="Times New Roman" w:cs="Times New Roman"/>
          <w:bCs/>
          <w:i/>
          <w:iCs/>
          <w:sz w:val="24"/>
          <w:szCs w:val="24"/>
        </w:rPr>
        <w:t>A. pyrenoidosa</w:t>
      </w:r>
    </w:p>
    <w:p w14:paraId="58BD522D"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 xml:space="preserve">Text S13. </w:t>
      </w:r>
      <w:r>
        <w:rPr>
          <w:rFonts w:ascii="Times New Roman" w:hAnsi="Times New Roman" w:cs="Times New Roman"/>
          <w:bCs/>
          <w:sz w:val="24"/>
          <w:szCs w:val="24"/>
        </w:rPr>
        <w:t>Quantification of FF and the metabolite pyridoxal</w:t>
      </w:r>
    </w:p>
    <w:p w14:paraId="720663C2"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hint="eastAsia"/>
          <w:b/>
          <w:sz w:val="24"/>
          <w:szCs w:val="24"/>
        </w:rPr>
        <w:t xml:space="preserve">Text S14. </w:t>
      </w:r>
      <w:r>
        <w:rPr>
          <w:rFonts w:ascii="Times New Roman" w:hAnsi="Times New Roman" w:cs="Times New Roman" w:hint="eastAsia"/>
          <w:bCs/>
          <w:sz w:val="24"/>
          <w:szCs w:val="24"/>
        </w:rPr>
        <w:t xml:space="preserve">Co-culture of </w:t>
      </w:r>
      <w:r>
        <w:rPr>
          <w:rFonts w:ascii="Times New Roman" w:hAnsi="Times New Roman" w:cs="Times New Roman" w:hint="eastAsia"/>
          <w:bCs/>
          <w:i/>
          <w:iCs/>
          <w:sz w:val="24"/>
          <w:szCs w:val="24"/>
        </w:rPr>
        <w:t>Pseudomonas</w:t>
      </w:r>
      <w:r>
        <w:rPr>
          <w:rFonts w:ascii="Times New Roman" w:hAnsi="Times New Roman" w:cs="Times New Roman" w:hint="eastAsia"/>
          <w:bCs/>
          <w:sz w:val="24"/>
          <w:szCs w:val="24"/>
        </w:rPr>
        <w:t>_sp1,</w:t>
      </w:r>
      <w:bookmarkStart w:id="8" w:name="_Hlk206961425"/>
      <w:r>
        <w:rPr>
          <w:rFonts w:ascii="Times New Roman" w:hAnsi="Times New Roman" w:cs="Times New Roman" w:hint="eastAsia"/>
          <w:bCs/>
          <w:sz w:val="24"/>
          <w:szCs w:val="24"/>
        </w:rPr>
        <w:t xml:space="preserve"> pyridoxal</w:t>
      </w:r>
      <w:bookmarkEnd w:id="8"/>
      <w:r>
        <w:rPr>
          <w:rFonts w:ascii="Times New Roman" w:hAnsi="Times New Roman" w:cs="Times New Roman" w:hint="eastAsia"/>
          <w:bCs/>
          <w:sz w:val="24"/>
          <w:szCs w:val="24"/>
        </w:rPr>
        <w:t xml:space="preserve"> and </w:t>
      </w:r>
      <w:r>
        <w:rPr>
          <w:rFonts w:ascii="Times New Roman" w:hAnsi="Times New Roman" w:cs="Times New Roman" w:hint="eastAsia"/>
          <w:bCs/>
          <w:i/>
          <w:iCs/>
          <w:sz w:val="24"/>
          <w:szCs w:val="24"/>
        </w:rPr>
        <w:t>A. pyrenoidosa</w:t>
      </w:r>
    </w:p>
    <w:p w14:paraId="7A2DFA64" w14:textId="77777777" w:rsidR="00471529" w:rsidRDefault="00471529">
      <w:pPr>
        <w:spacing w:line="360" w:lineRule="auto"/>
        <w:rPr>
          <w:rFonts w:ascii="Times New Roman" w:hAnsi="Times New Roman" w:cs="Times New Roman"/>
          <w:b/>
          <w:sz w:val="24"/>
          <w:szCs w:val="24"/>
        </w:rPr>
      </w:pPr>
    </w:p>
    <w:p w14:paraId="50EBC457"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captions</w:t>
      </w:r>
    </w:p>
    <w:p w14:paraId="7FD81ABD"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 </w:t>
      </w:r>
      <w:r>
        <w:rPr>
          <w:rFonts w:ascii="Times New Roman" w:hAnsi="Times New Roman" w:cs="Times New Roman"/>
          <w:bCs/>
          <w:sz w:val="24"/>
          <w:szCs w:val="24"/>
        </w:rPr>
        <w:t xml:space="preserve">Changes in photosynthetic pigment content of </w:t>
      </w:r>
      <w:r>
        <w:rPr>
          <w:rFonts w:ascii="Times New Roman" w:hAnsi="Times New Roman" w:cs="Times New Roman"/>
          <w:bCs/>
          <w:i/>
          <w:iCs/>
          <w:sz w:val="24"/>
          <w:szCs w:val="24"/>
        </w:rPr>
        <w:t>A. pyrenoidosa</w:t>
      </w:r>
      <w:r>
        <w:rPr>
          <w:rFonts w:ascii="Times New Roman" w:hAnsi="Times New Roman" w:cs="Times New Roman"/>
          <w:bCs/>
          <w:sz w:val="24"/>
          <w:szCs w:val="24"/>
        </w:rPr>
        <w:t xml:space="preserve"> under PLA MPs and FF treatment.</w:t>
      </w:r>
    </w:p>
    <w:p w14:paraId="2086BC66"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bCs/>
          <w:sz w:val="24"/>
          <w:szCs w:val="24"/>
        </w:rPr>
        <w:t>2</w:t>
      </w:r>
      <w:r>
        <w:rPr>
          <w:rFonts w:ascii="Times New Roman" w:hAnsi="Times New Roman" w:cs="Times New Roman"/>
          <w:b/>
          <w:bCs/>
          <w:sz w:val="24"/>
          <w:szCs w:val="24"/>
        </w:rPr>
        <w:t xml:space="preserve"> </w:t>
      </w:r>
      <w:r>
        <w:rPr>
          <w:rFonts w:ascii="Times New Roman" w:hAnsi="Times New Roman" w:cs="Times New Roman"/>
          <w:sz w:val="24"/>
          <w:szCs w:val="24"/>
        </w:rPr>
        <w:t xml:space="preserve">Morphological characteristics of PLA MPs and </w:t>
      </w:r>
      <w:r>
        <w:rPr>
          <w:rFonts w:ascii="Times New Roman" w:hAnsi="Times New Roman" w:cs="Times New Roman"/>
          <w:i/>
          <w:iCs/>
          <w:sz w:val="24"/>
          <w:szCs w:val="24"/>
        </w:rPr>
        <w:t>A. pyrenoidosa</w:t>
      </w:r>
      <w:r>
        <w:rPr>
          <w:rFonts w:ascii="Times New Roman" w:hAnsi="Times New Roman" w:cs="Times New Roman"/>
          <w:sz w:val="24"/>
          <w:szCs w:val="24"/>
        </w:rPr>
        <w:t>.</w:t>
      </w:r>
    </w:p>
    <w:p w14:paraId="6BF652B8"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3</w:t>
      </w:r>
      <w:r>
        <w:rPr>
          <w:rFonts w:ascii="Times New Roman" w:hAnsi="Times New Roman" w:cs="Times New Roman"/>
          <w:sz w:val="24"/>
          <w:szCs w:val="24"/>
        </w:rPr>
        <w:t xml:space="preserve"> GO functional classification of upregulated (A) and downregulated DEGs (B).</w:t>
      </w:r>
    </w:p>
    <w:p w14:paraId="63D0497D"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4</w:t>
      </w:r>
      <w:r>
        <w:rPr>
          <w:rFonts w:ascii="Times New Roman" w:hAnsi="Times New Roman" w:cs="Times New Roman"/>
          <w:b/>
          <w:sz w:val="24"/>
          <w:szCs w:val="24"/>
        </w:rPr>
        <w:t xml:space="preserve"> </w:t>
      </w:r>
      <w:r>
        <w:rPr>
          <w:rFonts w:ascii="Times New Roman" w:hAnsi="Times New Roman" w:cs="Times New Roman"/>
          <w:bCs/>
          <w:sz w:val="24"/>
          <w:szCs w:val="24"/>
        </w:rPr>
        <w:t>KEGG enrichment analysis of downregulated DEGs</w:t>
      </w:r>
      <w:r>
        <w:rPr>
          <w:rFonts w:ascii="Times New Roman" w:hAnsi="Times New Roman" w:cs="Times New Roman" w:hint="eastAsia"/>
          <w:bCs/>
          <w:sz w:val="24"/>
          <w:szCs w:val="24"/>
        </w:rPr>
        <w:t xml:space="preserve"> </w:t>
      </w:r>
      <w:r>
        <w:rPr>
          <w:rFonts w:ascii="Times New Roman" w:hAnsi="Times New Roman" w:cs="Times New Roman"/>
          <w:bCs/>
          <w:sz w:val="24"/>
          <w:szCs w:val="24"/>
        </w:rPr>
        <w:t>(A) and DAMs (B)</w:t>
      </w:r>
      <w:r>
        <w:rPr>
          <w:rFonts w:ascii="Times New Roman" w:hAnsi="Times New Roman" w:cs="Times New Roman" w:hint="eastAsia"/>
          <w:bCs/>
          <w:sz w:val="24"/>
          <w:szCs w:val="24"/>
        </w:rPr>
        <w:t>.</w:t>
      </w:r>
    </w:p>
    <w:p w14:paraId="48A028EF"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5</w:t>
      </w:r>
      <w:r>
        <w:rPr>
          <w:rFonts w:ascii="Times New Roman" w:hAnsi="Times New Roman" w:cs="Times New Roman"/>
          <w:b/>
          <w:sz w:val="24"/>
          <w:szCs w:val="24"/>
        </w:rPr>
        <w:t xml:space="preserve"> </w:t>
      </w:r>
      <w:r>
        <w:rPr>
          <w:rFonts w:ascii="Times New Roman" w:hAnsi="Times New Roman" w:cs="Times New Roman"/>
          <w:bCs/>
          <w:sz w:val="24"/>
          <w:szCs w:val="24"/>
        </w:rPr>
        <w:t>Heatmaps of DEGs related to photosynthesis (A) and antenna proteins (B)</w:t>
      </w:r>
      <w:r>
        <w:rPr>
          <w:rFonts w:ascii="Times New Roman" w:hAnsi="Times New Roman" w:cs="Times New Roman" w:hint="eastAsia"/>
          <w:bCs/>
          <w:sz w:val="24"/>
          <w:szCs w:val="24"/>
        </w:rPr>
        <w:t>.</w:t>
      </w:r>
    </w:p>
    <w:p w14:paraId="434F4193"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6</w:t>
      </w:r>
      <w:r>
        <w:rPr>
          <w:rFonts w:ascii="Times New Roman" w:hAnsi="Times New Roman" w:cs="Times New Roman"/>
          <w:b/>
          <w:sz w:val="24"/>
          <w:szCs w:val="24"/>
        </w:rPr>
        <w:t xml:space="preserve"> </w:t>
      </w:r>
      <w:r>
        <w:rPr>
          <w:rFonts w:ascii="Times New Roman" w:hAnsi="Times New Roman" w:cs="Times New Roman"/>
          <w:bCs/>
          <w:sz w:val="24"/>
          <w:szCs w:val="24"/>
        </w:rPr>
        <w:t>Heatmap of DEGs related to antioxidation</w:t>
      </w:r>
      <w:r>
        <w:rPr>
          <w:rFonts w:ascii="Times New Roman" w:hAnsi="Times New Roman" w:cs="Times New Roman" w:hint="eastAsia"/>
          <w:bCs/>
          <w:sz w:val="24"/>
          <w:szCs w:val="24"/>
        </w:rPr>
        <w:t>.</w:t>
      </w:r>
    </w:p>
    <w:p w14:paraId="52937BB1"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7</w:t>
      </w:r>
      <w:r>
        <w:rPr>
          <w:rFonts w:ascii="Times New Roman" w:hAnsi="Times New Roman" w:cs="Times New Roman"/>
          <w:b/>
          <w:sz w:val="24"/>
          <w:szCs w:val="24"/>
        </w:rPr>
        <w:t xml:space="preserve"> </w:t>
      </w:r>
      <w:r>
        <w:rPr>
          <w:rFonts w:ascii="Times New Roman" w:hAnsi="Times New Roman" w:cs="Times New Roman"/>
          <w:bCs/>
          <w:sz w:val="24"/>
          <w:szCs w:val="24"/>
        </w:rPr>
        <w:t xml:space="preserve">Relative abundance of DAMs associated with antioxidation in different </w:t>
      </w:r>
      <w:r>
        <w:rPr>
          <w:rFonts w:ascii="Times New Roman" w:hAnsi="Times New Roman" w:cs="Times New Roman"/>
          <w:bCs/>
          <w:sz w:val="24"/>
          <w:szCs w:val="24"/>
        </w:rPr>
        <w:lastRenderedPageBreak/>
        <w:t>treatment groups</w:t>
      </w:r>
      <w:r>
        <w:rPr>
          <w:rFonts w:ascii="Times New Roman" w:hAnsi="Times New Roman" w:cs="Times New Roman" w:hint="eastAsia"/>
          <w:bCs/>
          <w:sz w:val="24"/>
          <w:szCs w:val="24"/>
        </w:rPr>
        <w:t>.</w:t>
      </w:r>
    </w:p>
    <w:p w14:paraId="7EFD2697"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8</w:t>
      </w:r>
      <w:r>
        <w:rPr>
          <w:rFonts w:ascii="Times New Roman" w:hAnsi="Times New Roman" w:cs="Times New Roman"/>
          <w:sz w:val="24"/>
          <w:szCs w:val="24"/>
        </w:rPr>
        <w:t xml:space="preserve"> </w:t>
      </w:r>
      <w:r>
        <w:rPr>
          <w:rFonts w:ascii="Times New Roman" w:hAnsi="Times New Roman" w:cs="Times New Roman" w:hint="eastAsia"/>
          <w:sz w:val="24"/>
          <w:szCs w:val="24"/>
        </w:rPr>
        <w:t>The relative abundance distribution of the top 12 ARG hosts at the phylum level in each group.</w:t>
      </w:r>
    </w:p>
    <w:p w14:paraId="50BE6145"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9</w:t>
      </w:r>
      <w:r>
        <w:rPr>
          <w:rFonts w:ascii="Times New Roman" w:hAnsi="Times New Roman" w:cs="Times New Roman"/>
          <w:b/>
          <w:sz w:val="24"/>
          <w:szCs w:val="24"/>
        </w:rPr>
        <w:t xml:space="preserve"> </w:t>
      </w:r>
      <w:r>
        <w:rPr>
          <w:rFonts w:ascii="Times New Roman" w:hAnsi="Times New Roman" w:cs="Times New Roman"/>
          <w:bCs/>
          <w:sz w:val="24"/>
          <w:szCs w:val="24"/>
        </w:rPr>
        <w:t xml:space="preserve">Genomic information of </w:t>
      </w:r>
      <w:r>
        <w:rPr>
          <w:rFonts w:ascii="Times New Roman" w:hAnsi="Times New Roman" w:cs="Times New Roman"/>
          <w:bCs/>
          <w:i/>
          <w:iCs/>
          <w:sz w:val="24"/>
          <w:szCs w:val="24"/>
        </w:rPr>
        <w:t>Allorhizobium</w:t>
      </w:r>
      <w:r>
        <w:rPr>
          <w:rFonts w:ascii="Times New Roman" w:hAnsi="Times New Roman" w:cs="Times New Roman"/>
          <w:bCs/>
          <w:sz w:val="24"/>
          <w:szCs w:val="24"/>
        </w:rPr>
        <w:t xml:space="preserve">_sp1 and </w:t>
      </w:r>
      <w:r>
        <w:rPr>
          <w:rFonts w:ascii="Times New Roman" w:hAnsi="Times New Roman" w:cs="Times New Roman"/>
          <w:bCs/>
          <w:i/>
          <w:iCs/>
          <w:sz w:val="24"/>
          <w:szCs w:val="24"/>
        </w:rPr>
        <w:t>Methylobacteium</w:t>
      </w:r>
      <w:r>
        <w:rPr>
          <w:rFonts w:ascii="Times New Roman" w:hAnsi="Times New Roman" w:cs="Times New Roman"/>
          <w:bCs/>
          <w:sz w:val="24"/>
          <w:szCs w:val="24"/>
        </w:rPr>
        <w:t>_sp1.</w:t>
      </w:r>
    </w:p>
    <w:p w14:paraId="32A67BFE"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w:t>
      </w:r>
      <w:r>
        <w:rPr>
          <w:rFonts w:ascii="Times New Roman" w:hAnsi="Times New Roman" w:cs="Times New Roman" w:hint="eastAsia"/>
          <w:b/>
          <w:sz w:val="24"/>
          <w:szCs w:val="24"/>
        </w:rPr>
        <w:t>0</w:t>
      </w:r>
      <w:r>
        <w:rPr>
          <w:rFonts w:ascii="Times New Roman" w:hAnsi="Times New Roman" w:cs="Times New Roman"/>
          <w:b/>
          <w:sz w:val="24"/>
          <w:szCs w:val="24"/>
        </w:rPr>
        <w:t xml:space="preserve"> </w:t>
      </w:r>
      <w:r>
        <w:rPr>
          <w:rFonts w:ascii="Times New Roman" w:hAnsi="Times New Roman" w:cs="Times New Roman"/>
          <w:bCs/>
          <w:sz w:val="24"/>
          <w:szCs w:val="24"/>
        </w:rPr>
        <w:t xml:space="preserve">Annotation of KEGG pathways for strain </w:t>
      </w:r>
      <w:r>
        <w:rPr>
          <w:rFonts w:ascii="Times New Roman" w:hAnsi="Times New Roman" w:cs="Times New Roman"/>
          <w:bCs/>
          <w:i/>
          <w:iCs/>
          <w:sz w:val="24"/>
          <w:szCs w:val="24"/>
        </w:rPr>
        <w:t>Pseudomonas</w:t>
      </w:r>
      <w:r>
        <w:rPr>
          <w:rFonts w:ascii="Times New Roman" w:hAnsi="Times New Roman" w:cs="Times New Roman"/>
          <w:bCs/>
          <w:sz w:val="24"/>
          <w:szCs w:val="24"/>
        </w:rPr>
        <w:t>_sp1 genome.</w:t>
      </w:r>
    </w:p>
    <w:p w14:paraId="37EF96A4"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w:t>
      </w:r>
      <w:r>
        <w:rPr>
          <w:rFonts w:ascii="Times New Roman" w:hAnsi="Times New Roman" w:cs="Times New Roman" w:hint="eastAsia"/>
          <w:b/>
          <w:sz w:val="24"/>
          <w:szCs w:val="24"/>
        </w:rPr>
        <w:t>1</w:t>
      </w:r>
      <w:r>
        <w:rPr>
          <w:rFonts w:ascii="Times New Roman" w:hAnsi="Times New Roman" w:cs="Times New Roman"/>
          <w:b/>
          <w:sz w:val="24"/>
          <w:szCs w:val="24"/>
        </w:rPr>
        <w:t xml:space="preserve"> </w:t>
      </w:r>
      <w:r>
        <w:rPr>
          <w:rFonts w:ascii="Times New Roman" w:hAnsi="Times New Roman" w:cs="Times New Roman"/>
          <w:bCs/>
          <w:sz w:val="24"/>
          <w:szCs w:val="24"/>
        </w:rPr>
        <w:t xml:space="preserve">Annotation of KEGG pathways for strain </w:t>
      </w:r>
      <w:r>
        <w:rPr>
          <w:rFonts w:ascii="Times New Roman" w:hAnsi="Times New Roman" w:cs="Times New Roman"/>
          <w:bCs/>
          <w:i/>
          <w:iCs/>
          <w:sz w:val="24"/>
          <w:szCs w:val="24"/>
        </w:rPr>
        <w:t>Allorhizobium</w:t>
      </w:r>
      <w:r>
        <w:rPr>
          <w:rFonts w:ascii="Times New Roman" w:hAnsi="Times New Roman" w:cs="Times New Roman"/>
          <w:bCs/>
          <w:sz w:val="24"/>
          <w:szCs w:val="24"/>
        </w:rPr>
        <w:t>_sp1 genome.</w:t>
      </w:r>
    </w:p>
    <w:p w14:paraId="7D72E379"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w:t>
      </w:r>
      <w:r>
        <w:rPr>
          <w:rFonts w:ascii="Times New Roman" w:hAnsi="Times New Roman" w:cs="Times New Roman" w:hint="eastAsia"/>
          <w:b/>
          <w:sz w:val="24"/>
          <w:szCs w:val="24"/>
        </w:rPr>
        <w:t>2</w:t>
      </w:r>
      <w:r>
        <w:rPr>
          <w:rFonts w:ascii="Times New Roman" w:hAnsi="Times New Roman" w:cs="Times New Roman"/>
          <w:b/>
          <w:sz w:val="24"/>
          <w:szCs w:val="24"/>
        </w:rPr>
        <w:t xml:space="preserve"> </w:t>
      </w:r>
      <w:r>
        <w:rPr>
          <w:rFonts w:ascii="Times New Roman" w:hAnsi="Times New Roman" w:cs="Times New Roman"/>
          <w:bCs/>
          <w:sz w:val="24"/>
          <w:szCs w:val="24"/>
        </w:rPr>
        <w:t xml:space="preserve">Annotation of KEGG pathways for strain </w:t>
      </w:r>
      <w:r>
        <w:rPr>
          <w:rFonts w:ascii="Times New Roman" w:hAnsi="Times New Roman" w:cs="Times New Roman"/>
          <w:bCs/>
          <w:i/>
          <w:iCs/>
          <w:sz w:val="24"/>
          <w:szCs w:val="24"/>
        </w:rPr>
        <w:t>Methylobacteium</w:t>
      </w:r>
      <w:r>
        <w:rPr>
          <w:rFonts w:ascii="Times New Roman" w:hAnsi="Times New Roman" w:cs="Times New Roman"/>
          <w:bCs/>
          <w:sz w:val="24"/>
          <w:szCs w:val="24"/>
        </w:rPr>
        <w:t>_sp1 genome.</w:t>
      </w:r>
    </w:p>
    <w:p w14:paraId="3B8D8741"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13</w:t>
      </w:r>
      <w:r>
        <w:rPr>
          <w:rFonts w:ascii="Times New Roman" w:hAnsi="Times New Roman" w:cs="Times New Roman"/>
          <w:b/>
          <w:sz w:val="24"/>
          <w:szCs w:val="24"/>
        </w:rPr>
        <w:t xml:space="preserve"> </w:t>
      </w:r>
      <w:r>
        <w:rPr>
          <w:rFonts w:ascii="Times New Roman" w:hAnsi="Times New Roman" w:cs="Times New Roman"/>
          <w:bCs/>
          <w:sz w:val="24"/>
          <w:szCs w:val="24"/>
        </w:rPr>
        <w:t>Pathways of vitamin B6 metabolism.</w:t>
      </w:r>
    </w:p>
    <w:p w14:paraId="3F8A8A7A" w14:textId="77777777" w:rsidR="00471529" w:rsidRDefault="00000000">
      <w:pPr>
        <w:spacing w:line="360" w:lineRule="auto"/>
        <w:rPr>
          <w:rFonts w:ascii="Times New Roman" w:hAnsi="Times New Roman" w:cs="Times New Roman"/>
          <w:bCs/>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14</w:t>
      </w:r>
      <w:r>
        <w:rPr>
          <w:rFonts w:ascii="Times New Roman" w:hAnsi="Times New Roman" w:cs="Times New Roman"/>
          <w:b/>
          <w:sz w:val="24"/>
          <w:szCs w:val="24"/>
        </w:rPr>
        <w:t xml:space="preserve"> </w:t>
      </w:r>
      <w:r>
        <w:rPr>
          <w:rFonts w:ascii="Times New Roman" w:hAnsi="Times New Roman" w:cs="Times New Roman"/>
          <w:bCs/>
          <w:sz w:val="24"/>
          <w:szCs w:val="24"/>
        </w:rPr>
        <w:t xml:space="preserve">UPLC-MS/MS chromatograms of FF, FF-D3, </w:t>
      </w:r>
      <w:r>
        <w:rPr>
          <w:rFonts w:ascii="Times New Roman" w:hAnsi="Times New Roman" w:cs="Times New Roman" w:hint="eastAsia"/>
          <w:bCs/>
          <w:sz w:val="24"/>
          <w:szCs w:val="24"/>
        </w:rPr>
        <w:t>p</w:t>
      </w:r>
      <w:r>
        <w:rPr>
          <w:rFonts w:ascii="Times New Roman" w:hAnsi="Times New Roman" w:cs="Times New Roman"/>
          <w:bCs/>
          <w:sz w:val="24"/>
          <w:szCs w:val="24"/>
        </w:rPr>
        <w:t>yridoxal, and pyridoxal-D3.</w:t>
      </w:r>
    </w:p>
    <w:p w14:paraId="40EF3732" w14:textId="77777777" w:rsidR="00471529" w:rsidRDefault="00471529">
      <w:pPr>
        <w:spacing w:line="360" w:lineRule="auto"/>
        <w:rPr>
          <w:rFonts w:ascii="Times New Roman" w:hAnsi="Times New Roman" w:cs="Times New Roman"/>
          <w:b/>
          <w:sz w:val="24"/>
          <w:szCs w:val="24"/>
        </w:rPr>
      </w:pPr>
    </w:p>
    <w:p w14:paraId="342560F1"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Table caption</w:t>
      </w:r>
      <w:r>
        <w:rPr>
          <w:rFonts w:ascii="Times New Roman" w:hAnsi="Times New Roman" w:cs="Times New Roman" w:hint="eastAsia"/>
          <w:b/>
          <w:sz w:val="24"/>
          <w:szCs w:val="24"/>
        </w:rPr>
        <w:t>s</w:t>
      </w:r>
    </w:p>
    <w:p w14:paraId="1904C6FC"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hint="eastAsia"/>
          <w:b/>
          <w:bCs/>
          <w:sz w:val="24"/>
          <w:szCs w:val="28"/>
        </w:rPr>
        <w:t>T</w:t>
      </w:r>
      <w:r>
        <w:rPr>
          <w:rFonts w:ascii="Times New Roman" w:hAnsi="Times New Roman" w:cs="Times New Roman"/>
          <w:b/>
          <w:bCs/>
          <w:sz w:val="24"/>
          <w:szCs w:val="28"/>
        </w:rPr>
        <w:t>able S1.</w:t>
      </w:r>
      <w:r>
        <w:rPr>
          <w:rFonts w:ascii="Times New Roman" w:hAnsi="Times New Roman" w:cs="Times New Roman"/>
          <w:sz w:val="24"/>
          <w:szCs w:val="28"/>
        </w:rPr>
        <w:t xml:space="preserve"> The concentration of FF in the medium of each group in the pre-experiment</w:t>
      </w:r>
      <w:r>
        <w:rPr>
          <w:rFonts w:ascii="Times New Roman" w:hAnsi="Times New Roman" w:cs="Times New Roman" w:hint="eastAsia"/>
          <w:sz w:val="24"/>
          <w:szCs w:val="28"/>
        </w:rPr>
        <w:t>.</w:t>
      </w:r>
    </w:p>
    <w:p w14:paraId="67526552"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b/>
          <w:bCs/>
          <w:sz w:val="24"/>
          <w:szCs w:val="28"/>
        </w:rPr>
        <w:t>Table S2</w:t>
      </w:r>
      <w:r>
        <w:rPr>
          <w:rFonts w:ascii="Times New Roman" w:hAnsi="Times New Roman" w:cs="Times New Roman"/>
          <w:sz w:val="24"/>
          <w:szCs w:val="28"/>
        </w:rPr>
        <w:t>. Mobile phase elution gradients.</w:t>
      </w:r>
    </w:p>
    <w:p w14:paraId="5F05E855"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b/>
          <w:bCs/>
          <w:sz w:val="24"/>
          <w:szCs w:val="28"/>
        </w:rPr>
        <w:t>Table S3</w:t>
      </w:r>
      <w:r>
        <w:rPr>
          <w:rFonts w:ascii="Times New Roman" w:hAnsi="Times New Roman" w:cs="Times New Roman"/>
          <w:sz w:val="24"/>
          <w:szCs w:val="28"/>
        </w:rPr>
        <w:t xml:space="preserve">. Grouping for co-culture experiment of phycospheric isolates and </w:t>
      </w:r>
      <w:r>
        <w:rPr>
          <w:rFonts w:ascii="Times New Roman" w:hAnsi="Times New Roman" w:cs="Times New Roman"/>
          <w:i/>
          <w:iCs/>
          <w:sz w:val="24"/>
          <w:szCs w:val="28"/>
        </w:rPr>
        <w:t>A. pyrenoidosa</w:t>
      </w:r>
      <w:r>
        <w:rPr>
          <w:rFonts w:ascii="Times New Roman" w:hAnsi="Times New Roman" w:cs="Times New Roman"/>
          <w:sz w:val="24"/>
          <w:szCs w:val="28"/>
        </w:rPr>
        <w:t>.</w:t>
      </w:r>
    </w:p>
    <w:p w14:paraId="00AEF427"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b/>
          <w:bCs/>
          <w:sz w:val="24"/>
          <w:szCs w:val="28"/>
        </w:rPr>
        <w:t>Table S4</w:t>
      </w:r>
      <w:r>
        <w:rPr>
          <w:rFonts w:ascii="Times New Roman" w:hAnsi="Times New Roman" w:cs="Times New Roman"/>
          <w:sz w:val="24"/>
          <w:szCs w:val="28"/>
        </w:rPr>
        <w:t>. UPLC-MS/MS conditions for FF, FF-D3, pyridoxal, and pyridoxal-D3 determination.</w:t>
      </w:r>
    </w:p>
    <w:p w14:paraId="52D92587" w14:textId="77777777" w:rsidR="00471529" w:rsidRDefault="00000000">
      <w:pPr>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t>T</w:t>
      </w:r>
      <w:r>
        <w:rPr>
          <w:rFonts w:ascii="Times New Roman" w:hAnsi="Times New Roman" w:cs="Times New Roman"/>
          <w:b/>
          <w:bCs/>
          <w:sz w:val="24"/>
          <w:szCs w:val="28"/>
        </w:rPr>
        <w:t>able S5.</w:t>
      </w:r>
      <w:r>
        <w:rPr>
          <w:rFonts w:ascii="Times New Roman" w:hAnsi="Times New Roman" w:cs="Times New Roman"/>
          <w:sz w:val="24"/>
          <w:szCs w:val="28"/>
        </w:rPr>
        <w:t xml:space="preserve"> The table of secondary metabolites synthesis gene clusters in </w:t>
      </w:r>
      <w:r>
        <w:rPr>
          <w:rFonts w:ascii="Times New Roman" w:eastAsia="等线" w:hAnsi="Times New Roman" w:cs="Times New Roman"/>
          <w:i/>
          <w:iCs/>
          <w:sz w:val="24"/>
          <w:szCs w:val="24"/>
        </w:rPr>
        <w:t>Pseudomonas</w:t>
      </w:r>
      <w:r>
        <w:rPr>
          <w:rFonts w:ascii="Times New Roman" w:eastAsia="等线" w:hAnsi="Times New Roman" w:cs="Times New Roman"/>
          <w:sz w:val="24"/>
          <w:szCs w:val="24"/>
        </w:rPr>
        <w:t>_sp1</w:t>
      </w:r>
      <w:r>
        <w:rPr>
          <w:rFonts w:ascii="Times New Roman" w:hAnsi="Times New Roman" w:cs="Times New Roman"/>
          <w:sz w:val="24"/>
          <w:szCs w:val="24"/>
        </w:rPr>
        <w:t>.</w:t>
      </w:r>
    </w:p>
    <w:p w14:paraId="6F819012" w14:textId="77777777" w:rsidR="00471529" w:rsidRDefault="00000000">
      <w:pPr>
        <w:widowControl/>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t>T</w:t>
      </w:r>
      <w:r>
        <w:rPr>
          <w:rFonts w:ascii="Times New Roman" w:hAnsi="Times New Roman" w:cs="Times New Roman"/>
          <w:b/>
          <w:bCs/>
          <w:sz w:val="24"/>
          <w:szCs w:val="28"/>
        </w:rPr>
        <w:t>able S6.</w:t>
      </w:r>
      <w:r>
        <w:rPr>
          <w:rFonts w:ascii="Times New Roman" w:hAnsi="Times New Roman" w:cs="Times New Roman"/>
          <w:sz w:val="24"/>
          <w:szCs w:val="28"/>
        </w:rPr>
        <w:t xml:space="preserve"> The table of secondary metabolites synthesis gene clusters in </w:t>
      </w:r>
      <w:r>
        <w:rPr>
          <w:rFonts w:ascii="Times New Roman" w:eastAsia="等线" w:hAnsi="Times New Roman" w:cs="Times New Roman"/>
          <w:i/>
          <w:iCs/>
          <w:sz w:val="24"/>
          <w:szCs w:val="24"/>
        </w:rPr>
        <w:t>Methylobacterium</w:t>
      </w:r>
      <w:r>
        <w:rPr>
          <w:rFonts w:ascii="Times New Roman" w:eastAsia="等线" w:hAnsi="Times New Roman" w:cs="Times New Roman"/>
          <w:sz w:val="24"/>
          <w:szCs w:val="24"/>
        </w:rPr>
        <w:t>_sp1</w:t>
      </w:r>
      <w:r>
        <w:rPr>
          <w:rFonts w:ascii="Times New Roman" w:hAnsi="Times New Roman" w:cs="Times New Roman"/>
          <w:sz w:val="24"/>
          <w:szCs w:val="24"/>
        </w:rPr>
        <w:t>.</w:t>
      </w:r>
    </w:p>
    <w:p w14:paraId="5880FAA6" w14:textId="77777777" w:rsidR="00471529" w:rsidRDefault="00000000">
      <w:pPr>
        <w:widowControl/>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t>T</w:t>
      </w:r>
      <w:r>
        <w:rPr>
          <w:rFonts w:ascii="Times New Roman" w:hAnsi="Times New Roman" w:cs="Times New Roman"/>
          <w:b/>
          <w:bCs/>
          <w:sz w:val="24"/>
          <w:szCs w:val="28"/>
        </w:rPr>
        <w:t>able S7.</w:t>
      </w:r>
      <w:r>
        <w:rPr>
          <w:rFonts w:ascii="Times New Roman" w:hAnsi="Times New Roman" w:cs="Times New Roman"/>
          <w:sz w:val="24"/>
          <w:szCs w:val="28"/>
        </w:rPr>
        <w:t xml:space="preserve"> The table of secondary metabolites synthesis gene clusters in </w:t>
      </w:r>
      <w:r>
        <w:rPr>
          <w:rFonts w:ascii="Times New Roman" w:eastAsia="等线" w:hAnsi="Times New Roman" w:cs="Times New Roman"/>
          <w:i/>
          <w:iCs/>
          <w:color w:val="000000"/>
          <w:sz w:val="24"/>
          <w:szCs w:val="24"/>
        </w:rPr>
        <w:t>Allorhizobium</w:t>
      </w:r>
      <w:r>
        <w:rPr>
          <w:rFonts w:ascii="Times New Roman" w:eastAsia="等线" w:hAnsi="Times New Roman" w:cs="Times New Roman"/>
          <w:color w:val="000000"/>
          <w:sz w:val="24"/>
          <w:szCs w:val="24"/>
        </w:rPr>
        <w:t>_sp1</w:t>
      </w:r>
      <w:r>
        <w:rPr>
          <w:rFonts w:ascii="Times New Roman" w:hAnsi="Times New Roman" w:cs="Times New Roman"/>
          <w:sz w:val="24"/>
          <w:szCs w:val="24"/>
        </w:rPr>
        <w:t>.</w:t>
      </w:r>
    </w:p>
    <w:p w14:paraId="671C92BC"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hint="eastAsia"/>
          <w:b/>
          <w:bCs/>
          <w:sz w:val="24"/>
          <w:szCs w:val="28"/>
        </w:rPr>
        <w:t>T</w:t>
      </w:r>
      <w:r>
        <w:rPr>
          <w:rFonts w:ascii="Times New Roman" w:hAnsi="Times New Roman" w:cs="Times New Roman"/>
          <w:b/>
          <w:bCs/>
          <w:sz w:val="24"/>
          <w:szCs w:val="28"/>
        </w:rPr>
        <w:t>able S8.</w:t>
      </w:r>
      <w:r>
        <w:rPr>
          <w:rFonts w:ascii="Times New Roman" w:hAnsi="Times New Roman" w:cs="Times New Roman"/>
          <w:sz w:val="24"/>
          <w:szCs w:val="28"/>
        </w:rPr>
        <w:t xml:space="preserve"> The minimum inhibitory concentration (MIC) of three phycospheric bacteria isolates</w:t>
      </w:r>
      <w:r>
        <w:rPr>
          <w:rFonts w:ascii="Times New Roman" w:hAnsi="Times New Roman" w:cs="Times New Roman" w:hint="eastAsia"/>
          <w:sz w:val="24"/>
          <w:szCs w:val="28"/>
        </w:rPr>
        <w:t>.</w:t>
      </w:r>
    </w:p>
    <w:p w14:paraId="4E362DBB"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hint="eastAsia"/>
          <w:b/>
          <w:bCs/>
          <w:sz w:val="24"/>
          <w:szCs w:val="28"/>
        </w:rPr>
        <w:t>T</w:t>
      </w:r>
      <w:r>
        <w:rPr>
          <w:rFonts w:ascii="Times New Roman" w:hAnsi="Times New Roman" w:cs="Times New Roman"/>
          <w:b/>
          <w:bCs/>
          <w:sz w:val="24"/>
          <w:szCs w:val="28"/>
        </w:rPr>
        <w:t>able S9.</w:t>
      </w:r>
      <w:r>
        <w:rPr>
          <w:rFonts w:ascii="Times New Roman" w:hAnsi="Times New Roman" w:cs="Times New Roman"/>
          <w:sz w:val="24"/>
          <w:szCs w:val="28"/>
        </w:rPr>
        <w:t xml:space="preserve"> The concentration of FF in the medium of each group in the co-culture experiment of </w:t>
      </w:r>
      <w:r>
        <w:rPr>
          <w:rFonts w:ascii="Times New Roman" w:hAnsi="Times New Roman" w:cs="Times New Roman"/>
          <w:i/>
          <w:iCs/>
          <w:sz w:val="24"/>
          <w:szCs w:val="28"/>
        </w:rPr>
        <w:t>Pseudomonas</w:t>
      </w:r>
      <w:r>
        <w:rPr>
          <w:rFonts w:ascii="Times New Roman" w:hAnsi="Times New Roman" w:cs="Times New Roman"/>
          <w:sz w:val="24"/>
          <w:szCs w:val="28"/>
        </w:rPr>
        <w:t xml:space="preserve">_sp1 and axenic </w:t>
      </w:r>
      <w:r>
        <w:rPr>
          <w:rFonts w:ascii="Times New Roman" w:hAnsi="Times New Roman" w:cs="Times New Roman"/>
          <w:i/>
          <w:iCs/>
          <w:sz w:val="24"/>
          <w:szCs w:val="28"/>
        </w:rPr>
        <w:t>A. pyrenoidosa</w:t>
      </w:r>
      <w:r>
        <w:rPr>
          <w:rFonts w:ascii="Times New Roman" w:hAnsi="Times New Roman" w:cs="Times New Roman" w:hint="eastAsia"/>
          <w:sz w:val="24"/>
          <w:szCs w:val="28"/>
        </w:rPr>
        <w:t>.</w:t>
      </w:r>
    </w:p>
    <w:p w14:paraId="0F854D4E" w14:textId="77777777" w:rsidR="00471529" w:rsidRDefault="00000000">
      <w:pPr>
        <w:widowControl/>
        <w:spacing w:line="360" w:lineRule="auto"/>
        <w:jc w:val="left"/>
        <w:rPr>
          <w:rFonts w:ascii="Times New Roman" w:hAnsi="Times New Roman" w:cs="Times New Roman"/>
          <w:b/>
          <w:bCs/>
          <w:sz w:val="24"/>
          <w:szCs w:val="28"/>
        </w:rPr>
      </w:pPr>
      <w:r>
        <w:rPr>
          <w:rFonts w:ascii="Times New Roman" w:hAnsi="Times New Roman" w:cs="Times New Roman" w:hint="eastAsia"/>
          <w:b/>
          <w:bCs/>
          <w:sz w:val="24"/>
          <w:szCs w:val="28"/>
        </w:rPr>
        <w:t xml:space="preserve">Table S10 </w:t>
      </w:r>
      <w:r>
        <w:rPr>
          <w:rFonts w:ascii="Times New Roman" w:hAnsi="Times New Roman" w:cs="Times New Roman" w:hint="eastAsia"/>
          <w:sz w:val="24"/>
          <w:szCs w:val="28"/>
        </w:rPr>
        <w:t>Groups for</w:t>
      </w:r>
      <w:r>
        <w:rPr>
          <w:rFonts w:ascii="Times New Roman" w:hAnsi="Times New Roman" w:cs="Times New Roman" w:hint="eastAsia"/>
          <w:b/>
          <w:bCs/>
          <w:sz w:val="24"/>
          <w:szCs w:val="28"/>
        </w:rPr>
        <w:t xml:space="preserve"> </w:t>
      </w:r>
      <w:r>
        <w:rPr>
          <w:rFonts w:ascii="Times New Roman" w:hAnsi="Times New Roman" w:cs="Times New Roman" w:hint="eastAsia"/>
          <w:sz w:val="24"/>
          <w:szCs w:val="28"/>
        </w:rPr>
        <w:t>pyridoxal addition experiments</w:t>
      </w:r>
    </w:p>
    <w:bookmarkEnd w:id="5"/>
    <w:p w14:paraId="07F3722C" w14:textId="77777777" w:rsidR="00471529" w:rsidRDefault="00000000">
      <w:pPr>
        <w:pageBreakBefore/>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Text S1. </w:t>
      </w:r>
      <w:bookmarkStart w:id="9" w:name="_Hlk182092299"/>
      <w:r>
        <w:rPr>
          <w:rFonts w:ascii="Times New Roman" w:hAnsi="Times New Roman" w:cs="Times New Roman"/>
          <w:b/>
          <w:sz w:val="24"/>
          <w:szCs w:val="24"/>
        </w:rPr>
        <w:t>Details of the pre-experiment</w:t>
      </w:r>
      <w:bookmarkEnd w:id="9"/>
    </w:p>
    <w:p w14:paraId="216FA461"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In the pre-experiment, </w:t>
      </w:r>
      <w:r>
        <w:rPr>
          <w:rFonts w:ascii="Times New Roman" w:hAnsi="Times New Roman" w:cs="Times New Roman" w:hint="eastAsia"/>
          <w:sz w:val="24"/>
          <w:szCs w:val="24"/>
        </w:rPr>
        <w:t xml:space="preserve">1 mL of PLA MPs stock solution (2 g/L) and 200 </w:t>
      </w:r>
      <w:proofErr w:type="spellStart"/>
      <w:r>
        <w:rPr>
          <w:rFonts w:ascii="Times New Roman" w:hAnsi="Times New Roman" w:cs="Times New Roman"/>
          <w:sz w:val="24"/>
          <w:szCs w:val="24"/>
        </w:rPr>
        <w:t>μ</w:t>
      </w:r>
      <w:r>
        <w:rPr>
          <w:rFonts w:ascii="Times New Roman" w:hAnsi="Times New Roman" w:cs="Times New Roman" w:hint="eastAsia"/>
          <w:sz w:val="24"/>
          <w:szCs w:val="24"/>
        </w:rPr>
        <w:t>L</w:t>
      </w:r>
      <w:proofErr w:type="spellEnd"/>
      <w:r>
        <w:rPr>
          <w:rFonts w:ascii="Times New Roman" w:hAnsi="Times New Roman" w:cs="Times New Roman" w:hint="eastAsia"/>
          <w:sz w:val="24"/>
          <w:szCs w:val="24"/>
        </w:rPr>
        <w:t xml:space="preserve"> of FF stock solution (0.1 g/L or 10 g/L) </w:t>
      </w:r>
      <w:r>
        <w:rPr>
          <w:rFonts w:ascii="Times New Roman" w:hAnsi="Times New Roman" w:cs="Times New Roman"/>
          <w:sz w:val="24"/>
          <w:szCs w:val="24"/>
        </w:rPr>
        <w:t xml:space="preserve">were added to the </w:t>
      </w:r>
      <w:r>
        <w:rPr>
          <w:rFonts w:ascii="Times New Roman" w:hAnsi="Times New Roman" w:cs="Times New Roman" w:hint="eastAsia"/>
          <w:sz w:val="24"/>
          <w:szCs w:val="24"/>
        </w:rPr>
        <w:t xml:space="preserve">200-mL </w:t>
      </w:r>
      <w:r>
        <w:rPr>
          <w:rFonts w:ascii="Times New Roman" w:hAnsi="Times New Roman" w:cs="Times New Roman"/>
          <w:sz w:val="24"/>
          <w:szCs w:val="24"/>
        </w:rPr>
        <w:t xml:space="preserve">medium cultured only with axenic </w:t>
      </w:r>
      <w:r>
        <w:rPr>
          <w:rFonts w:ascii="Times New Roman" w:hAnsi="Times New Roman" w:cs="Times New Roman"/>
          <w:i/>
          <w:iCs/>
          <w:sz w:val="24"/>
          <w:szCs w:val="24"/>
        </w:rPr>
        <w:t>A. pyrenoidosa</w:t>
      </w:r>
      <w:r>
        <w:rPr>
          <w:rFonts w:ascii="Times New Roman" w:hAnsi="Times New Roman" w:cs="Times New Roman"/>
          <w:sz w:val="24"/>
          <w:szCs w:val="24"/>
        </w:rPr>
        <w:t xml:space="preserve"> and the medium co-cultured with axenic </w:t>
      </w:r>
      <w:r>
        <w:rPr>
          <w:rFonts w:ascii="Times New Roman" w:hAnsi="Times New Roman" w:cs="Times New Roman"/>
          <w:i/>
          <w:iCs/>
          <w:sz w:val="24"/>
          <w:szCs w:val="24"/>
        </w:rPr>
        <w:t>A. pyrenoidosa</w:t>
      </w:r>
      <w:r>
        <w:rPr>
          <w:rFonts w:ascii="Times New Roman" w:hAnsi="Times New Roman" w:cs="Times New Roman"/>
          <w:sz w:val="24"/>
          <w:szCs w:val="24"/>
        </w:rPr>
        <w:t xml:space="preserve"> and bacteria. The experimental grouping and culture conditions were the same as those of the formal experiment. Previous studies showed that bacterial recruitment in the phycosphere of </w:t>
      </w:r>
      <w:r>
        <w:rPr>
          <w:rFonts w:ascii="Times New Roman" w:hAnsi="Times New Roman" w:cs="Times New Roman"/>
          <w:i/>
          <w:iCs/>
          <w:sz w:val="24"/>
          <w:szCs w:val="24"/>
        </w:rPr>
        <w:t>Chlorella</w:t>
      </w:r>
      <w:r>
        <w:rPr>
          <w:rFonts w:ascii="Times New Roman" w:hAnsi="Times New Roman" w:cs="Times New Roman"/>
          <w:sz w:val="24"/>
          <w:szCs w:val="24"/>
        </w:rPr>
        <w:t xml:space="preserve"> sp. reached a plateau within 7 days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&lt;EndNote&gt;&lt;Cite&gt;&lt;Author&gt;Krespach&lt;/Author&gt;&lt;Year&gt;2021&lt;/Year&gt;&lt;RecNum&gt;46&lt;/RecNum&gt;&lt;DisplayText&gt;[1]&lt;/DisplayText&gt;&lt;record&gt;&lt;rec-number&gt;46&lt;/rec-number&gt;&lt;foreign-keys&gt;&lt;key app="EN" db-id="vtefzvevx95ewhefeaspwdtta925xxe5xszf" timestamp="1695733260"&gt;46&lt;/key&gt;&lt;/foreign-keys&gt;&lt;ref-type name="Journal Article"&gt;17&lt;/ref-type&gt;&lt;contributors&gt;&lt;authors&gt;&lt;author&gt;Krespach, Mario K. C.&lt;/author&gt;&lt;author&gt;Stroe, Maria C.&lt;/author&gt;&lt;author&gt;Flak, Michal&lt;/author&gt;&lt;author&gt;Komor, Anna J.&lt;/author&gt;&lt;author&gt;Nietzsche, Sandor&lt;/author&gt;&lt;author&gt;Sasso, Severin&lt;/author&gt;&lt;author&gt;Hertweck, Christian&lt;/author&gt;&lt;author&gt;Brakhage, Axel A.&lt;/author&gt;&lt;/authors&gt;&lt;/contributors&gt;&lt;titles&gt;&lt;title&gt;Bacterial marginolactones trigger formation of algal gloeocapsoids, protective aggregates on the verge of multicellularity&lt;/title&gt;&lt;secondary-title&gt;Proceedings of the National Academy of Sciences&lt;/secondary-title&gt;&lt;/titles&gt;&lt;volume&gt;118&lt;/volume&gt;&lt;number&gt;45&lt;/number&gt;&lt;dates&gt;&lt;year&gt;2021&lt;/year&gt;&lt;/dates&gt;&lt;isbn&gt;0027-8424&amp;#xD;1091-6490&lt;/isbn&gt;&lt;urls&gt;&lt;/urls&gt;&lt;electronic-resource-num&gt;10.1073/pnas.2100892118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Therefore, to explore the effect of FF on bacterial colonization, we focused on the degradation of FF in the medium in the first 7 days of incubation. On days 0, 3, and 7, 1-mL algal liquid was taken through a 0.45-μm filter membrane to determine the concentration of FF in the filtrate by ultra-performance liquid chromatography mass spectrometry (UPLC-MS/MS). The result showed no significant change in FF concentration in each treatment (</w:t>
      </w:r>
      <w:r>
        <w:rPr>
          <w:rFonts w:ascii="Times New Roman" w:hAnsi="Times New Roman" w:cs="Times New Roman"/>
          <w:color w:val="0070C0"/>
          <w:sz w:val="24"/>
          <w:szCs w:val="24"/>
        </w:rPr>
        <w:t>Table S1</w:t>
      </w:r>
      <w:r>
        <w:rPr>
          <w:rFonts w:ascii="Times New Roman" w:hAnsi="Times New Roman" w:cs="Times New Roman"/>
          <w:sz w:val="24"/>
          <w:szCs w:val="24"/>
        </w:rPr>
        <w:t>). Therefore, we did not add additional FF to the co-culture system during the whole incubation period.</w:t>
      </w:r>
    </w:p>
    <w:p w14:paraId="5301DF06" w14:textId="77777777" w:rsidR="00471529" w:rsidRDefault="00471529">
      <w:pPr>
        <w:spacing w:line="360" w:lineRule="auto"/>
        <w:rPr>
          <w:rFonts w:ascii="Times New Roman" w:hAnsi="Times New Roman" w:cs="Times New Roman"/>
          <w:sz w:val="24"/>
          <w:szCs w:val="24"/>
        </w:rPr>
      </w:pPr>
    </w:p>
    <w:p w14:paraId="09D5D574"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S2. </w:t>
      </w:r>
      <w:bookmarkStart w:id="10" w:name="_Hlk182092321"/>
      <w:r>
        <w:rPr>
          <w:rFonts w:ascii="Times New Roman" w:hAnsi="Times New Roman" w:cs="Times New Roman"/>
          <w:b/>
          <w:sz w:val="24"/>
          <w:szCs w:val="24"/>
        </w:rPr>
        <w:t xml:space="preserve">Determination of physiological properties of </w:t>
      </w:r>
      <w:r>
        <w:rPr>
          <w:rFonts w:ascii="Times New Roman" w:hAnsi="Times New Roman" w:cs="Times New Roman"/>
          <w:b/>
          <w:i/>
          <w:iCs/>
          <w:sz w:val="24"/>
          <w:szCs w:val="24"/>
        </w:rPr>
        <w:t>A. pyrenoidosa</w:t>
      </w:r>
      <w:bookmarkEnd w:id="10"/>
    </w:p>
    <w:p w14:paraId="6B6A88AC" w14:textId="77777777" w:rsidR="00471529" w:rsidRDefault="00000000">
      <w:pPr>
        <w:spacing w:line="360" w:lineRule="auto"/>
        <w:rPr>
          <w:rFonts w:ascii="Times New Roman" w:hAnsi="Times New Roman" w:cs="Times New Roman"/>
          <w:b/>
          <w:bCs/>
          <w:sz w:val="24"/>
          <w:szCs w:val="24"/>
        </w:rPr>
      </w:pPr>
      <w:bookmarkStart w:id="11" w:name="OLE_LINK44"/>
      <w:r>
        <w:rPr>
          <w:rFonts w:ascii="Times New Roman" w:hAnsi="Times New Roman" w:cs="Times New Roman"/>
          <w:b/>
          <w:bCs/>
          <w:sz w:val="24"/>
          <w:szCs w:val="24"/>
        </w:rPr>
        <w:t>S2-1 Measurement of physiological indicators</w:t>
      </w:r>
    </w:p>
    <w:p w14:paraId="710A1DE6"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optical density (OD) of microalgal solution was measured at a wavelength of 680 nm every 48 h and then transferred to algal cell numbers through standard curves to determine the growth of </w:t>
      </w:r>
      <w:r>
        <w:rPr>
          <w:rFonts w:ascii="Times New Roman" w:hAnsi="Times New Roman" w:cs="Times New Roman"/>
          <w:i/>
          <w:iCs/>
          <w:sz w:val="24"/>
          <w:szCs w:val="24"/>
        </w:rPr>
        <w:t xml:space="preserve">A. pyrenoidosa </w:t>
      </w:r>
      <w:r>
        <w:rPr>
          <w:rFonts w:ascii="Times New Roman" w:hAnsi="Times New Roman" w:cs="Times New Roman"/>
          <w:sz w:val="24"/>
          <w:szCs w:val="24"/>
        </w:rPr>
        <w:t xml:space="preserve">in each treatment. At days 6, 12, 18, 30, 42, and 60 of incubation, </w:t>
      </w:r>
      <w:r>
        <w:rPr>
          <w:rFonts w:ascii="Times New Roman" w:hAnsi="Times New Roman" w:cs="Times New Roman" w:hint="eastAsia"/>
          <w:sz w:val="24"/>
          <w:szCs w:val="24"/>
        </w:rPr>
        <w:t xml:space="preserve">10 mL of </w:t>
      </w:r>
      <w:r>
        <w:rPr>
          <w:rFonts w:ascii="Times New Roman" w:hAnsi="Times New Roman" w:cs="Times New Roman"/>
          <w:sz w:val="24"/>
          <w:szCs w:val="24"/>
        </w:rPr>
        <w:t xml:space="preserve">microalgal suspensions </w:t>
      </w:r>
      <w:r>
        <w:rPr>
          <w:rFonts w:ascii="Times New Roman" w:hAnsi="Times New Roman" w:cs="Times New Roman" w:hint="eastAsia"/>
          <w:sz w:val="24"/>
          <w:szCs w:val="24"/>
        </w:rPr>
        <w:t>in</w:t>
      </w:r>
      <w:r>
        <w:rPr>
          <w:rFonts w:ascii="Times New Roman" w:hAnsi="Times New Roman" w:cs="Times New Roman"/>
          <w:sz w:val="24"/>
          <w:szCs w:val="24"/>
        </w:rPr>
        <w:t xml:space="preserve"> each treatment were collected for quantification of photosynthetic pigments, extracellular polymeric substances (EPS), and antioxidant capacity. Photosynthetic pigments, including chlorophyll a (Chl-a), chlorophyll b (Chl-b), and carotenoids, were measured using </w:t>
      </w:r>
      <w:r>
        <w:rPr>
          <w:rFonts w:ascii="Times New Roman" w:eastAsia="宋体" w:hAnsi="Times New Roman" w:cs="Times New Roman"/>
          <w:sz w:val="24"/>
          <w:szCs w:val="24"/>
        </w:rPr>
        <w:t>90% acetone</w:t>
      </w:r>
      <w:r>
        <w:rPr>
          <w:rFonts w:ascii="Times New Roman" w:hAnsi="Times New Roman" w:cs="Times New Roman"/>
          <w:sz w:val="24"/>
          <w:szCs w:val="24"/>
        </w:rPr>
        <w:t xml:space="preserve"> freezing extraction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&lt;EndNote&gt;&lt;Cite&gt;&lt;Author&gt;Jia&lt;/Author&gt;&lt;Year&gt;2023&lt;/Year&gt;&lt;RecNum&gt;3&lt;/RecNum&gt;&lt;DisplayText&gt;[2]&lt;/DisplayText&gt;&lt;record&gt;&lt;rec-number&gt;3&lt;/rec-number&gt;&lt;foreign-keys&gt;&lt;key app="EN" db-id="fvat95zdtx9t20expvnxvswm9zwvvdpt00xs" timestamp="1694764174"&gt;3&lt;/key&gt;&lt;/foreign-keys&gt;&lt;ref-type name="Journal Article"&gt;17&lt;/ref-type&gt;&lt;contributors&gt;&lt;authors&gt;&lt;author&gt;Jia, Jia&lt;/author&gt;&lt;author&gt;Liu, Qian&lt;/author&gt;&lt;author&gt;Wu, Chenxi&lt;/author&gt;&lt;/authors&gt;&lt;/contributors&gt;&lt;titles&gt;&lt;title&gt;Microplastic and antibiotic proliferated the colonization of specific bacteria and antibiotic resistance genes in the phycosphere of Chlorella pyrenoidosa&lt;/title&gt;&lt;secondary-title&gt;Journal of Hazardous Materials&lt;/secondary-title&gt;&lt;/titles&gt;&lt;periodical&gt;&lt;full-title&gt;Journal of Hazardous materials&lt;/full-title&gt;&lt;abbr-1&gt;J. Hazard. Mater.&lt;/abbr-1&gt;&lt;abbr-2&gt;J Hazard Mater&lt;/abbr-2&gt;&lt;/periodical&gt;&lt;pages&gt;131618-28&lt;/pages&gt;&lt;volume&gt;455&lt;/volume&gt;&lt;section&gt;131618&lt;/section&gt;&lt;dates&gt;&lt;year&gt;2023&lt;/year&gt;&lt;/dates&gt;&lt;isbn&gt;03043894&lt;/isbn&gt;&lt;urls&gt;&lt;/urls&gt;&lt;electronic-resource-num&gt;10.1016/j.jhazmat.2023.131618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EPS was extracted from </w:t>
      </w:r>
      <w:r>
        <w:rPr>
          <w:rFonts w:ascii="Times New Roman" w:hAnsi="Times New Roman" w:cs="Times New Roman"/>
          <w:i/>
          <w:iCs/>
          <w:sz w:val="24"/>
          <w:szCs w:val="24"/>
        </w:rPr>
        <w:t>A. pyrenoidosa</w:t>
      </w:r>
      <w:r>
        <w:rPr>
          <w:rFonts w:ascii="Times New Roman" w:hAnsi="Times New Roman" w:cs="Times New Roman"/>
          <w:sz w:val="24"/>
          <w:szCs w:val="24"/>
        </w:rPr>
        <w:t xml:space="preserve"> using a thermal extraction method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&lt;EndNote&gt;&lt;Cite&gt;&lt;Author&gt;Yan&lt;/Author&gt;&lt;Year&gt;2021&lt;/Year&gt;&lt;RecNum&gt;12&lt;/RecNum&gt;&lt;DisplayText&gt;[3]&lt;/DisplayText&gt;&lt;record&gt;&lt;rec-number&gt;12&lt;/rec-number&gt;&lt;foreign-keys&gt;&lt;key app="EN" db-id="fvat95zdtx9t20expvnxvswm9zwvvdpt00xs" timestamp="1694851779"&gt;12&lt;/key&gt;&lt;/foreign-keys&gt;&lt;ref-type name="Journal Article"&gt;17&lt;/ref-type&gt;&lt;contributors&gt;&lt;authors&gt;&lt;author&gt;Yan, Zhen&lt;/author&gt;&lt;author&gt;Xu, Limei&lt;/author&gt;&lt;author&gt;Zhang, Wenming&lt;/author&gt;&lt;author&gt;Yang, Guang&lt;/author&gt;&lt;author&gt;Zhao, Zhilin&lt;/author&gt;&lt;author&gt;Wang, Yong&lt;/author&gt;&lt;author&gt;Li, Xiaochen&lt;/author&gt;&lt;/authors&gt;&lt;/contributors&gt;&lt;titles&gt;&lt;title&gt;Comparative toxic effects of microplastics and nanoplastics on Chlamydomonas reinhardtii: Growth inhibition, oxidative stress, and cell morphology&lt;/title&gt;&lt;secondary-title&gt;Journal of Water Process Engineering&lt;/secondary-title&gt;&lt;/titles&gt;&lt;pages&gt;102291-301&lt;/pages&gt;&lt;volume&gt;43&lt;/volume&gt;&lt;section&gt;102291&lt;/section&gt;&lt;dates&gt;&lt;year&gt;2021&lt;/year&gt;&lt;/dates&gt;&lt;isbn&gt;22147144&lt;/isbn&gt;&lt;urls&gt;&lt;/urls&gt;&lt;electronic-resource-num&gt;10.1016/j.jwpe.2021.102291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 extracellular protein content was measured by the assay kit, and the exopolysaccharide content was measured by the phenol-sulfuric acid colorimetry method</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&lt;EndNote&gt;&lt;Cite&gt;&lt;Author&gt;Tan&lt;/Author&gt;&lt;Year&gt;2022&lt;/Year&gt;&lt;RecNum&gt;11&lt;/RecNum&gt;&lt;DisplayText&gt;[4]&lt;/DisplayText&gt;&lt;record&gt;&lt;rec-number&gt;11&lt;/rec-number&gt;&lt;foreign-keys&gt;&lt;key app="EN" db-id="fvat95zdtx9t20expvnxvswm9zwvvdpt00xs" timestamp="1694851728"&gt;11&lt;/key&gt;&lt;/foreign-keys&gt;&lt;ref-type name="Journal Article"&gt;17&lt;/ref-type&gt;&lt;contributors&gt;&lt;authors&gt;&lt;author&gt;Tan, Bingyuan&lt;/author&gt;&lt;author&gt;Hu, Pengfei&lt;/author&gt;&lt;author&gt;Niu, Xiaoxu&lt;/author&gt;&lt;author&gt;Zhang, Xing&lt;/author&gt;&lt;author&gt;Liu, Jiakun&lt;/author&gt;&lt;author&gt;Frenken, Thijs&lt;/author&gt;&lt;author&gt;Hamilton, Paul B.&lt;/author&gt;&lt;author&gt;Haffner, G. Douglas&lt;/author&gt;&lt;author&gt;Chaganti, S. Rao&lt;/author&gt;&lt;author&gt;Nwankwegu, Amechi S.&lt;/author&gt;&lt;author&gt;Zhang, Lei&lt;/author&gt;&lt;/authors&gt;&lt;/contributors&gt;&lt;titles&gt;&lt;title&gt;Microbial community day-to-day dynamics during a spring algal bloom event in a tributary of Three Gorges Reservoir&lt;/title&gt;&lt;secondary-title&gt;Science of The Total Environment&lt;/secondary-title&gt;&lt;/titles&gt;&lt;periodical&gt;&lt;full-title&gt;Science of the Total Environment&lt;/full-title&gt;&lt;abbr-1&gt;Sci. Total Environ.&lt;/abbr-1&gt;&lt;abbr-2&gt;Sci Total Environ&lt;/abbr-2&gt;&lt;/periodical&gt;&lt;pages&gt;156183-95&lt;/pages&gt;&lt;volume&gt;839&lt;/volume&gt;&lt;section&gt;156183&lt;/section&gt;&lt;dates&gt;&lt;year&gt;2022&lt;/year&gt;&lt;/dates&gt;&lt;isbn&gt;00489697&lt;/isbn&gt;&lt;urls&gt;&lt;/urls&gt;&lt;electronic-resource-num&gt;10.1016/j.scitotenv.2022.156183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 antioxidant capacity of </w:t>
      </w:r>
      <w:r>
        <w:rPr>
          <w:rFonts w:ascii="Times New Roman" w:hAnsi="Times New Roman" w:cs="Times New Roman"/>
          <w:i/>
          <w:iCs/>
          <w:sz w:val="24"/>
          <w:szCs w:val="24"/>
        </w:rPr>
        <w:t>A. pyrenoidosa</w:t>
      </w:r>
      <w:r>
        <w:rPr>
          <w:rFonts w:ascii="Times New Roman" w:hAnsi="Times New Roman" w:cs="Times New Roman"/>
          <w:sz w:val="24"/>
          <w:szCs w:val="24"/>
        </w:rPr>
        <w:t xml:space="preserve"> was quantified by measuring the malondialdehyde (MDA) content and the activities of superoxide dismutase (SOD), catalase (CAT), and ATPase. They were assayed by the </w:t>
      </w:r>
      <w:proofErr w:type="spellStart"/>
      <w:r>
        <w:rPr>
          <w:rFonts w:ascii="Times New Roman" w:hAnsi="Times New Roman" w:cs="Times New Roman"/>
          <w:sz w:val="24"/>
          <w:szCs w:val="24"/>
        </w:rPr>
        <w:t>thiobarbituric</w:t>
      </w:r>
      <w:proofErr w:type="spellEnd"/>
      <w:r>
        <w:rPr>
          <w:rFonts w:ascii="Times New Roman" w:hAnsi="Times New Roman" w:cs="Times New Roman"/>
          <w:sz w:val="24"/>
          <w:szCs w:val="24"/>
        </w:rPr>
        <w:t xml:space="preserve"> acid method, </w:t>
      </w:r>
      <w:r>
        <w:rPr>
          <w:rFonts w:ascii="Times New Roman" w:hAnsi="Times New Roman" w:cs="Times New Roman"/>
          <w:sz w:val="24"/>
          <w:szCs w:val="24"/>
        </w:rPr>
        <w:lastRenderedPageBreak/>
        <w:t xml:space="preserve">hydroxylamine method, ammonium molybdate method, and molybdenum blue method in turn, respectively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&lt;EndNote&gt;&lt;Cite&gt;&lt;Author&gt;Yusefi-Tanha&lt;/Author&gt;&lt;Year&gt;2020&lt;/Year&gt;&lt;RecNum&gt;163&lt;/RecNum&gt;&lt;DisplayText&gt;[5]&lt;/DisplayText&gt;&lt;record&gt;&lt;rec-number&gt;163&lt;/rec-number&gt;&lt;foreign-keys&gt;&lt;key app="EN" db-id="fvat95zdtx9t20expvnxvswm9zwvvdpt00xs" timestamp="1725505788"&gt;163&lt;/key&gt;&lt;/foreign-keys&gt;&lt;ref-type name="Journal Article"&gt;17&lt;/ref-type&gt;&lt;contributors&gt;&lt;authors&gt;&lt;author&gt;Yusefi-Tanha, Elham&lt;/author&gt;&lt;author&gt;Fallah, Sina&lt;/author&gt;&lt;author&gt;Rostamnejadi, Ali&lt;/author&gt;&lt;author&gt;Pokhrel, Lok Raj&lt;/author&gt;&lt;/authors&gt;&lt;/contributors&gt;&lt;titles&gt;&lt;title&gt;Zinc oxide nanoparticles (ZnONPs) as a novel nanofertilizer: Influence on seed yield and antioxidant defense system in soil grown soybean (Glycine max cv. Kowsar)&lt;/title&gt;&lt;secondary-title&gt;Science of The Total Environment&lt;/secondary-title&gt;&lt;/titles&gt;&lt;periodical&gt;&lt;full-title&gt;Science of the Total Environment&lt;/full-title&gt;&lt;abbr-1&gt;Sci. Total Environ.&lt;/abbr-1&gt;&lt;abbr-2&gt;Sci Total Environ&lt;/abbr-2&gt;&lt;/periodical&gt;&lt;pages&gt;140240-52&lt;/pages&gt;&lt;volume&gt;738&lt;/volume&gt;&lt;section&gt;140240&lt;/section&gt;&lt;dates&gt;&lt;year&gt;2020&lt;/year&gt;&lt;/dates&gt;&lt;isbn&gt;00489697&lt;/isbn&gt;&lt;urls&gt;&lt;/urls&gt;&lt;electronic-resource-num&gt;10.1016/j.scitotenv.2020.140240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hint="eastAsia"/>
          <w:sz w:val="24"/>
          <w:szCs w:val="24"/>
        </w:rPr>
        <w:t>.</w:t>
      </w:r>
    </w:p>
    <w:p w14:paraId="2C2A04A8"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S2-2 Morphological observation</w:t>
      </w:r>
    </w:p>
    <w:p w14:paraId="63015D7F"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For morphological observation, the morphology of </w:t>
      </w:r>
      <w:r>
        <w:rPr>
          <w:rFonts w:ascii="Times New Roman" w:hAnsi="Times New Roman" w:cs="Times New Roman"/>
          <w:i/>
          <w:iCs/>
          <w:sz w:val="24"/>
          <w:szCs w:val="24"/>
        </w:rPr>
        <w:t>A. pyrenoidosa</w:t>
      </w:r>
      <w:r>
        <w:rPr>
          <w:rFonts w:ascii="Times New Roman" w:hAnsi="Times New Roman" w:cs="Times New Roman"/>
          <w:sz w:val="24"/>
          <w:szCs w:val="24"/>
        </w:rPr>
        <w:t xml:space="preserve"> in each treatment was observed by scanning electron microscope (SEM) (S-4800, HITACHI, Japan) at the end of incubation. Briefly, </w:t>
      </w:r>
      <w:r>
        <w:rPr>
          <w:rFonts w:ascii="Times New Roman" w:hAnsi="Times New Roman" w:cs="Times New Roman"/>
          <w:i/>
          <w:iCs/>
          <w:sz w:val="24"/>
          <w:szCs w:val="24"/>
        </w:rPr>
        <w:t>A. pyrenoidosa</w:t>
      </w:r>
      <w:r>
        <w:rPr>
          <w:rFonts w:ascii="Times New Roman" w:hAnsi="Times New Roman" w:cs="Times New Roman"/>
          <w:sz w:val="24"/>
          <w:szCs w:val="24"/>
        </w:rPr>
        <w:t xml:space="preserve"> cells were centrifugally collected, fixed with 2.5% glutaraldehyde solution at 4</w:t>
      </w:r>
      <w:bookmarkStart w:id="12" w:name="OLE_LINK45"/>
      <w:r>
        <w:rPr>
          <w:rFonts w:ascii="Times New Roman" w:hAnsi="Times New Roman" w:cs="Times New Roman"/>
          <w:sz w:val="24"/>
          <w:szCs w:val="24"/>
        </w:rPr>
        <w:t>°C</w:t>
      </w:r>
      <w:bookmarkEnd w:id="12"/>
      <w:r>
        <w:rPr>
          <w:rFonts w:ascii="Times New Roman" w:hAnsi="Times New Roman" w:cs="Times New Roman"/>
          <w:sz w:val="24"/>
          <w:szCs w:val="24"/>
        </w:rPr>
        <w:t xml:space="preserve"> overnight, and rinsed three times with PBS. Subsequently, cells were dehydrated with an ascending series of ethanol (30%, 50%, 70%, 80%, 90%, and 100%), freeze-dried, and gold-sprayed for SEM observation.</w:t>
      </w:r>
    </w:p>
    <w:p w14:paraId="466CC161" w14:textId="77777777" w:rsidR="00471529" w:rsidRDefault="00471529">
      <w:pPr>
        <w:spacing w:line="360" w:lineRule="auto"/>
        <w:ind w:firstLineChars="200" w:firstLine="480"/>
        <w:rPr>
          <w:rFonts w:ascii="Times New Roman" w:hAnsi="Times New Roman" w:cs="Times New Roman"/>
          <w:sz w:val="24"/>
          <w:szCs w:val="24"/>
        </w:rPr>
      </w:pPr>
    </w:p>
    <w:p w14:paraId="554383D3" w14:textId="77777777" w:rsidR="00471529" w:rsidRDefault="00000000">
      <w:pPr>
        <w:spacing w:line="360" w:lineRule="auto"/>
        <w:rPr>
          <w:rFonts w:ascii="Times New Roman" w:hAnsi="Times New Roman" w:cs="Times New Roman"/>
          <w:b/>
          <w:sz w:val="24"/>
          <w:szCs w:val="24"/>
        </w:rPr>
      </w:pPr>
      <w:bookmarkStart w:id="13" w:name="_Hlk200122573"/>
      <w:bookmarkEnd w:id="11"/>
      <w:r>
        <w:rPr>
          <w:rFonts w:ascii="Times New Roman" w:hAnsi="Times New Roman" w:cs="Times New Roman"/>
          <w:b/>
          <w:sz w:val="24"/>
          <w:szCs w:val="24"/>
        </w:rPr>
        <w:t>Text S3. Transcriptomic analysis</w:t>
      </w:r>
    </w:p>
    <w:bookmarkEnd w:id="13"/>
    <w:p w14:paraId="1A250A79"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S3-1 RNA extraction</w:t>
      </w:r>
    </w:p>
    <w:p w14:paraId="1A0F8F1D"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Total RNA was extracted from </w:t>
      </w:r>
      <w:r>
        <w:rPr>
          <w:rFonts w:ascii="Times New Roman" w:hAnsi="Times New Roman" w:cs="Times New Roman"/>
          <w:i/>
          <w:iCs/>
          <w:sz w:val="24"/>
          <w:szCs w:val="24"/>
        </w:rPr>
        <w:t>A. pyrenoidosa</w:t>
      </w:r>
      <w:r>
        <w:rPr>
          <w:rFonts w:ascii="Times New Roman" w:hAnsi="Times New Roman" w:cs="Times New Roman"/>
          <w:sz w:val="24"/>
          <w:szCs w:val="24"/>
        </w:rPr>
        <w:t xml:space="preserve"> cells using </w:t>
      </w:r>
      <w:proofErr w:type="spellStart"/>
      <w:r>
        <w:rPr>
          <w:rFonts w:ascii="Times New Roman" w:hAnsi="Times New Roman" w:cs="Times New Roman"/>
          <w:sz w:val="24"/>
          <w:szCs w:val="24"/>
        </w:rPr>
        <w:t>TRIzol</w:t>
      </w:r>
      <w:proofErr w:type="spellEnd"/>
      <w:r>
        <w:rPr>
          <w:rFonts w:ascii="Times New Roman" w:hAnsi="Times New Roman" w:cs="Times New Roman"/>
          <w:sz w:val="24"/>
          <w:szCs w:val="24"/>
        </w:rPr>
        <w:t xml:space="preserve">® Reagent. Then RNA quality was determined by the 5300 </w:t>
      </w:r>
      <w:proofErr w:type="spellStart"/>
      <w:r>
        <w:rPr>
          <w:rFonts w:ascii="Times New Roman" w:hAnsi="Times New Roman" w:cs="Times New Roman"/>
          <w:sz w:val="24"/>
          <w:szCs w:val="24"/>
        </w:rPr>
        <w:t>Bioanalyser</w:t>
      </w:r>
      <w:proofErr w:type="spellEnd"/>
      <w:r>
        <w:rPr>
          <w:rFonts w:ascii="Times New Roman" w:hAnsi="Times New Roman" w:cs="Times New Roman"/>
          <w:sz w:val="24"/>
          <w:szCs w:val="24"/>
        </w:rPr>
        <w:t xml:space="preserve"> (Agilent) and quantified using the ND-2000 (</w:t>
      </w:r>
      <w:proofErr w:type="spellStart"/>
      <w:r>
        <w:rPr>
          <w:rFonts w:ascii="Times New Roman" w:hAnsi="Times New Roman" w:cs="Times New Roman"/>
          <w:sz w:val="24"/>
          <w:szCs w:val="24"/>
        </w:rPr>
        <w:t>NanoDrop</w:t>
      </w:r>
      <w:proofErr w:type="spellEnd"/>
      <w:r>
        <w:rPr>
          <w:rFonts w:ascii="Times New Roman" w:hAnsi="Times New Roman" w:cs="Times New Roman"/>
          <w:sz w:val="24"/>
          <w:szCs w:val="24"/>
        </w:rPr>
        <w:t xml:space="preserve"> Technologies). Only a high-quality RNA sample (OD260/280 = 1.8~2.2, OD260/230 ≥ 2.0, RQN ≥ 6.5) was used to construct the sequencing library.</w:t>
      </w:r>
    </w:p>
    <w:p w14:paraId="61F20621"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S3-2 Library preparation and sequencing</w:t>
      </w:r>
    </w:p>
    <w:p w14:paraId="1CE1FB7A"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RNA-seq transcriptome library was prepared following Illumina® Stranded mRNA Prep, Ligation (San Diego, CA) using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 of total RNA. Shortly, messenger RNA was isolated according to the </w:t>
      </w:r>
      <w:proofErr w:type="spellStart"/>
      <w:r>
        <w:rPr>
          <w:rFonts w:ascii="Times New Roman" w:hAnsi="Times New Roman" w:cs="Times New Roman"/>
          <w:sz w:val="24"/>
          <w:szCs w:val="24"/>
        </w:rPr>
        <w:t>polyA</w:t>
      </w:r>
      <w:proofErr w:type="spellEnd"/>
      <w:r>
        <w:rPr>
          <w:rFonts w:ascii="Times New Roman" w:hAnsi="Times New Roman" w:cs="Times New Roman"/>
          <w:sz w:val="24"/>
          <w:szCs w:val="24"/>
        </w:rPr>
        <w:t xml:space="preserve"> selection method by oligo (dT) beads, and then fragmented by the fragmentation buffer first. Secondly, double-stranded cDNA was synthesized using a </w:t>
      </w:r>
      <w:proofErr w:type="spellStart"/>
      <w:r>
        <w:rPr>
          <w:rFonts w:ascii="Times New Roman" w:hAnsi="Times New Roman" w:cs="Times New Roman"/>
          <w:sz w:val="24"/>
          <w:szCs w:val="24"/>
        </w:rPr>
        <w:t>SuperScript</w:t>
      </w:r>
      <w:proofErr w:type="spellEnd"/>
      <w:r>
        <w:rPr>
          <w:rFonts w:ascii="Times New Roman" w:hAnsi="Times New Roman" w:cs="Times New Roman"/>
          <w:sz w:val="24"/>
          <w:szCs w:val="24"/>
        </w:rPr>
        <w:t xml:space="preserve"> double-stranded cDNA synthesis kit (Invitrogen, CA) with random hexamer primers. Then the synthesized cDNA was subjected to end-repair, phosphorylation, and adapter addition according to the library construction protocol. Libraries were size-selected for cDNA target fragments of 300 bp on 2% Low Range Ultra Agarose, followed by PCR amplification using Phusion DNA polymerase (NEB) for 15 PCR cycles. After being quantified by Qubit 4.0, the sequencing library was performed on the </w:t>
      </w:r>
      <w:proofErr w:type="spellStart"/>
      <w:r>
        <w:rPr>
          <w:rFonts w:ascii="Times New Roman" w:hAnsi="Times New Roman" w:cs="Times New Roman"/>
          <w:sz w:val="24"/>
          <w:szCs w:val="24"/>
        </w:rPr>
        <w:t>NovaSeq</w:t>
      </w:r>
      <w:proofErr w:type="spellEnd"/>
      <w:r>
        <w:rPr>
          <w:rFonts w:ascii="Times New Roman" w:hAnsi="Times New Roman" w:cs="Times New Roman"/>
          <w:sz w:val="24"/>
          <w:szCs w:val="24"/>
        </w:rPr>
        <w:t xml:space="preserve"> X Plus platform (PE150) using the </w:t>
      </w:r>
      <w:proofErr w:type="spellStart"/>
      <w:r>
        <w:rPr>
          <w:rFonts w:ascii="Times New Roman" w:hAnsi="Times New Roman" w:cs="Times New Roman"/>
          <w:sz w:val="24"/>
          <w:szCs w:val="24"/>
        </w:rPr>
        <w:t>NovaSeq</w:t>
      </w:r>
      <w:proofErr w:type="spellEnd"/>
      <w:r>
        <w:rPr>
          <w:rFonts w:ascii="Times New Roman" w:hAnsi="Times New Roman" w:cs="Times New Roman"/>
          <w:sz w:val="24"/>
          <w:szCs w:val="24"/>
        </w:rPr>
        <w:t xml:space="preserve"> Reagent Kit.</w:t>
      </w:r>
    </w:p>
    <w:p w14:paraId="247948D8"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S3-3 Quality control and De novo Assembly</w:t>
      </w:r>
    </w:p>
    <w:p w14:paraId="5BEC51EC"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raw paired-end reads were trimmed and quality controlled by </w:t>
      </w:r>
      <w:proofErr w:type="spellStart"/>
      <w:r>
        <w:rPr>
          <w:rFonts w:ascii="Times New Roman" w:hAnsi="Times New Roman" w:cs="Times New Roman"/>
          <w:sz w:val="24"/>
          <w:szCs w:val="24"/>
        </w:rPr>
        <w:t>fastp</w:t>
      </w:r>
      <w:proofErr w:type="spellEnd"/>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&lt;EndNote&gt;&lt;Cite&gt;&lt;Author&gt;Chen&lt;/Author&gt;&lt;Year&gt;2018&lt;/Year&gt;&lt;RecNum&gt;38&lt;/RecNum&gt;&lt;DisplayText&gt;[6]&lt;/DisplayText&gt;&lt;record&gt;&lt;rec-number&gt;38&lt;/rec-number&gt;&lt;foreign-keys&gt;&lt;key app="EN" db-id="vtefzvevx95ewhefeaspwdtta925xxe5xszf" timestamp="1695301701"&gt;38&lt;/key&gt;&lt;/foreign-keys&gt;&lt;ref-type name="Journal Article"&gt;17&lt;/ref-type&gt;&lt;contributors&gt;&lt;authors&gt;&lt;author&gt;Chen, Shifu&lt;/author&gt;&lt;author&gt;Zhou, Yanqing&lt;/author&gt;&lt;author&gt;Chen, Yaru&lt;/author&gt;&lt;author&gt;Gu, Jia&lt;/author&gt;&lt;/authors&gt;&lt;/contributors&gt;&lt;titles&gt;&lt;title&gt;fastp: an ultra-fast all-in-one FASTQ preprocessor&lt;/title&gt;&lt;secondary-title&gt;Bioinformatics&lt;/secondary-title&gt;&lt;/titles&gt;&lt;periodical&gt;&lt;full-title&gt;Bioinformatics&lt;/full-title&gt;&lt;/periodical&gt;&lt;pages&gt;i884-i890&lt;/pages&gt;&lt;volume&gt;34&lt;/volume&gt;&lt;number&gt;17&lt;/number&gt;&lt;section&gt;i884&lt;/section&gt;&lt;dates&gt;&lt;year&gt;2018&lt;/year&gt;&lt;/dates&gt;&lt;isbn&gt;1367-4803&amp;#xD;1367-4811&lt;/isbn&gt;&lt;urls&gt;&lt;/urls&gt;&lt;electronic-resource-num&gt;10.1093/bioinformatics/bty560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t xml:space="preserve"> with default parameters. Then, clean data from the samples were used to do de novo assembly with Trinity</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&lt;EndNote&gt;&lt;Cite&gt;&lt;Author&gt;Grabherr&lt;/Author&gt;&lt;Year&gt;2011&lt;/Year&gt;&lt;RecNum&gt;145&lt;/RecNum&gt;&lt;DisplayText&gt;[7]&lt;/DisplayText&gt;&lt;record&gt;&lt;rec-number&gt;145&lt;/rec-number&gt;&lt;foreign-keys&gt;&lt;key app="EN" db-id="fvat95zdtx9t20expvnxvswm9zwvvdpt00xs" timestamp="1713426020"&gt;145&lt;/key&gt;&lt;/foreign-keys&gt;&lt;ref-type name="Journal Article"&gt;17&lt;/ref-type&gt;&lt;contributors&gt;&lt;authors&gt;&lt;author&gt;Grabherr, Manfred G.&lt;/author&gt;&lt;author&gt;Haas, Brian J.&lt;/author&gt;&lt;author&gt;Yassour, Moran&lt;/author&gt;&lt;author&gt;Levin, Joshua Z.&lt;/author&gt;&lt;author&gt;Thompson, Dawn A.&lt;/author&gt;&lt;author&gt;Amit, Ido&lt;/author&gt;&lt;author&gt;Adiconis, Xian&lt;/author&gt;&lt;author&gt;Fan, Lin&lt;/author&gt;&lt;author&gt;Raychowdhury, Raktima&lt;/author&gt;&lt;author&gt;Zeng, Qiandong&lt;/author&gt;&lt;author&gt;Chen, Zehua&lt;/author&gt;&lt;author&gt;Mauceli, Evan&lt;/author&gt;&lt;author&gt;Hacohen, Nir&lt;/author&gt;&lt;author&gt;Gnirke, Andreas&lt;/author&gt;&lt;author&gt;Rhind, Nicholas&lt;/author&gt;&lt;author&gt;di Palma, Federica&lt;/author&gt;&lt;author&gt;Birren, Bruce W.&lt;/author&gt;&lt;author&gt;Nusbaum, Chad&lt;/author&gt;&lt;author&gt;Lindblad-Toh, Kerstin&lt;/author&gt;&lt;author&gt;Friedman, Nir&lt;/author&gt;&lt;author&gt;Regev, Aviv&lt;/author&gt;&lt;/authors&gt;&lt;/contributors&gt;&lt;titles&gt;&lt;title&gt;Full-length transcriptome assembly from RNA-Seq data without a reference genome&lt;/title&gt;&lt;secondary-title&gt;Nature Biotechnology&lt;/secondary-title&gt;&lt;/titles&gt;&lt;periodical&gt;&lt;full-title&gt;Nature Biotechnology&lt;/full-title&gt;&lt;abbr-1&gt;Nat. Biotechnol.&lt;/abbr-1&gt;&lt;abbr-2&gt;Nat Biotechnol&lt;/abbr-2&gt;&lt;/periodical&gt;&lt;pages&gt;644-652&lt;/pages&gt;&lt;volume&gt;29&lt;/volume&gt;&lt;number&gt;7&lt;/number&gt;&lt;section&gt;644&lt;/section&gt;&lt;dates&gt;&lt;year&gt;2011&lt;/year&gt;&lt;/dates&gt;&lt;isbn&gt;1087-0156&amp;#xD;1546-1696&lt;/isbn&gt;&lt;urls&gt;&lt;/urls&gt;&lt;electronic-resource-num&gt;10.1038/nbt.1883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To increase the assembly quality, all the assembled sequences were filtered by CD-HIT</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&lt;EndNote&gt;&lt;Cite&gt;&lt;Author&gt;Fu&lt;/Author&gt;&lt;Year&gt;2012&lt;/Year&gt;&lt;RecNum&gt;41&lt;/RecNum&gt;&lt;DisplayText&gt;[8]&lt;/DisplayText&gt;&lt;record&gt;&lt;rec-number&gt;41&lt;/rec-number&gt;&lt;foreign-keys&gt;&lt;key app="EN" db-id="vtefzvevx95ewhefeaspwdtta925xxe5xszf" timestamp="1695302228"&gt;41&lt;/key&gt;&lt;/foreign-keys&gt;&lt;ref-type name="Journal Article"&gt;17&lt;/ref-type&gt;&lt;contributors&gt;&lt;authors&gt;&lt;author&gt;Fu, Limin&lt;/author&gt;&lt;author&gt;Niu, Beifang&lt;/author&gt;&lt;author&gt;Zhu, Zhengwei&lt;/author&gt;&lt;author&gt;Wu, Sitao&lt;/author&gt;&lt;author&gt;Li, Weizhong&lt;/author&gt;&lt;/authors&gt;&lt;/contributors&gt;&lt;titles&gt;&lt;title&gt;CD-HIT: accelerated for clustering the next-generation sequencing data&lt;/title&gt;&lt;secondary-title&gt;Bioinformatics&lt;/secondary-title&gt;&lt;/titles&gt;&lt;periodical&gt;&lt;full-title&gt;Bioinformatics&lt;/full-title&gt;&lt;/periodical&gt;&lt;pages&gt;3150-3152&lt;/pages&gt;&lt;volume&gt;28&lt;/volume&gt;&lt;number&gt;23&lt;/number&gt;&lt;section&gt;3150&lt;/section&gt;&lt;dates&gt;&lt;year&gt;2012&lt;/year&gt;&lt;/dates&gt;&lt;isbn&gt;1367-4803&amp;#xD;1367-4811&lt;/isbn&gt;&lt;urls&gt;&lt;/urls&gt;&lt;electronic-resource-num&gt;10.1093/bioinformatics/bts565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ascii="Times New Roman" w:hAnsi="Times New Roman" w:cs="Times New Roman"/>
          <w:sz w:val="24"/>
          <w:szCs w:val="24"/>
        </w:rPr>
        <w:t xml:space="preserve"> and </w:t>
      </w:r>
      <w:proofErr w:type="spellStart"/>
      <w:r>
        <w:rPr>
          <w:rFonts w:ascii="Times New Roman" w:hAnsi="Times New Roman" w:cs="Times New Roman"/>
          <w:sz w:val="24"/>
          <w:szCs w:val="24"/>
        </w:rPr>
        <w:t>TransRate</w:t>
      </w:r>
      <w:proofErr w:type="spellEnd"/>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&lt;EndNote&gt;&lt;Cite&gt;&lt;Author&gt;Smith-Unna&lt;/Author&gt;&lt;Year&gt;2016&lt;/Year&gt;&lt;RecNum&gt;146&lt;/RecNum&gt;&lt;DisplayText&gt;[9]&lt;/DisplayText&gt;&lt;record&gt;&lt;rec-number&gt;146&lt;/rec-number&gt;&lt;foreign-keys&gt;&lt;key app="EN" db-id="fvat95zdtx9t20expvnxvswm9zwvvdpt00xs" timestamp="1713426151"&gt;146&lt;/key&gt;&lt;/foreign-keys&gt;&lt;ref-type name="Journal Article"&gt;17&lt;/ref-type&gt;&lt;contributors&gt;&lt;authors&gt;&lt;author&gt;Smith-Unna, Richard&lt;/author&gt;&lt;author&gt;Boursnell, Chris&lt;/author&gt;&lt;author&gt;Patro, Rob&lt;/author&gt;&lt;author&gt;Hibberd, Julian M.&lt;/author&gt;&lt;author&gt;Kelly, Steven&lt;/author&gt;&lt;/authors&gt;&lt;/contributors&gt;&lt;titles&gt;&lt;title&gt;TransRate: reference-free quality assessment of de novo transcriptome assemblies&lt;/title&gt;&lt;secondary-title&gt;Genome Research&lt;/secondary-title&gt;&lt;/titles&gt;&lt;periodical&gt;&lt;full-title&gt;Genome Research&lt;/full-title&gt;&lt;abbr-1&gt;Genome Res.&lt;/abbr-1&gt;&lt;/periodical&gt;&lt;pages&gt;1134-1144&lt;/pages&gt;&lt;volume&gt;26&lt;/volume&gt;&lt;number&gt;8&lt;/number&gt;&lt;section&gt;1134&lt;/section&gt;&lt;dates&gt;&lt;year&gt;2016&lt;/year&gt;&lt;/dates&gt;&lt;isbn&gt;1088-9051&amp;#xD;1549-5469&lt;/isbn&gt;&lt;urls&gt;&lt;/urls&gt;&lt;electronic-resource-num&gt;10.1101/gr.196469.115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t xml:space="preserve"> and assessed with BUSCO (Benchmarking Universal Single-Copy Orthologs)</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&lt;EndNote&gt;&lt;Cite&gt;&lt;Author&gt;Manni&lt;/Author&gt;&lt;Year&gt;2021&lt;/Year&gt;&lt;RecNum&gt;160&lt;/RecNum&gt;&lt;DisplayText&gt;[10]&lt;/DisplayText&gt;&lt;record&gt;&lt;rec-number&gt;160&lt;/rec-number&gt;&lt;foreign-keys&gt;&lt;key app="EN" db-id="vtefzvevx95ewhefeaspwdtta925xxe5xszf" timestamp="1749643645"&gt;160&lt;/key&gt;&lt;/foreign-keys&gt;&lt;ref-type name="Journal Article"&gt;17&lt;/ref-type&gt;&lt;contributors&gt;&lt;authors&gt;&lt;author&gt;Manni, Mosè&lt;/author&gt;&lt;author&gt;Berkeley, Matthew R.&lt;/author&gt;&lt;author&gt;Seppey, Mathieu&lt;/author&gt;&lt;author&gt;Simão, Felipe A.&lt;/author&gt;&lt;author&gt;Zdobnov, Evgeny M.&lt;/author&gt;&lt;author&gt;Kelley, Joanna&lt;/author&gt;&lt;/authors&gt;&lt;/contributors&gt;&lt;titles&gt;&lt;title&gt;BUSCO update: Novel and streamlined workflows along with broader and deeper phylogenetic coverage for scoring of eukaryotic, prokaryotic, and viral genomes&lt;/title&gt;&lt;secondary-title&gt;Molecular Biology and Evolution&lt;/secondary-title&gt;&lt;/titles&gt;&lt;periodical&gt;&lt;full-title&gt;Molecular Biology and Evolution&lt;/full-title&gt;&lt;/periodical&gt;&lt;pages&gt;4647-4654&lt;/pages&gt;&lt;volume&gt;38&lt;/volume&gt;&lt;number&gt;10&lt;/number&gt;&lt;section&gt;4647&lt;/section&gt;&lt;dates&gt;&lt;year&gt;2021&lt;/year&gt;&lt;/dates&gt;&lt;isbn&gt;1537-1719&lt;/isbn&gt;&lt;urls&gt;&lt;/urls&gt;&lt;electronic-resource-num&gt;10.1093/molbev/msab199&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 assembled transcripts were searched against the NCBI protein NR, Clusters of Orthologous Groups of proteins (COG), and Kyoto Encyclopedia of Genes and Genomes (KEGG) databases using Diamond to identify the proteins that had the highest sequence similarity with the given transcripts to retrieve their function annotations, and a typical cut-off E-value less than 1.0×10</w:t>
      </w:r>
      <w:r>
        <w:rPr>
          <w:rFonts w:ascii="Times New Roman" w:hAnsi="Times New Roman" w:cs="Times New Roman"/>
          <w:sz w:val="24"/>
          <w:szCs w:val="24"/>
          <w:vertAlign w:val="superscript"/>
        </w:rPr>
        <w:t>−5</w:t>
      </w:r>
      <w:r>
        <w:rPr>
          <w:rFonts w:ascii="Times New Roman" w:hAnsi="Times New Roman" w:cs="Times New Roman"/>
          <w:sz w:val="24"/>
          <w:szCs w:val="24"/>
        </w:rPr>
        <w:t xml:space="preserve"> was set. The BLAST2GO</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&lt;EndNote&gt;&lt;Cite&gt;&lt;Author&gt;Conesa&lt;/Author&gt;&lt;Year&gt;2005&lt;/Year&gt;&lt;RecNum&gt;148&lt;/RecNum&gt;&lt;DisplayText&gt;[11]&lt;/DisplayText&gt;&lt;record&gt;&lt;rec-number&gt;148&lt;/rec-number&gt;&lt;foreign-keys&gt;&lt;key app="EN" db-id="fvat95zdtx9t20expvnxvswm9zwvvdpt00xs" timestamp="1713426487"&gt;148&lt;/key&gt;&lt;/foreign-keys&gt;&lt;ref-type name="Journal Article"&gt;17&lt;/ref-type&gt;&lt;contributors&gt;&lt;authors&gt;&lt;author&gt;Conesa, Ana&lt;/author&gt;&lt;author&gt;Götz, Stefan&lt;/author&gt;&lt;author&gt;García-Gómez, Juan Miguel&lt;/author&gt;&lt;author&gt;Terol, Javier&lt;/author&gt;&lt;author&gt;Talón, Manuel&lt;/author&gt;&lt;author&gt;Robles, Montserrat&lt;/author&gt;&lt;/authors&gt;&lt;/contributors&gt;&lt;titles&gt;&lt;title&gt;Blast2GO: a universal tool for annotation, visualization and analysis in functional genomics research&lt;/title&gt;&lt;secondary-title&gt;Bioinformatics&lt;/secondary-title&gt;&lt;/titles&gt;&lt;pages&gt;3674-3676&lt;/pages&gt;&lt;volume&gt;21&lt;/volume&gt;&lt;number&gt;18&lt;/number&gt;&lt;section&gt;3674&lt;/section&gt;&lt;dates&gt;&lt;year&gt;2005&lt;/year&gt;&lt;/dates&gt;&lt;isbn&gt;1367-4811&amp;#xD;1367-4803&lt;/isbn&gt;&lt;urls&gt;&lt;/urls&gt;&lt;electronic-resource-num&gt;10.1093/bioinformatics/bti610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r>
        <w:rPr>
          <w:rFonts w:ascii="Times New Roman" w:hAnsi="Times New Roman" w:cs="Times New Roman"/>
          <w:sz w:val="24"/>
          <w:szCs w:val="24"/>
        </w:rPr>
        <w:t xml:space="preserve"> program was used to get GO annotations of unique assembled transcripts for describing biological processes, molecular functions, and cellular components.</w:t>
      </w:r>
    </w:p>
    <w:p w14:paraId="140FA134" w14:textId="77777777" w:rsidR="00471529" w:rsidRDefault="00000000">
      <w:pPr>
        <w:spacing w:line="360" w:lineRule="auto"/>
        <w:rPr>
          <w:rFonts w:ascii="Times New Roman" w:hAnsi="Times New Roman" w:cs="Times New Roman"/>
          <w:b/>
          <w:bCs/>
          <w:color w:val="0070C0"/>
          <w:sz w:val="24"/>
          <w:szCs w:val="24"/>
        </w:rPr>
      </w:pPr>
      <w:r>
        <w:rPr>
          <w:rFonts w:ascii="Times New Roman" w:hAnsi="Times New Roman" w:cs="Times New Roman"/>
          <w:b/>
          <w:bCs/>
          <w:sz w:val="24"/>
          <w:szCs w:val="24"/>
        </w:rPr>
        <w:t>S3-4 Differential expression analysis and functional enrichment</w:t>
      </w:r>
    </w:p>
    <w:p w14:paraId="36A812E5"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To identify differentially expressed genes (DEGs) between two different groups, the expression level</w:t>
      </w:r>
      <w:r>
        <w:rPr>
          <w:rFonts w:ascii="Times New Roman" w:hAnsi="Times New Roman" w:cs="Times New Roman" w:hint="eastAsia"/>
          <w:sz w:val="24"/>
          <w:szCs w:val="24"/>
        </w:rPr>
        <w:t xml:space="preserve"> </w:t>
      </w:r>
      <w:r>
        <w:rPr>
          <w:rFonts w:ascii="Times New Roman" w:hAnsi="Times New Roman" w:cs="Times New Roman"/>
          <w:sz w:val="24"/>
          <w:szCs w:val="24"/>
        </w:rPr>
        <w:t>of each transcript was calculated according to the transcripts per million reads (TPM) method. RSEM</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&lt;EndNote&gt;&lt;Cite&gt;&lt;Author&gt;Li&lt;/Author&gt;&lt;Year&gt;2011&lt;/Year&gt;&lt;RecNum&gt;148&lt;/RecNum&gt;&lt;DisplayText&gt;[12]&lt;/DisplayText&gt;&lt;record&gt;&lt;rec-number&gt;148&lt;/rec-number&gt;&lt;foreign-keys&gt;&lt;key app="EN" db-id="vtefzvevx95ewhefeaspwdtta925xxe5xszf" timestamp="1749093125"&gt;148&lt;/key&gt;&lt;/foreign-keys&gt;&lt;ref-type name="Journal Article"&gt;17&lt;/ref-type&gt;&lt;contributors&gt;&lt;authors&gt;&lt;author&gt;Li, Bo&lt;/author&gt;&lt;author&gt;Dewey, Colin N.&lt;/author&gt;&lt;/authors&gt;&lt;/contributors&gt;&lt;titles&gt;&lt;title&gt;RSEM: accurate transcript quantification from RNA-Seq data with or without a reference genome&lt;/title&gt;&lt;secondary-title&gt;BMC Bioinformatics&lt;/secondary-title&gt;&lt;/titles&gt;&lt;periodical&gt;&lt;full-title&gt;BMC Bioinformatics&lt;/full-title&gt;&lt;/periodical&gt;&lt;volume&gt;12&lt;/volume&gt;&lt;number&gt;1&lt;/number&gt;&lt;dates&gt;&lt;year&gt;2011&lt;/year&gt;&lt;/dates&gt;&lt;isbn&gt;1471-2105&lt;/isbn&gt;&lt;urls&gt;&lt;/urls&gt;&lt;electronic-resource-num&gt;10.1186/1471-2105-12-323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r>
        <w:rPr>
          <w:rFonts w:ascii="Times New Roman" w:hAnsi="Times New Roman" w:cs="Times New Roman"/>
          <w:sz w:val="24"/>
          <w:szCs w:val="24"/>
        </w:rPr>
        <w:t xml:space="preserve"> was used to quantify gene abundances. DEGs with |log2FC|</w:t>
      </w:r>
      <w:r>
        <w:rPr>
          <w:rFonts w:ascii="宋体" w:eastAsia="宋体" w:hAnsi="宋体" w:cs="宋体" w:hint="eastAsia"/>
          <w:sz w:val="24"/>
          <w:szCs w:val="24"/>
        </w:rPr>
        <w:t>≧</w:t>
      </w:r>
      <w:r>
        <w:rPr>
          <w:rFonts w:ascii="Times New Roman" w:hAnsi="Times New Roman" w:cs="Times New Roman"/>
          <w:sz w:val="24"/>
          <w:szCs w:val="24"/>
        </w:rPr>
        <w:t xml:space="preserve">1 and FDR &lt; 0.05 were considered to be significantly different expressed genes. In addition, functional-enrichment analysis, including GO and KEGG, was performed to identify which DEGs were significantly enriched in GO terms and metabolic pathways at a Bonferroni-corrected P-value &lt; 0.05 compared with the whole-transcriptome background. GO functional enrichment and KEGG pathway analysis were carried out by </w:t>
      </w:r>
      <w:proofErr w:type="spellStart"/>
      <w:r>
        <w:rPr>
          <w:rFonts w:ascii="Times New Roman" w:hAnsi="Times New Roman" w:cs="Times New Roman"/>
          <w:sz w:val="24"/>
          <w:szCs w:val="24"/>
        </w:rPr>
        <w:t>Goatools</w:t>
      </w:r>
      <w:proofErr w:type="spellEnd"/>
      <w:r>
        <w:rPr>
          <w:rFonts w:ascii="Times New Roman" w:hAnsi="Times New Roman" w:cs="Times New Roman"/>
          <w:sz w:val="24"/>
          <w:szCs w:val="24"/>
        </w:rPr>
        <w:t xml:space="preserve"> and Python </w:t>
      </w:r>
      <w:proofErr w:type="spellStart"/>
      <w:r>
        <w:rPr>
          <w:rFonts w:ascii="Times New Roman" w:hAnsi="Times New Roman" w:cs="Times New Roman"/>
          <w:sz w:val="24"/>
          <w:szCs w:val="24"/>
        </w:rPr>
        <w:t>scipy</w:t>
      </w:r>
      <w:proofErr w:type="spellEnd"/>
      <w:r>
        <w:rPr>
          <w:rFonts w:ascii="Times New Roman" w:hAnsi="Times New Roman" w:cs="Times New Roman"/>
          <w:sz w:val="24"/>
          <w:szCs w:val="24"/>
        </w:rPr>
        <w:t xml:space="preserve"> software, respectively.</w:t>
      </w:r>
    </w:p>
    <w:p w14:paraId="68E9AE36" w14:textId="77777777" w:rsidR="00471529" w:rsidRDefault="00471529">
      <w:pPr>
        <w:spacing w:line="360" w:lineRule="auto"/>
        <w:rPr>
          <w:rFonts w:ascii="Times New Roman" w:hAnsi="Times New Roman" w:cs="Times New Roman"/>
          <w:sz w:val="24"/>
          <w:szCs w:val="24"/>
        </w:rPr>
      </w:pPr>
    </w:p>
    <w:p w14:paraId="67CD3158"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Text S4. Non-target metabolomic analysis</w:t>
      </w:r>
    </w:p>
    <w:p w14:paraId="45EAF41B"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S4-1 Metabolite Extraction</w:t>
      </w:r>
    </w:p>
    <w:p w14:paraId="61A3824E"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Metabolites were extracted from microalgal cells using a 400 µL methanol: water (4:1, v/v) solution with 0.02 mg/mL L-2-chlorophenylalanin as an internal standard. The mixture was allowed to settle at -10 °C and treated by High-throughput tissue crusher Wonbio-96c (Shanghai </w:t>
      </w:r>
      <w:proofErr w:type="spellStart"/>
      <w:r>
        <w:rPr>
          <w:rFonts w:ascii="Times New Roman" w:hAnsi="Times New Roman" w:cs="Times New Roman"/>
          <w:sz w:val="24"/>
          <w:szCs w:val="24"/>
        </w:rPr>
        <w:t>Wanbo</w:t>
      </w:r>
      <w:proofErr w:type="spellEnd"/>
      <w:r>
        <w:rPr>
          <w:rFonts w:ascii="Times New Roman" w:hAnsi="Times New Roman" w:cs="Times New Roman"/>
          <w:sz w:val="24"/>
          <w:szCs w:val="24"/>
        </w:rPr>
        <w:t xml:space="preserve"> Biotechnology Co., LTD) at 50 Hz for 6 min, </w:t>
      </w:r>
      <w:r>
        <w:rPr>
          <w:rFonts w:ascii="Times New Roman" w:hAnsi="Times New Roman" w:cs="Times New Roman"/>
          <w:sz w:val="24"/>
          <w:szCs w:val="24"/>
        </w:rPr>
        <w:lastRenderedPageBreak/>
        <w:t>then followed by ultrasound at 40 kHz for 30 min at 5 °C. The samples were placed at -20 °C for 30 min to precipitate proteins. After centrifugation at 13000 g at 4 °C for 15 min, the supernatant was carefully transferred to sample bottles for UHPLC-MS analysis.</w:t>
      </w:r>
    </w:p>
    <w:p w14:paraId="58CAC3A6"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S4-2 Quality control sample</w:t>
      </w:r>
    </w:p>
    <w:p w14:paraId="75C0A4EC"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As a part of the system conditioning and quality control process, a pooled quality control sample (QC) was prepared by mixing equal volumes of all samples. The QC samples were disposed of and tested in the same manner as the analytic samples. It helped to represent the whole sample set, which would be injected at regular intervals to monitor the stability of the analysis.</w:t>
      </w:r>
    </w:p>
    <w:p w14:paraId="7A83E7F8"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S4-3 UHPLC-MS analysis</w:t>
      </w:r>
    </w:p>
    <w:p w14:paraId="31670736"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instrument platform for LC-MS analysis is the UHPLC-Q </w:t>
      </w:r>
      <w:proofErr w:type="spellStart"/>
      <w:r>
        <w:rPr>
          <w:rFonts w:ascii="Times New Roman" w:hAnsi="Times New Roman" w:cs="Times New Roman"/>
          <w:sz w:val="24"/>
          <w:szCs w:val="24"/>
        </w:rPr>
        <w:t>Exactive</w:t>
      </w:r>
      <w:proofErr w:type="spellEnd"/>
      <w:r>
        <w:rPr>
          <w:rFonts w:ascii="Times New Roman" w:hAnsi="Times New Roman" w:cs="Times New Roman"/>
          <w:sz w:val="24"/>
          <w:szCs w:val="24"/>
        </w:rPr>
        <w:t xml:space="preserve"> system of </w:t>
      </w:r>
      <w:proofErr w:type="spellStart"/>
      <w:r>
        <w:rPr>
          <w:rFonts w:ascii="Times New Roman" w:hAnsi="Times New Roman" w:cs="Times New Roman"/>
          <w:sz w:val="24"/>
          <w:szCs w:val="24"/>
        </w:rPr>
        <w:t>Thermo</w:t>
      </w:r>
      <w:proofErr w:type="spellEnd"/>
      <w:r>
        <w:rPr>
          <w:rFonts w:ascii="Times New Roman" w:hAnsi="Times New Roman" w:cs="Times New Roman"/>
          <w:sz w:val="24"/>
          <w:szCs w:val="24"/>
        </w:rPr>
        <w:t xml:space="preserve"> Fisher Scientific.</w:t>
      </w:r>
    </w:p>
    <w:p w14:paraId="588C6EAB"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Chromatographic conditions</w:t>
      </w:r>
      <w:r>
        <w:rPr>
          <w:rFonts w:ascii="Times New Roman" w:hAnsi="Times New Roman" w:cs="Times New Roman" w:hint="eastAsia"/>
          <w:sz w:val="24"/>
          <w:szCs w:val="24"/>
        </w:rPr>
        <w:t>:</w:t>
      </w:r>
    </w:p>
    <w:p w14:paraId="1E7E7DF9"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of the sample was separated by an HSS T3 column (100 mm × 2.1 mm, 1.8 μm) and then entered into mass spectrometry detection. The mobile phases consisted of 0.1% formic acid in water: acetonitrile (95:5, v/v) (solvent A) and 0.1% formic acid in </w:t>
      </w:r>
      <w:proofErr w:type="spellStart"/>
      <w:r>
        <w:rPr>
          <w:rFonts w:ascii="Times New Roman" w:hAnsi="Times New Roman" w:cs="Times New Roman"/>
          <w:sz w:val="24"/>
          <w:szCs w:val="24"/>
        </w:rPr>
        <w:t>acetonitrile:isopropanol</w:t>
      </w:r>
      <w:proofErr w:type="spellEnd"/>
      <w:r>
        <w:rPr>
          <w:rFonts w:ascii="Times New Roman" w:hAnsi="Times New Roman" w:cs="Times New Roman"/>
          <w:sz w:val="24"/>
          <w:szCs w:val="24"/>
        </w:rPr>
        <w:t xml:space="preserve">: water (47.5:47.5:5, v/v/v) (solvent B). The mobile phase elution gradients are shown in </w:t>
      </w:r>
      <w:r>
        <w:rPr>
          <w:rFonts w:ascii="Times New Roman" w:hAnsi="Times New Roman" w:cs="Times New Roman"/>
          <w:color w:val="0070C0"/>
          <w:sz w:val="24"/>
          <w:szCs w:val="24"/>
        </w:rPr>
        <w:t>Table S2</w:t>
      </w:r>
      <w:r>
        <w:rPr>
          <w:rFonts w:ascii="Times New Roman" w:hAnsi="Times New Roman" w:cs="Times New Roman"/>
          <w:sz w:val="24"/>
          <w:szCs w:val="24"/>
        </w:rPr>
        <w:t xml:space="preserve">. The sample injection volume was 2 </w:t>
      </w:r>
      <w:r>
        <w:rPr>
          <w:rFonts w:ascii="Times New Roman" w:hAnsi="Times New Roman" w:cs="Times New Roman" w:hint="eastAsia"/>
          <w:sz w:val="24"/>
          <w:szCs w:val="24"/>
        </w:rPr>
        <w:t>µ</w:t>
      </w:r>
      <w:r>
        <w:rPr>
          <w:rFonts w:ascii="Times New Roman" w:hAnsi="Times New Roman" w:cs="Times New Roman"/>
          <w:sz w:val="24"/>
          <w:szCs w:val="24"/>
        </w:rPr>
        <w:t>L, and the flow rate was set to 0.4 mL/min. The column temperature was maintained at 40 °C. During the period of analysis, all these samples were stored at 4 °C.</w:t>
      </w:r>
    </w:p>
    <w:p w14:paraId="75B389DA"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MS conditions:</w:t>
      </w:r>
    </w:p>
    <w:p w14:paraId="03BC6C95"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mass spectrometric data were collected using a </w:t>
      </w:r>
      <w:proofErr w:type="spellStart"/>
      <w:r>
        <w:rPr>
          <w:rFonts w:ascii="Times New Roman" w:hAnsi="Times New Roman" w:cs="Times New Roman"/>
          <w:sz w:val="24"/>
          <w:szCs w:val="24"/>
        </w:rPr>
        <w:t>Thermo</w:t>
      </w:r>
      <w:proofErr w:type="spellEnd"/>
      <w:r>
        <w:rPr>
          <w:rFonts w:ascii="Times New Roman" w:hAnsi="Times New Roman" w:cs="Times New Roman"/>
          <w:sz w:val="24"/>
          <w:szCs w:val="24"/>
        </w:rPr>
        <w:t xml:space="preserve"> UHPLC-Q </w:t>
      </w:r>
      <w:proofErr w:type="spellStart"/>
      <w:r>
        <w:rPr>
          <w:rFonts w:ascii="Times New Roman" w:hAnsi="Times New Roman" w:cs="Times New Roman"/>
          <w:sz w:val="24"/>
          <w:szCs w:val="24"/>
        </w:rPr>
        <w:t>Exactive</w:t>
      </w:r>
      <w:proofErr w:type="spellEnd"/>
      <w:r>
        <w:rPr>
          <w:rFonts w:ascii="Times New Roman" w:hAnsi="Times New Roman" w:cs="Times New Roman"/>
          <w:sz w:val="24"/>
          <w:szCs w:val="24"/>
        </w:rPr>
        <w:t xml:space="preserve"> Mass Spectrometer equipped with an electrospray ionization (ESI) source operating in either positive or negative ion mode. The optimal conditions were set as follows: heater temperature, 400 °C; capillary temperature, 320 °C; sheath gas flow rate, 40 </w:t>
      </w:r>
      <w:proofErr w:type="gramStart"/>
      <w:r>
        <w:rPr>
          <w:rFonts w:ascii="Times New Roman" w:hAnsi="Times New Roman" w:cs="Times New Roman"/>
          <w:sz w:val="24"/>
          <w:szCs w:val="24"/>
        </w:rPr>
        <w:t>arb</w:t>
      </w:r>
      <w:proofErr w:type="gramEnd"/>
      <w:r>
        <w:rPr>
          <w:rFonts w:ascii="Times New Roman" w:hAnsi="Times New Roman" w:cs="Times New Roman"/>
          <w:sz w:val="24"/>
          <w:szCs w:val="24"/>
        </w:rPr>
        <w:t xml:space="preserve">; aux gas flow rate, 10 </w:t>
      </w:r>
      <w:proofErr w:type="gramStart"/>
      <w:r>
        <w:rPr>
          <w:rFonts w:ascii="Times New Roman" w:hAnsi="Times New Roman" w:cs="Times New Roman"/>
          <w:sz w:val="24"/>
          <w:szCs w:val="24"/>
        </w:rPr>
        <w:t>arb</w:t>
      </w:r>
      <w:proofErr w:type="gramEnd"/>
      <w:r>
        <w:rPr>
          <w:rFonts w:ascii="Times New Roman" w:hAnsi="Times New Roman" w:cs="Times New Roman"/>
          <w:sz w:val="24"/>
          <w:szCs w:val="24"/>
        </w:rPr>
        <w:t xml:space="preserve">; ion-spray voltage floating (ISVF), -2800 V in negative mode and 3500 V in positive mode, respectively; normalized collision energy, 20-40-60 V rolling for MS/MS. Full MS resolution was 70000, and MS/MS resolution was 17500. Data acquisition was performed with the Data Dependent Acquisition (DDA) mode. The </w:t>
      </w:r>
      <w:r>
        <w:rPr>
          <w:rFonts w:ascii="Times New Roman" w:hAnsi="Times New Roman" w:cs="Times New Roman"/>
          <w:sz w:val="24"/>
          <w:szCs w:val="24"/>
        </w:rPr>
        <w:lastRenderedPageBreak/>
        <w:t>detection was carried out over a mass range of 70-1050 m/z.</w:t>
      </w:r>
    </w:p>
    <w:p w14:paraId="6E9E3152"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S4-4 Data preprocessing and annotation</w:t>
      </w:r>
    </w:p>
    <w:p w14:paraId="45D70289"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After the mass spectrometry detection is completed, the raw data is preprocessed by Progenesis QI (Waters Corporation</w:t>
      </w:r>
      <w:r>
        <w:rPr>
          <w:rFonts w:ascii="Times New Roman" w:hAnsi="Times New Roman" w:cs="Times New Roman" w:hint="eastAsia"/>
          <w:sz w:val="24"/>
          <w:szCs w:val="24"/>
        </w:rPr>
        <w:t>,</w:t>
      </w:r>
      <w:r>
        <w:rPr>
          <w:rFonts w:ascii="Times New Roman" w:hAnsi="Times New Roman" w:cs="Times New Roman"/>
          <w:sz w:val="24"/>
          <w:szCs w:val="24"/>
        </w:rPr>
        <w:t xml:space="preserve"> Milford, USA) software, and a three-dimensional data matrix in CSV format is exported. The information in this three-dimensional matrix includes sample information, metabolite name, and mass spectral response intensity. Internal standard peaks, as well as any known false positive peaks (including noise, column bleed, and derivatized reagent peaks), were removed from the data matrix, </w:t>
      </w:r>
      <w:proofErr w:type="spellStart"/>
      <w:r>
        <w:rPr>
          <w:rFonts w:ascii="Times New Roman" w:hAnsi="Times New Roman" w:cs="Times New Roman"/>
          <w:sz w:val="24"/>
          <w:szCs w:val="24"/>
        </w:rPr>
        <w:t>deredundant</w:t>
      </w:r>
      <w:proofErr w:type="spellEnd"/>
      <w:r>
        <w:rPr>
          <w:rFonts w:ascii="Times New Roman" w:hAnsi="Times New Roman" w:cs="Times New Roman"/>
          <w:sz w:val="24"/>
          <w:szCs w:val="24"/>
        </w:rPr>
        <w:t>, and peak-pooled. At the same time, the metabolites were searched and identified, and the main databases were the HMDB</w:t>
      </w:r>
      <w:r>
        <w:rPr>
          <w:rFonts w:ascii="Times New Roman" w:hAnsi="Times New Roman" w:cs="Times New Roman" w:hint="eastAsia"/>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Metlin</w:t>
      </w:r>
      <w:proofErr w:type="spellEnd"/>
      <w:r>
        <w:rPr>
          <w:rFonts w:ascii="Times New Roman" w:hAnsi="Times New Roman" w:cs="Times New Roman"/>
          <w:sz w:val="24"/>
          <w:szCs w:val="24"/>
        </w:rPr>
        <w:t>, and Majorbio Database.</w:t>
      </w:r>
    </w:p>
    <w:p w14:paraId="64892366"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The data after the database search is uploaded to the Majorbio cloud platform (</w:t>
      </w:r>
      <w:hyperlink r:id="rId7" w:history="1">
        <w:r w:rsidR="00471529">
          <w:rPr>
            <w:rStyle w:val="ab"/>
            <w:rFonts w:ascii="Times New Roman" w:hAnsi="Times New Roman" w:cs="Times New Roman"/>
            <w:sz w:val="24"/>
            <w:szCs w:val="24"/>
          </w:rPr>
          <w:t>https://cloud.majorbio.com</w:t>
        </w:r>
      </w:hyperlink>
      <w:r>
        <w:rPr>
          <w:rFonts w:ascii="Times New Roman" w:hAnsi="Times New Roman" w:cs="Times New Roman"/>
          <w:sz w:val="24"/>
          <w:szCs w:val="24"/>
        </w:rPr>
        <w:t xml:space="preserve">) for data analysis. Metabolic features detected at least 80% </w:t>
      </w:r>
      <w:r>
        <w:rPr>
          <w:rFonts w:ascii="Times New Roman" w:hAnsi="Times New Roman" w:cs="Times New Roman" w:hint="eastAsia"/>
          <w:sz w:val="24"/>
          <w:szCs w:val="24"/>
        </w:rPr>
        <w:t>in</w:t>
      </w:r>
      <w:r>
        <w:rPr>
          <w:rFonts w:ascii="Times New Roman" w:hAnsi="Times New Roman" w:cs="Times New Roman"/>
          <w:sz w:val="24"/>
          <w:szCs w:val="24"/>
        </w:rPr>
        <w:t xml:space="preserve"> any set of samples were retained. After filtering, minimum metabolite values were imputed for specific samples in which the metabolite levels fell below the lower limit of quantitation, and each metabolic feature was normalized by sum. To reduce the errors caused by sample preparation and instrument instability, the response intensity of the sample mass spectrum peaks was normalized by the sum normalization method, and the normalized data matrix was obtained. At the same time, variables with relative standard deviation (RSD) &gt; 30% of QC samples were removed, and log10 logarithmization was performed to obtain the final data matrix for subsequent analysis.</w:t>
      </w:r>
    </w:p>
    <w:p w14:paraId="7C1FF3E4"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S4-5 Differential metabolites analysis</w:t>
      </w:r>
    </w:p>
    <w:p w14:paraId="70DC6AFC"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Perform variance analysis on the matrix file after data preprocessing. The R package </w:t>
      </w:r>
      <w:proofErr w:type="spellStart"/>
      <w:r>
        <w:rPr>
          <w:rFonts w:ascii="Times New Roman" w:hAnsi="Times New Roman" w:cs="Times New Roman"/>
          <w:sz w:val="24"/>
          <w:szCs w:val="24"/>
        </w:rPr>
        <w:t>ropls</w:t>
      </w:r>
      <w:proofErr w:type="spellEnd"/>
      <w:r>
        <w:rPr>
          <w:rFonts w:ascii="Times New Roman" w:hAnsi="Times New Roman" w:cs="Times New Roman"/>
          <w:sz w:val="24"/>
          <w:szCs w:val="24"/>
        </w:rPr>
        <w:t xml:space="preserve"> (Version 1.6.2) performed principal component analysis (PCA) and orthogonal least partial squares discriminant analysis (OPLS-DA), and used 7-cycle interactive validation to evaluate the stability of the model. In addition, students' t-test and fold difference analysis were performed. The selection of significantly different metabolites was determined based on the variable importance in the projection (VIP) obtained by the OPLS-DA model and the </w:t>
      </w:r>
      <w:r>
        <w:rPr>
          <w:rFonts w:ascii="Times New Roman" w:hAnsi="Times New Roman" w:cs="Times New Roman"/>
          <w:i/>
          <w:iCs/>
          <w:sz w:val="24"/>
          <w:szCs w:val="24"/>
        </w:rPr>
        <w:t>P</w:t>
      </w:r>
      <w:r>
        <w:rPr>
          <w:rFonts w:ascii="Times New Roman" w:hAnsi="Times New Roman" w:cs="Times New Roman"/>
          <w:sz w:val="24"/>
          <w:szCs w:val="24"/>
        </w:rPr>
        <w:t xml:space="preserve">-value of the Student's t-test, and the metabolites with VIP &gt; 1, </w:t>
      </w:r>
      <w:r>
        <w:rPr>
          <w:rFonts w:ascii="Times New Roman" w:hAnsi="Times New Roman" w:cs="Times New Roman"/>
          <w:i/>
          <w:iCs/>
          <w:sz w:val="24"/>
          <w:szCs w:val="24"/>
        </w:rPr>
        <w:t xml:space="preserve">P </w:t>
      </w:r>
      <w:r>
        <w:rPr>
          <w:rFonts w:ascii="Times New Roman" w:hAnsi="Times New Roman" w:cs="Times New Roman"/>
          <w:sz w:val="24"/>
          <w:szCs w:val="24"/>
        </w:rPr>
        <w:t xml:space="preserve">&lt; 0.05 were significantly differentially accumulated </w:t>
      </w:r>
      <w:r>
        <w:rPr>
          <w:rFonts w:ascii="Times New Roman" w:hAnsi="Times New Roman" w:cs="Times New Roman"/>
          <w:sz w:val="24"/>
          <w:szCs w:val="24"/>
        </w:rPr>
        <w:lastRenderedPageBreak/>
        <w:t>metabolites (DAMs).</w:t>
      </w:r>
    </w:p>
    <w:p w14:paraId="53013ACF"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Differential metabolites among the two groups were summarized and mapped into their biochemical pathways through metabolic enrichment and pathway analysis based on database search (KEGG, http://www. genome.jp/</w:t>
      </w:r>
      <w:proofErr w:type="spellStart"/>
      <w:r>
        <w:rPr>
          <w:rFonts w:ascii="Times New Roman" w:hAnsi="Times New Roman" w:cs="Times New Roman"/>
          <w:sz w:val="24"/>
          <w:szCs w:val="24"/>
        </w:rPr>
        <w:t>kegg</w:t>
      </w:r>
      <w:proofErr w:type="spellEnd"/>
      <w:r>
        <w:rPr>
          <w:rFonts w:ascii="Times New Roman" w:hAnsi="Times New Roman" w:cs="Times New Roman"/>
          <w:sz w:val="24"/>
          <w:szCs w:val="24"/>
        </w:rPr>
        <w:t xml:space="preserve">/). These metabolites can be classified according to the pathways they are involved or the functions they perform. Enrichment analysis was usually used to analyze a group of metabolites in a function node, whether they appear or not. The principle was that the annotation analysis of a single metabolite develops into an annotation analysis of a group of metabolites. The </w:t>
      </w:r>
      <w:proofErr w:type="spellStart"/>
      <w:r>
        <w:rPr>
          <w:rFonts w:ascii="Times New Roman" w:hAnsi="Times New Roman" w:cs="Times New Roman"/>
          <w:sz w:val="24"/>
          <w:szCs w:val="24"/>
        </w:rPr>
        <w:t>scipy.stats</w:t>
      </w:r>
      <w:proofErr w:type="spellEnd"/>
      <w:r>
        <w:rPr>
          <w:rFonts w:ascii="Times New Roman" w:hAnsi="Times New Roman" w:cs="Times New Roman"/>
          <w:sz w:val="24"/>
          <w:szCs w:val="24"/>
        </w:rPr>
        <w:t xml:space="preserve"> (Python packages) (https://docs.scipy.org/doc/scipy/) was exploited to identify statistically significantly enriched pathways using Fisher's exact test.</w:t>
      </w:r>
    </w:p>
    <w:p w14:paraId="7139FB60" w14:textId="77777777" w:rsidR="00471529" w:rsidRDefault="00471529">
      <w:pPr>
        <w:spacing w:line="360" w:lineRule="auto"/>
        <w:rPr>
          <w:rFonts w:ascii="Times New Roman" w:hAnsi="Times New Roman" w:cs="Times New Roman"/>
          <w:sz w:val="24"/>
          <w:szCs w:val="24"/>
        </w:rPr>
      </w:pPr>
    </w:p>
    <w:p w14:paraId="586D8C75"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S5. </w:t>
      </w:r>
      <w:bookmarkStart w:id="14" w:name="OLE_LINK11"/>
      <w:r>
        <w:rPr>
          <w:rFonts w:ascii="Times New Roman" w:hAnsi="Times New Roman" w:cs="Times New Roman"/>
          <w:b/>
          <w:sz w:val="24"/>
          <w:szCs w:val="24"/>
        </w:rPr>
        <w:t>Metagenomic analysis</w:t>
      </w:r>
      <w:bookmarkEnd w:id="14"/>
    </w:p>
    <w:bookmarkEnd w:id="6"/>
    <w:bookmarkEnd w:id="7"/>
    <w:p w14:paraId="7DB244A2"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S5-1 Library construction and metagenomic sequencing</w:t>
      </w:r>
    </w:p>
    <w:p w14:paraId="3AFFFCC7"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DNA extract was fragmented to an average size of about 400 bp for paired-end library construction. Paired-end library was constructed using NEXTFLEX Rapid DNA-Seq (</w:t>
      </w:r>
      <w:proofErr w:type="spellStart"/>
      <w:r>
        <w:rPr>
          <w:rFonts w:ascii="Times New Roman" w:hAnsi="Times New Roman" w:cs="Times New Roman"/>
          <w:sz w:val="24"/>
          <w:szCs w:val="24"/>
        </w:rPr>
        <w:t>Bioo</w:t>
      </w:r>
      <w:proofErr w:type="spellEnd"/>
      <w:r>
        <w:rPr>
          <w:rFonts w:ascii="Times New Roman" w:hAnsi="Times New Roman" w:cs="Times New Roman"/>
          <w:sz w:val="24"/>
          <w:szCs w:val="24"/>
        </w:rPr>
        <w:t xml:space="preserve"> Scientific, USA). Paired-end sequencing was performed on Illumina </w:t>
      </w:r>
      <w:proofErr w:type="spellStart"/>
      <w:r>
        <w:rPr>
          <w:rFonts w:ascii="Times New Roman" w:hAnsi="Times New Roman" w:cs="Times New Roman"/>
          <w:sz w:val="24"/>
          <w:szCs w:val="24"/>
        </w:rPr>
        <w:t>NovaSeq</w:t>
      </w:r>
      <w:proofErr w:type="spellEnd"/>
      <w:r>
        <w:rPr>
          <w:rFonts w:ascii="Times New Roman" w:hAnsi="Times New Roman" w:cs="Times New Roman"/>
          <w:sz w:val="24"/>
          <w:szCs w:val="24"/>
        </w:rPr>
        <w:t xml:space="preserve"> (Illumina Inc., USA).</w:t>
      </w:r>
    </w:p>
    <w:p w14:paraId="099136F0"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S5-2 Sequence quality control and genome assembly</w:t>
      </w:r>
    </w:p>
    <w:p w14:paraId="22F54418"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paired-end Illumina reads were trimmed of adaptors, and low-quality reads (length &lt; 50 bp or with a quality value &lt; 20 or having N bases) were removed by </w:t>
      </w:r>
      <w:proofErr w:type="spellStart"/>
      <w:r>
        <w:rPr>
          <w:rFonts w:ascii="Times New Roman" w:hAnsi="Times New Roman" w:cs="Times New Roman"/>
          <w:sz w:val="24"/>
          <w:szCs w:val="24"/>
        </w:rPr>
        <w:t>Fastp</w:t>
      </w:r>
      <w:proofErr w:type="spellEnd"/>
      <w:r>
        <w:rPr>
          <w:rFonts w:ascii="Times New Roman" w:hAnsi="Times New Roman" w:cs="Times New Roman"/>
          <w:sz w:val="24"/>
          <w:szCs w:val="24"/>
        </w:rPr>
        <w:t xml:space="preserve"> (version 0.20.0)</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&lt;EndNote&gt;&lt;Cite&gt;&lt;Author&gt;Chen&lt;/Author&gt;&lt;Year&gt;2018&lt;/Year&gt;&lt;RecNum&gt;38&lt;/RecNum&gt;&lt;DisplayText&gt;[6]&lt;/DisplayText&gt;&lt;record&gt;&lt;rec-number&gt;38&lt;/rec-number&gt;&lt;foreign-keys&gt;&lt;key app="EN" db-id="vtefzvevx95ewhefeaspwdtta925xxe5xszf" timestamp="1695301701"&gt;38&lt;/key&gt;&lt;/foreign-keys&gt;&lt;ref-type name="Journal Article"&gt;17&lt;/ref-type&gt;&lt;contributors&gt;&lt;authors&gt;&lt;author&gt;Chen, Shifu&lt;/author&gt;&lt;author&gt;Zhou, Yanqing&lt;/author&gt;&lt;author&gt;Chen, Yaru&lt;/author&gt;&lt;author&gt;Gu, Jia&lt;/author&gt;&lt;/authors&gt;&lt;/contributors&gt;&lt;titles&gt;&lt;title&gt;fastp: an ultra-fast all-in-one FASTQ preprocessor&lt;/title&gt;&lt;secondary-title&gt;Bioinformatics&lt;/secondary-title&gt;&lt;/titles&gt;&lt;periodical&gt;&lt;full-title&gt;Bioinformatics&lt;/full-title&gt;&lt;/periodical&gt;&lt;pages&gt;i884-i890&lt;/pages&gt;&lt;volume&gt;34&lt;/volume&gt;&lt;number&gt;17&lt;/number&gt;&lt;section&gt;i884&lt;/section&gt;&lt;dates&gt;&lt;year&gt;2018&lt;/year&gt;&lt;/dates&gt;&lt;isbn&gt;1367-4803&amp;#xD;1367-4811&lt;/isbn&gt;&lt;urls&gt;&lt;/urls&gt;&lt;electronic-resource-num&gt;10.1093/bioinformatics/bty560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 high-quality reads were then assembled using MEGAHIT (version 1.1.2)</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&lt;EndNote&gt;&lt;Cite&gt;&lt;Author&gt;Li&lt;/Author&gt;&lt;Year&gt;2015&lt;/Year&gt;&lt;RecNum&gt;39&lt;/RecNum&gt;&lt;DisplayText&gt;[13]&lt;/DisplayText&gt;&lt;record&gt;&lt;rec-number&gt;39&lt;/rec-number&gt;&lt;foreign-keys&gt;&lt;key app="EN" db-id="vtefzvevx95ewhefeaspwdtta925xxe5xszf" timestamp="1695301762"&gt;39&lt;/key&gt;&lt;/foreign-keys&gt;&lt;ref-type name="Journal Article"&gt;17&lt;/ref-type&gt;&lt;contributors&gt;&lt;authors&gt;&lt;author&gt;Li, Dinghua&lt;/author&gt;&lt;author&gt;Liu, Chi-Man&lt;/author&gt;&lt;author&gt;Luo, Ruibang&lt;/author&gt;&lt;author&gt;Sadakane, Kunihiko&lt;/author&gt;&lt;author&gt;Lam, Tak-Wah&lt;/author&gt;&lt;/authors&gt;&lt;/contributors&gt;&lt;titles&gt;&lt;title&gt;MEGAHIT: an ultra-fast single-node solution for large and complex metagenomics assembly via succinct de Bruijn graph&lt;/title&gt;&lt;secondary-title&gt;Bioinformatics&lt;/secondary-title&gt;&lt;/titles&gt;&lt;periodical&gt;&lt;full-title&gt;Bioinformatics&lt;/full-title&gt;&lt;/periodical&gt;&lt;pages&gt;1674-1676&lt;/pages&gt;&lt;volume&gt;31&lt;/volume&gt;&lt;number&gt;10&lt;/number&gt;&lt;section&gt;1674&lt;/section&gt;&lt;dates&gt;&lt;year&gt;2015&lt;/year&gt;&lt;/dates&gt;&lt;isbn&gt;1367-4811&amp;#xD;1367-4803&lt;/isbn&gt;&lt;urls&gt;&lt;/urls&gt;&lt;electronic-resource-num&gt;10.1093/bioinformatics/btv033&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Contigs with a length ≥ 500 bp were selected as the final assembling result, and then the contigs were used for further gene prediction and annotation.</w:t>
      </w:r>
    </w:p>
    <w:p w14:paraId="36421B52"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S5-3 Gene prediction, taxonomy, and functional annotation</w:t>
      </w:r>
    </w:p>
    <w:p w14:paraId="211EE106"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Open reading frames (ORFs) from each assembled contig were predicted using Prodigal</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&lt;EndNote&gt;&lt;Cite&gt;&lt;Author&gt;Hyatt&lt;/Author&gt;&lt;Year&gt;2010&lt;/Year&gt;&lt;RecNum&gt;149&lt;/RecNum&gt;&lt;DisplayText&gt;[14]&lt;/DisplayText&gt;&lt;record&gt;&lt;rec-number&gt;149&lt;/rec-number&gt;&lt;foreign-keys&gt;&lt;key app="EN" db-id="vtefzvevx95ewhefeaspwdtta925xxe5xszf" timestamp="1749138289"&gt;149&lt;/key&gt;&lt;/foreign-keys&gt;&lt;ref-type name="Journal Article"&gt;17&lt;/ref-type&gt;&lt;contributors&gt;&lt;authors&gt;&lt;author&gt;Hyatt, Doug&lt;/author&gt;&lt;author&gt;Chen, Gwo-Liang&lt;/author&gt;&lt;author&gt;LoCascio, Philip F.&lt;/author&gt;&lt;author&gt;Land, Miriam L.&lt;/author&gt;&lt;author&gt;Larimer, Frank W.&lt;/author&gt;&lt;author&gt;Hauser, Loren J.&lt;/author&gt;&lt;/authors&gt;&lt;/contributors&gt;&lt;titles&gt;&lt;title&gt;Prodigal: prokaryotic gene recognition and translation initiation site identification&lt;/title&gt;&lt;secondary-title&gt;BMC Bioinformatics&lt;/secondary-title&gt;&lt;/titles&gt;&lt;periodical&gt;&lt;full-title&gt;BMC Bioinformatics&lt;/full-title&gt;&lt;/periodical&gt;&lt;volume&gt;11&lt;/volume&gt;&lt;number&gt;1&lt;/number&gt;&lt;dates&gt;&lt;year&gt;2010&lt;/year&gt;&lt;/dates&gt;&lt;isbn&gt;1471-2105&lt;/isbn&gt;&lt;urls&gt;&lt;/urls&gt;&lt;electronic-resource-num&gt;10.1186/1471-2105-11-119&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The predicted ORFs with a length ≥100 bp were retrieved and translated into amino acid sequences using the NCBI translation table. A non-redundant gene catalog was constructed using CD-HIT (version 4.7)</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&lt;EndNote&gt;&lt;Cite&gt;&lt;Author&gt;Fu&lt;/Author&gt;&lt;Year&gt;2012&lt;/Year&gt;&lt;RecNum&gt;41&lt;/RecNum&gt;&lt;DisplayText&gt;[8]&lt;/DisplayText&gt;&lt;record&gt;&lt;rec-number&gt;41&lt;/rec-number&gt;&lt;foreign-keys&gt;&lt;key app="EN" db-id="vtefzvevx95ewhefeaspwdtta925xxe5xszf" timestamp="1695302228"&gt;41&lt;/key&gt;&lt;/foreign-keys&gt;&lt;ref-type name="Journal Article"&gt;17&lt;/ref-type&gt;&lt;contributors&gt;&lt;authors&gt;&lt;author&gt;Fu, Limin&lt;/author&gt;&lt;author&gt;Niu, Beifang&lt;/author&gt;&lt;author&gt;Zhu, Zhengwei&lt;/author&gt;&lt;author&gt;Wu, Sitao&lt;/author&gt;&lt;author&gt;Li, Weizhong&lt;/author&gt;&lt;/authors&gt;&lt;/contributors&gt;&lt;titles&gt;&lt;title&gt;CD-HIT: accelerated for clustering the next-generation sequencing data&lt;/title&gt;&lt;secondary-title&gt;Bioinformatics&lt;/secondary-title&gt;&lt;/titles&gt;&lt;periodical&gt;&lt;full-title&gt;Bioinformatics&lt;/full-title&gt;&lt;/periodical&gt;&lt;pages&gt;3150-3152&lt;/pages&gt;&lt;volume&gt;28&lt;/volume&gt;&lt;number&gt;23&lt;/number&gt;&lt;section&gt;3150&lt;/section&gt;&lt;dates&gt;&lt;year&gt;2012&lt;/year&gt;&lt;/dates&gt;&lt;isbn&gt;1367-4803&amp;#xD;1367-4811&lt;/isbn&gt;&lt;urls&gt;&lt;/urls&gt;&lt;electronic-resource-num&gt;10.1093/bioinformatics/bts565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ascii="Times New Roman" w:hAnsi="Times New Roman" w:cs="Times New Roman"/>
          <w:sz w:val="24"/>
          <w:szCs w:val="24"/>
        </w:rPr>
        <w:t xml:space="preserve"> with 90% sequence identity and 90% coverage. High-quality reads were aligned to the non-redundant gene catalogs </w:t>
      </w:r>
      <w:r>
        <w:rPr>
          <w:rFonts w:ascii="Times New Roman" w:hAnsi="Times New Roman" w:cs="Times New Roman"/>
          <w:sz w:val="24"/>
          <w:szCs w:val="24"/>
        </w:rPr>
        <w:lastRenderedPageBreak/>
        <w:t xml:space="preserve">to calculate gene abundance with 95% identity using </w:t>
      </w:r>
      <w:proofErr w:type="spellStart"/>
      <w:r>
        <w:rPr>
          <w:rFonts w:ascii="Times New Roman" w:hAnsi="Times New Roman" w:cs="Times New Roman"/>
          <w:sz w:val="24"/>
          <w:szCs w:val="24"/>
        </w:rPr>
        <w:t>SOAPaligner</w:t>
      </w:r>
      <w:proofErr w:type="spellEnd"/>
      <w:r>
        <w:rPr>
          <w:rFonts w:ascii="Times New Roman" w:hAnsi="Times New Roman" w:cs="Times New Roman"/>
          <w:sz w:val="24"/>
          <w:szCs w:val="24"/>
        </w:rPr>
        <w:t xml:space="preserve"> (version 2.21)</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&lt;EndNote&gt;&lt;Cite&gt;&lt;Author&gt;Li&lt;/Author&gt;&lt;Year&gt;2008&lt;/Year&gt;&lt;RecNum&gt;42&lt;/RecNum&gt;&lt;DisplayText&gt;[15]&lt;/DisplayText&gt;&lt;record&gt;&lt;rec-number&gt;42&lt;/rec-number&gt;&lt;foreign-keys&gt;&lt;key app="EN" db-id="vtefzvevx95ewhefeaspwdtta925xxe5xszf" timestamp="1695302284"&gt;42&lt;/key&gt;&lt;/foreign-keys&gt;&lt;ref-type name="Journal Article"&gt;17&lt;/ref-type&gt;&lt;contributors&gt;&lt;authors&gt;&lt;author&gt;Li, Ruiqiang&lt;/author&gt;&lt;author&gt;Li, Yingrui&lt;/author&gt;&lt;author&gt;Kristiansen, Karsten&lt;/author&gt;&lt;author&gt;Wang, Jun&lt;/author&gt;&lt;/authors&gt;&lt;/contributors&gt;&lt;titles&gt;&lt;title&gt;SOAP: short oligonucleotide alignment program&lt;/title&gt;&lt;secondary-title&gt;Bioinformatics&lt;/secondary-title&gt;&lt;/titles&gt;&lt;periodical&gt;&lt;full-title&gt;Bioinformatics&lt;/full-title&gt;&lt;/periodical&gt;&lt;pages&gt;713-714&lt;/pages&gt;&lt;volume&gt;24&lt;/volume&gt;&lt;number&gt;5&lt;/number&gt;&lt;section&gt;713&lt;/section&gt;&lt;dates&gt;&lt;year&gt;2008&lt;/year&gt;&lt;/dates&gt;&lt;isbn&gt;1367-4811&amp;#xD;1367-4803&lt;/isbn&gt;&lt;urls&gt;&lt;/urls&gt;&lt;electronic-resource-num&gt;10.1093/bioinformatics/btn025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Representative sequences of the non-redundant gene catalog were aligned to the NR database for taxonomic annotations, the KEGG database for KEGG annotation, and the CARD database for ARGs annotation with an e-value cutoff of 1e-5 using Diamond</w:t>
      </w:r>
      <w:r>
        <w:rPr>
          <w:rFonts w:ascii="Times New Roman" w:hAnsi="Times New Roman" w:cs="Times New Roman" w:hint="eastAsia"/>
          <w:sz w:val="24"/>
          <w:szCs w:val="24"/>
        </w:rPr>
        <w:t xml:space="preserve"> </w:t>
      </w:r>
      <w:r>
        <w:rPr>
          <w:rFonts w:ascii="Times New Roman" w:hAnsi="Times New Roman" w:cs="Times New Roman"/>
          <w:sz w:val="24"/>
          <w:szCs w:val="24"/>
        </w:rPr>
        <w:t>(version 2.0.13)</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&lt;EndNote&gt;&lt;Cite&gt;&lt;Author&gt;Buchfink&lt;/Author&gt;&lt;Year&gt;2014&lt;/Year&gt;&lt;RecNum&gt;43&lt;/RecNum&gt;&lt;DisplayText&gt;[16]&lt;/DisplayText&gt;&lt;record&gt;&lt;rec-number&gt;43&lt;/rec-number&gt;&lt;foreign-keys&gt;&lt;key app="EN" db-id="vtefzvevx95ewhefeaspwdtta925xxe5xszf" timestamp="1695302338"&gt;43&lt;/key&gt;&lt;/foreign-keys&gt;&lt;ref-type name="Journal Article"&gt;17&lt;/ref-type&gt;&lt;contributors&gt;&lt;authors&gt;&lt;author&gt;Buchfink, Benjamin&lt;/author&gt;&lt;author&gt;Xie, Chao&lt;/author&gt;&lt;author&gt;Huson, Daniel H.&lt;/author&gt;&lt;/authors&gt;&lt;/contributors&gt;&lt;titles&gt;&lt;title&gt;Fast and sensitive protein alignment using DIAMOND&lt;/title&gt;&lt;secondary-title&gt;Nature Methods&lt;/secondary-title&gt;&lt;/titles&gt;&lt;pages&gt;59-60&lt;/pages&gt;&lt;volume&gt;12&lt;/volume&gt;&lt;number&gt;1&lt;/number&gt;&lt;section&gt;59&lt;/section&gt;&lt;dates&gt;&lt;year&gt;2014&lt;/year&gt;&lt;/dates&gt;&lt;isbn&gt;1548-7091&amp;#xD;1548-7105&lt;/isbn&gt;&lt;urls&gt;&lt;/urls&gt;&lt;electronic-resource-num&gt;10.1038/nmeth.3176&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w:t>
      </w:r>
    </w:p>
    <w:p w14:paraId="38AB5A8D"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Text S6. Calculation of ARGs abundance</w:t>
      </w:r>
    </w:p>
    <w:p w14:paraId="20BDB5FB"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Gene abundance in each sample was performed using BWA's BWA-MEM algorithm based on coverage. The formula for calculating the abundance of ARG types or ARG subtypes belonging to ARG-like ORFs is as follows:</w:t>
      </w:r>
    </w:p>
    <w:p w14:paraId="28FB2119" w14:textId="77777777" w:rsidR="00471529" w:rsidRDefault="00000000">
      <w:pPr>
        <w:spacing w:line="360" w:lineRule="auto"/>
        <w:ind w:firstLineChars="200" w:firstLine="480"/>
        <w:rPr>
          <w:rFonts w:ascii="Times New Roman" w:hAnsi="Times New Roman" w:cs="Times New Roman"/>
          <w:sz w:val="24"/>
          <w:szCs w:val="24"/>
        </w:rPr>
      </w:pPr>
      <m:oMathPara>
        <m:oMath>
          <m:r>
            <w:rPr>
              <w:rFonts w:ascii="Cambria Math" w:hAnsi="Cambria Math" w:cs="Times New Roman"/>
              <w:sz w:val="24"/>
              <w:szCs w:val="24"/>
            </w:rPr>
            <m:t>Abundance</m:t>
          </m:r>
          <m:d>
            <m:dPr>
              <m:ctrlPr>
                <w:rPr>
                  <w:rFonts w:ascii="Cambria Math" w:hAnsi="Cambria Math" w:cs="Times New Roman"/>
                  <w:i/>
                  <w:sz w:val="24"/>
                  <w:szCs w:val="24"/>
                </w:rPr>
              </m:ctrlPr>
            </m:dPr>
            <m:e>
              <m:r>
                <w:rPr>
                  <w:rFonts w:ascii="Cambria Math" w:hAnsi="Cambria Math" w:cs="Times New Roman"/>
                  <w:sz w:val="24"/>
                  <w:szCs w:val="24"/>
                </w:rPr>
                <m:t>coverage, ×/Gb</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1</m:t>
              </m:r>
            </m:sub>
            <m:sup>
              <m:r>
                <w:rPr>
                  <w:rFonts w:ascii="Cambria Math" w:hAnsi="Cambria Math" w:cs="Times New Roman"/>
                  <w:sz w:val="24"/>
                  <w:szCs w:val="24"/>
                </w:rPr>
                <m:t>n</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mapped reads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reads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ARG-like ORF(ARC)</m:t>
                      </m:r>
                    </m:sub>
                  </m:sSub>
                </m:num>
                <m:den>
                  <m:r>
                    <w:rPr>
                      <w:rFonts w:ascii="Cambria Math" w:hAnsi="Cambria Math" w:cs="Times New Roman"/>
                      <w:sz w:val="24"/>
                      <w:szCs w:val="24"/>
                    </w:rPr>
                    <m:t>S</m:t>
                  </m:r>
                </m:den>
              </m:f>
            </m:e>
          </m:nary>
        </m:oMath>
      </m:oMathPara>
    </w:p>
    <w:p w14:paraId="4531776D"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mapped reads</m:t>
            </m:r>
          </m:sub>
        </m:sSub>
      </m:oMath>
      <w:r>
        <w:rPr>
          <w:rFonts w:ascii="Times New Roman" w:hAnsi="Times New Roman" w:cs="Times New Roman"/>
          <w:sz w:val="24"/>
          <w:szCs w:val="24"/>
        </w:rPr>
        <w:t xml:space="preserve"> is the number of clean reads matched by ARG-like ORFs or contigs carrying ARG (ARCs);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reads</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is the length of Illumina sequencing reads, 150 bp;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ARG-like ORF(ARC)</m:t>
            </m:r>
          </m:sub>
        </m:sSub>
      </m:oMath>
      <w:r>
        <w:rPr>
          <w:rFonts w:ascii="Times New Roman" w:hAnsi="Times New Roman" w:cs="Times New Roman"/>
          <w:sz w:val="24"/>
          <w:szCs w:val="24"/>
        </w:rPr>
        <w:t xml:space="preserve"> is the sequence length of the target ARG-like ORFs or ARCs, bp; </w:t>
      </w:r>
      <w:r>
        <w:rPr>
          <w:rFonts w:ascii="Times New Roman" w:hAnsi="Times New Roman" w:cs="Times New Roman"/>
          <w:i/>
          <w:iCs/>
          <w:sz w:val="24"/>
          <w:szCs w:val="24"/>
        </w:rPr>
        <w:t>n</w:t>
      </w:r>
      <w:r>
        <w:rPr>
          <w:rFonts w:ascii="Times New Roman" w:hAnsi="Times New Roman" w:cs="Times New Roman"/>
          <w:sz w:val="24"/>
          <w:szCs w:val="24"/>
        </w:rPr>
        <w:t xml:space="preserve"> is the number of ARG-like ORFs or ARCs belonging to the same classification; </w:t>
      </w:r>
      <w:r>
        <w:rPr>
          <w:rFonts w:ascii="Times New Roman" w:hAnsi="Times New Roman" w:cs="Times New Roman"/>
          <w:i/>
          <w:iCs/>
          <w:sz w:val="24"/>
          <w:szCs w:val="24"/>
        </w:rPr>
        <w:t>S</w:t>
      </w:r>
      <w:r>
        <w:rPr>
          <w:rFonts w:ascii="Times New Roman" w:hAnsi="Times New Roman" w:cs="Times New Roman"/>
          <w:sz w:val="24"/>
          <w:szCs w:val="24"/>
        </w:rPr>
        <w:t xml:space="preserve"> is the size of the clean data dataset of the corresponding sample metagenome, Gb.</w:t>
      </w:r>
    </w:p>
    <w:p w14:paraId="15BF650B" w14:textId="77777777" w:rsidR="00471529" w:rsidRDefault="00471529">
      <w:pPr>
        <w:spacing w:line="360" w:lineRule="auto"/>
        <w:rPr>
          <w:rFonts w:ascii="Times New Roman" w:hAnsi="Times New Roman" w:cs="Times New Roman"/>
          <w:b/>
          <w:sz w:val="24"/>
          <w:szCs w:val="24"/>
        </w:rPr>
      </w:pPr>
    </w:p>
    <w:p w14:paraId="6A9425AB"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Text S7. I</w:t>
      </w:r>
      <w:r>
        <w:rPr>
          <w:rFonts w:ascii="Times New Roman" w:hAnsi="Times New Roman" w:cs="Times New Roman" w:hint="eastAsia"/>
          <w:b/>
          <w:sz w:val="24"/>
          <w:szCs w:val="24"/>
        </w:rPr>
        <w:t>dentification</w:t>
      </w:r>
      <w:r>
        <w:rPr>
          <w:rFonts w:ascii="Times New Roman" w:hAnsi="Times New Roman" w:cs="Times New Roman"/>
          <w:b/>
          <w:sz w:val="24"/>
          <w:szCs w:val="24"/>
        </w:rPr>
        <w:t xml:space="preserve"> of ARC</w:t>
      </w:r>
      <w:r>
        <w:rPr>
          <w:rFonts w:ascii="Times New Roman" w:hAnsi="Times New Roman" w:cs="Times New Roman" w:hint="eastAsia"/>
          <w:b/>
          <w:sz w:val="24"/>
          <w:szCs w:val="24"/>
        </w:rPr>
        <w:t xml:space="preserve"> </w:t>
      </w:r>
      <w:r>
        <w:rPr>
          <w:rFonts w:ascii="Times New Roman" w:hAnsi="Times New Roman" w:cs="Times New Roman"/>
          <w:b/>
          <w:sz w:val="24"/>
          <w:szCs w:val="24"/>
        </w:rPr>
        <w:t>hosts</w:t>
      </w:r>
    </w:p>
    <w:p w14:paraId="507606AF"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After extracting the amino acid sequences of ORFs in ARCs, the ORFs were annotated to the NCBI non-redundant (NR) with an e-value cutoff of 1e-5 using Diamond with the </w:t>
      </w:r>
      <w:proofErr w:type="spellStart"/>
      <w:r>
        <w:rPr>
          <w:rFonts w:ascii="Times New Roman" w:hAnsi="Times New Roman" w:cs="Times New Roman"/>
          <w:sz w:val="24"/>
          <w:szCs w:val="24"/>
        </w:rPr>
        <w:t>blastp</w:t>
      </w:r>
      <w:proofErr w:type="spellEnd"/>
      <w:r>
        <w:rPr>
          <w:rFonts w:ascii="Times New Roman" w:hAnsi="Times New Roman" w:cs="Times New Roman"/>
          <w:sz w:val="24"/>
          <w:szCs w:val="24"/>
        </w:rPr>
        <w:t xml:space="preserve"> method to identify the potential hosts of ARCs. The voting mechanism was subsequently used to determine the taxonomic annotation of </w:t>
      </w:r>
      <w:proofErr w:type="spellStart"/>
      <w:r>
        <w:rPr>
          <w:rFonts w:ascii="Times New Roman" w:hAnsi="Times New Roman" w:cs="Times New Roman"/>
          <w:sz w:val="24"/>
          <w:szCs w:val="24"/>
        </w:rPr>
        <w:t>ARCs'</w:t>
      </w:r>
      <w:proofErr w:type="spellEnd"/>
      <w:r>
        <w:rPr>
          <w:rFonts w:ascii="Times New Roman" w:hAnsi="Times New Roman" w:cs="Times New Roman"/>
          <w:sz w:val="24"/>
          <w:szCs w:val="24"/>
        </w:rPr>
        <w:t xml:space="preserve"> hosts: If more than 50% of the ARG-like ORFs on each ARC were assigned to the same taxon, the ARC was assigned to the corresponding taxonomic rank</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&lt;EndNote&gt;&lt;Cite&gt;&lt;Author&gt;Ma&lt;/Author&gt;&lt;Year&gt;2017&lt;/Year&gt;&lt;RecNum&gt;136&lt;/RecNum&gt;&lt;DisplayText&gt;[17]&lt;/DisplayText&gt;&lt;record&gt;&lt;rec-number&gt;136&lt;/rec-number&gt;&lt;foreign-keys&gt;&lt;key app="EN" db-id="vtefzvevx95ewhefeaspwdtta925xxe5xszf" timestamp="1706151374"&gt;136&lt;/key&gt;&lt;/foreign-keys&gt;&lt;ref-type name="Journal Article"&gt;17&lt;/ref-type&gt;&lt;contributors&gt;&lt;authors&gt;&lt;author&gt;Ma, Liping&lt;/author&gt;&lt;author&gt;Li, Bing&lt;/author&gt;&lt;author&gt;Jiang, Xiao-Tao&lt;/author&gt;&lt;author&gt;Wang, Yu-Lin&lt;/author&gt;&lt;author&gt;Xia, Yu&lt;/author&gt;&lt;author&gt;Li, An-Dong&lt;/author&gt;&lt;author&gt;Zhang, Tong&lt;/author&gt;&lt;/authors&gt;&lt;/contributors&gt;&lt;titles&gt;&lt;title&gt;Catalogue of antibiotic resistome and host-tracking in drinking water deciphered by a large scale survey&lt;/title&gt;&lt;secondary-title&gt;Microbiome&lt;/secondary-title&gt;&lt;/titles&gt;&lt;periodical&gt;&lt;full-title&gt;Microbiome&lt;/full-title&gt;&lt;/periodical&gt;&lt;pages&gt;154&lt;/pages&gt;&lt;volume&gt;5&lt;/volume&gt;&lt;number&gt;1&lt;/number&gt;&lt;section&gt;154&lt;/section&gt;&lt;dates&gt;&lt;year&gt;2017&lt;/year&gt;&lt;/dates&gt;&lt;isbn&gt;2049-2618&lt;/isbn&gt;&lt;urls&gt;&lt;/urls&gt;&lt;electronic-resource-num&gt;10.1186/s40168-017-0369-0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r>
        <w:rPr>
          <w:rFonts w:ascii="Times New Roman" w:hAnsi="Times New Roman" w:cs="Times New Roman" w:hint="eastAsia"/>
          <w:sz w:val="24"/>
          <w:szCs w:val="24"/>
        </w:rPr>
        <w:t>.</w:t>
      </w:r>
    </w:p>
    <w:p w14:paraId="5AEB4130" w14:textId="77777777" w:rsidR="00471529" w:rsidRDefault="00471529">
      <w:pPr>
        <w:spacing w:line="360" w:lineRule="auto"/>
        <w:ind w:firstLineChars="200" w:firstLine="480"/>
        <w:rPr>
          <w:rFonts w:ascii="Times New Roman" w:hAnsi="Times New Roman" w:cs="Times New Roman"/>
          <w:sz w:val="24"/>
          <w:szCs w:val="24"/>
        </w:rPr>
      </w:pPr>
    </w:p>
    <w:p w14:paraId="0E30B192"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Text S8. I</w:t>
      </w:r>
      <w:r>
        <w:rPr>
          <w:rFonts w:ascii="Times New Roman" w:hAnsi="Times New Roman" w:cs="Times New Roman" w:hint="eastAsia"/>
          <w:b/>
          <w:sz w:val="24"/>
          <w:szCs w:val="24"/>
        </w:rPr>
        <w:t>dentification</w:t>
      </w:r>
      <w:r>
        <w:rPr>
          <w:rFonts w:ascii="Times New Roman" w:hAnsi="Times New Roman" w:cs="Times New Roman"/>
          <w:b/>
          <w:sz w:val="24"/>
          <w:szCs w:val="24"/>
        </w:rPr>
        <w:t xml:space="preserve"> of MGEs</w:t>
      </w:r>
    </w:p>
    <w:p w14:paraId="7D18ED6D"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Based on the results of </w:t>
      </w:r>
      <w:proofErr w:type="spellStart"/>
      <w:r>
        <w:rPr>
          <w:rFonts w:ascii="Times New Roman" w:hAnsi="Times New Roman" w:cs="Times New Roman"/>
          <w:sz w:val="24"/>
          <w:szCs w:val="24"/>
        </w:rPr>
        <w:t>ARCs'</w:t>
      </w:r>
      <w:proofErr w:type="spellEnd"/>
      <w:r>
        <w:rPr>
          <w:rFonts w:ascii="Times New Roman" w:hAnsi="Times New Roman" w:cs="Times New Roman"/>
          <w:sz w:val="24"/>
          <w:szCs w:val="24"/>
        </w:rPr>
        <w:t xml:space="preserve"> annotation, the mobile genetic elements (MGEs) were determined according to whether the ORF matched one of the following keywords: transposase, transposon, intI1, integrase, </w:t>
      </w:r>
      <w:proofErr w:type="spellStart"/>
      <w:r>
        <w:rPr>
          <w:rFonts w:ascii="Times New Roman" w:hAnsi="Times New Roman" w:cs="Times New Roman"/>
          <w:sz w:val="24"/>
          <w:szCs w:val="24"/>
        </w:rPr>
        <w:t>integron</w:t>
      </w:r>
      <w:proofErr w:type="spellEnd"/>
      <w:r>
        <w:rPr>
          <w:rFonts w:ascii="Times New Roman" w:hAnsi="Times New Roman" w:cs="Times New Roman"/>
          <w:sz w:val="24"/>
          <w:szCs w:val="24"/>
        </w:rPr>
        <w:t xml:space="preserve">, recombinase, and conjugative </w:t>
      </w:r>
      <w:r>
        <w:rPr>
          <w:rFonts w:ascii="Times New Roman" w:hAnsi="Times New Roman" w:cs="Times New Roman"/>
          <w:sz w:val="24"/>
          <w:szCs w:val="24"/>
        </w:rPr>
        <w:lastRenderedPageBreak/>
        <w:t>transfer protein</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&lt;EndNote&gt;&lt;Cite&gt;&lt;Author&gt;Forsberg&lt;/Author&gt;&lt;Year&gt;2014&lt;/Year&gt;&lt;RecNum&gt;49&lt;/RecNum&gt;&lt;DisplayText&gt;[18]&lt;/DisplayText&gt;&lt;record&gt;&lt;rec-number&gt;49&lt;/rec-number&gt;&lt;foreign-keys&gt;&lt;key app="EN" db-id="vtefzvevx95ewhefeaspwdtta925xxe5xszf" timestamp="1696668248"&gt;49&lt;/key&gt;&lt;/foreign-keys&gt;&lt;ref-type name="Journal Article"&gt;17&lt;/ref-type&gt;&lt;contributors&gt;&lt;authors&gt;&lt;author&gt;Forsberg, Kevin J.&lt;/author&gt;&lt;author&gt;Patel, Sanket&lt;/author&gt;&lt;author&gt;Gibson, Molly K.&lt;/author&gt;&lt;author&gt;Lauber, Christian L.&lt;/author&gt;&lt;author&gt;Knight, Rob&lt;/author&gt;&lt;author&gt;Fierer, Noah&lt;/author&gt;&lt;author&gt;Dantas, Gautam&lt;/author&gt;&lt;/authors&gt;&lt;/contributors&gt;&lt;titles&gt;&lt;title&gt;Bacterial phylogeny structures soil resistomes across habitats&lt;/title&gt;&lt;secondary-title&gt;Nature&lt;/secondary-title&gt;&lt;/titles&gt;&lt;periodical&gt;&lt;full-title&gt;Nature&lt;/full-title&gt;&lt;/periodical&gt;&lt;pages&gt;612-616&lt;/pages&gt;&lt;volume&gt;509&lt;/volume&gt;&lt;number&gt;7502&lt;/number&gt;&lt;section&gt;612&lt;/section&gt;&lt;dates&gt;&lt;year&gt;2014&lt;/year&gt;&lt;/dates&gt;&lt;isbn&gt;0028-0836&amp;#xD;1476-4687&lt;/isbn&gt;&lt;urls&gt;&lt;/urls&gt;&lt;electronic-resource-num&gt;10.1038/nature13377&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r>
        <w:rPr>
          <w:rFonts w:ascii="Times New Roman" w:hAnsi="Times New Roman" w:cs="Times New Roman" w:hint="eastAsia"/>
          <w:sz w:val="24"/>
          <w:szCs w:val="24"/>
        </w:rPr>
        <w:t>.</w:t>
      </w:r>
    </w:p>
    <w:p w14:paraId="40596210" w14:textId="77777777" w:rsidR="00471529" w:rsidRDefault="00471529">
      <w:pPr>
        <w:spacing w:line="360" w:lineRule="auto"/>
        <w:rPr>
          <w:rFonts w:ascii="Times New Roman" w:hAnsi="Times New Roman" w:cs="Times New Roman"/>
          <w:b/>
          <w:sz w:val="24"/>
          <w:szCs w:val="24"/>
        </w:rPr>
      </w:pPr>
    </w:p>
    <w:p w14:paraId="4013D635"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S9. </w:t>
      </w:r>
      <w:bookmarkStart w:id="15" w:name="_Hlk182092559"/>
      <w:bookmarkStart w:id="16" w:name="_Hlk182390060"/>
      <w:r>
        <w:rPr>
          <w:rFonts w:ascii="Times New Roman" w:hAnsi="Times New Roman" w:cs="Times New Roman"/>
          <w:b/>
          <w:sz w:val="24"/>
          <w:szCs w:val="24"/>
        </w:rPr>
        <w:t>Isolation of phycospheric bacteria</w:t>
      </w:r>
      <w:bookmarkEnd w:id="15"/>
      <w:bookmarkEnd w:id="16"/>
    </w:p>
    <w:p w14:paraId="540D734A"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Phycospheric bacteria were isolated using a dilution-to-extinction approach. Briefly, phycospheric bacteria were isolated by continuous centrifugation and sonication. For isolation, algal suspensions were centrifuged at 8000 r/min for 5 min to recover the supernatant. The pellet was washed with PBS buffer, followed by sonication for 5 min and centrifugation at 8000 r/min for 5 min. The supernatants from the first and second centrifugations were pooled together and diluted at 1:100, 1:1000, or 1:10000. The diluted supernatants were then spread on medium plates. After incubation for 72 h at 30 °C in the dark, visible bacteria growing on plates were picked for 16S rRNA amplicon sequencing.</w:t>
      </w:r>
    </w:p>
    <w:p w14:paraId="230CB507" w14:textId="77777777" w:rsidR="00471529" w:rsidRDefault="00471529">
      <w:pPr>
        <w:spacing w:line="360" w:lineRule="auto"/>
        <w:ind w:firstLineChars="200" w:firstLine="480"/>
        <w:rPr>
          <w:rFonts w:ascii="Times New Roman" w:hAnsi="Times New Roman" w:cs="Times New Roman"/>
          <w:sz w:val="24"/>
          <w:szCs w:val="24"/>
        </w:rPr>
      </w:pPr>
    </w:p>
    <w:p w14:paraId="39898A89"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S10. Whole genome sequencing of </w:t>
      </w:r>
      <w:bookmarkStart w:id="17" w:name="_Hlk200116489"/>
      <w:r>
        <w:rPr>
          <w:rFonts w:ascii="Times New Roman" w:hAnsi="Times New Roman" w:cs="Times New Roman"/>
          <w:b/>
          <w:sz w:val="24"/>
          <w:szCs w:val="24"/>
        </w:rPr>
        <w:t>phycospheric isolates</w:t>
      </w:r>
      <w:bookmarkEnd w:id="17"/>
    </w:p>
    <w:p w14:paraId="6C947E10"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S10-1 Genomic DNA extraction</w:t>
      </w:r>
    </w:p>
    <w:p w14:paraId="17B512EB"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The phycospheric isolate was streaked on LB solid medium and cultured at 3</w:t>
      </w:r>
      <w:r>
        <w:rPr>
          <w:rFonts w:ascii="Times New Roman" w:hAnsi="Times New Roman" w:cs="Times New Roman" w:hint="eastAsia"/>
          <w:sz w:val="24"/>
          <w:szCs w:val="24"/>
        </w:rPr>
        <w:t>0</w:t>
      </w:r>
      <w:r>
        <w:rPr>
          <w:rFonts w:ascii="Times New Roman" w:hAnsi="Times New Roman" w:cs="Times New Roman"/>
          <w:sz w:val="24"/>
          <w:szCs w:val="24"/>
        </w:rPr>
        <w:t xml:space="preserve"> </w:t>
      </w:r>
      <w:r>
        <w:rPr>
          <w:rFonts w:ascii="Times New Roman" w:hAnsi="Times New Roman" w:cs="Times New Roman" w:hint="eastAsia"/>
          <w:sz w:val="24"/>
          <w:szCs w:val="24"/>
        </w:rPr>
        <w:t>℃</w:t>
      </w:r>
      <w:r>
        <w:rPr>
          <w:rFonts w:ascii="Times New Roman" w:hAnsi="Times New Roman" w:cs="Times New Roman"/>
          <w:sz w:val="24"/>
          <w:szCs w:val="24"/>
        </w:rPr>
        <w:t xml:space="preserve"> for 12 h. Next, a single colony on the solid medium was inoculated into 200 mL of LB liquid medium and cultured at 3</w:t>
      </w:r>
      <w:r>
        <w:rPr>
          <w:rFonts w:ascii="Times New Roman" w:hAnsi="Times New Roman" w:cs="Times New Roman" w:hint="eastAsia"/>
          <w:sz w:val="24"/>
          <w:szCs w:val="24"/>
        </w:rPr>
        <w:t>0</w:t>
      </w:r>
      <w:r>
        <w:rPr>
          <w:rFonts w:ascii="Times New Roman" w:hAnsi="Times New Roman" w:cs="Times New Roman"/>
          <w:sz w:val="24"/>
          <w:szCs w:val="24"/>
        </w:rPr>
        <w:t xml:space="preserve"> ℃ for approximately 12 h at 150 rpm. The cell biomass was harvested after 10 min centrifugation at 12,000</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g. Genomic DNA of the phycospheric isolate was extracted using a Bacterial DNA extraction kit (magnetic beads)</w:t>
      </w:r>
      <w:r>
        <w:rPr>
          <w:rFonts w:ascii="Times New Roman" w:hAnsi="Times New Roman" w:cs="Times New Roman" w:hint="eastAsia"/>
          <w:sz w:val="24"/>
          <w:szCs w:val="24"/>
        </w:rPr>
        <w:t xml:space="preserve"> </w:t>
      </w:r>
      <w:r>
        <w:rPr>
          <w:rFonts w:ascii="Times New Roman" w:hAnsi="Times New Roman" w:cs="Times New Roman"/>
          <w:sz w:val="24"/>
          <w:szCs w:val="24"/>
        </w:rPr>
        <w:t>(Majorbio, Shanghai, China) according to the manufacturer’s protocol. Purified genomic DNA was quantified, and high-quality DNA was used to do further research.</w:t>
      </w:r>
    </w:p>
    <w:p w14:paraId="18A37274"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S10-2 Library construction and genome sequencing</w:t>
      </w:r>
    </w:p>
    <w:p w14:paraId="516A7EA4"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genome was sequenced using a combination of Illumina sequencing platforms and Nanopore </w:t>
      </w:r>
      <w:proofErr w:type="spellStart"/>
      <w:r>
        <w:rPr>
          <w:rFonts w:ascii="Times New Roman" w:hAnsi="Times New Roman" w:cs="Times New Roman"/>
          <w:sz w:val="24"/>
          <w:szCs w:val="24"/>
        </w:rPr>
        <w:t>PromethION</w:t>
      </w:r>
      <w:proofErr w:type="spellEnd"/>
      <w:r>
        <w:rPr>
          <w:rFonts w:ascii="Times New Roman" w:hAnsi="Times New Roman" w:cs="Times New Roman"/>
          <w:sz w:val="24"/>
          <w:szCs w:val="24"/>
        </w:rPr>
        <w:t xml:space="preserve"> sequencing platforms (</w:t>
      </w:r>
      <w:proofErr w:type="spellStart"/>
      <w:r>
        <w:rPr>
          <w:rFonts w:ascii="Times New Roman" w:hAnsi="Times New Roman" w:cs="Times New Roman"/>
          <w:sz w:val="24"/>
          <w:szCs w:val="24"/>
        </w:rPr>
        <w:t>MajorBio</w:t>
      </w:r>
      <w:proofErr w:type="spellEnd"/>
      <w:r>
        <w:rPr>
          <w:rFonts w:ascii="Times New Roman" w:hAnsi="Times New Roman" w:cs="Times New Roman"/>
          <w:sz w:val="24"/>
          <w:szCs w:val="24"/>
        </w:rPr>
        <w:t xml:space="preserve"> Co., Shanghai, China).</w:t>
      </w:r>
    </w:p>
    <w:p w14:paraId="7D8943C0"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For Illumina sequencing, genomic DNA was used for each strain in sequencing library construction. DNA samples were sheared into 400-500 bp fragments using a Covaris M220 Focused Acoustic Shearer following the manufacturer’s protocol. Illumina sequencing libraries were prepared from the sheared fragments using the </w:t>
      </w:r>
      <w:r>
        <w:rPr>
          <w:rFonts w:ascii="Times New Roman" w:hAnsi="Times New Roman" w:cs="Times New Roman"/>
          <w:sz w:val="24"/>
          <w:szCs w:val="24"/>
        </w:rPr>
        <w:lastRenderedPageBreak/>
        <w:t>NEXTFLEX Rapid DNA-Seq Kit. Briefly, 5’ ends were first end-repaired and phosphorylated. Next, the 3’ ends were A-tailed and ligated to sequencing adapters. The third step is to enrich the adapter-ligated products using PCR. The prepared libraries were then used for paired-end Illumina sequencing (2 × 150 bp) on an Illumina Novaseq 6000 (Illumina Inc., San Diego, CA, USA).</w:t>
      </w:r>
    </w:p>
    <w:p w14:paraId="15F9055A"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For Nanopore sequencing, DNA fragments were repaired, purified, and then attached sequencing adapters supplied in the SQK-LSK109 kit to the DNA ends. Next, the Nanopore library was prepared and sequenced on Oxford Nanopore </w:t>
      </w:r>
      <w:proofErr w:type="spellStart"/>
      <w:r>
        <w:rPr>
          <w:rFonts w:ascii="Times New Roman" w:hAnsi="Times New Roman" w:cs="Times New Roman"/>
          <w:sz w:val="24"/>
          <w:szCs w:val="24"/>
        </w:rPr>
        <w:t>PromethION</w:t>
      </w:r>
      <w:proofErr w:type="spellEnd"/>
      <w:r>
        <w:rPr>
          <w:rFonts w:ascii="Times New Roman" w:hAnsi="Times New Roman" w:cs="Times New Roman"/>
          <w:sz w:val="24"/>
          <w:szCs w:val="24"/>
        </w:rPr>
        <w:t xml:space="preserve"> (Oxford Nanopore, Oxford, UK).</w:t>
      </w:r>
    </w:p>
    <w:p w14:paraId="0D4F170E"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S10-3 Genome assembly and annotation</w:t>
      </w:r>
    </w:p>
    <w:p w14:paraId="2E3420E5"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raw Illumina sequencing reads generated from the paired-end library were subjected to quality filtering using </w:t>
      </w:r>
      <w:proofErr w:type="spellStart"/>
      <w:r>
        <w:rPr>
          <w:rFonts w:ascii="Times New Roman" w:hAnsi="Times New Roman" w:cs="Times New Roman"/>
          <w:sz w:val="24"/>
          <w:szCs w:val="24"/>
        </w:rPr>
        <w:t>fastp</w:t>
      </w:r>
      <w:proofErr w:type="spellEnd"/>
      <w:r>
        <w:rPr>
          <w:rFonts w:ascii="Times New Roman" w:hAnsi="Times New Roman" w:cs="Times New Roman"/>
          <w:sz w:val="24"/>
          <w:szCs w:val="24"/>
        </w:rPr>
        <w:t xml:space="preserve"> v0.23.0. Nanopore reads were extracted, </w:t>
      </w:r>
      <w:proofErr w:type="spellStart"/>
      <w:r>
        <w:rPr>
          <w:rFonts w:ascii="Times New Roman" w:hAnsi="Times New Roman" w:cs="Times New Roman"/>
          <w:sz w:val="24"/>
          <w:szCs w:val="24"/>
        </w:rPr>
        <w:t>basecalled</w:t>
      </w:r>
      <w:proofErr w:type="spellEnd"/>
      <w:r>
        <w:rPr>
          <w:rFonts w:ascii="Times New Roman" w:hAnsi="Times New Roman" w:cs="Times New Roman"/>
          <w:sz w:val="24"/>
          <w:szCs w:val="24"/>
        </w:rPr>
        <w:t>, demultiplexed, and trimmed with the minimum Q score cutoff of 7. Then the clean short and long reads were assembled to construct complete genomes using Unicycle v0.4.8</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&lt;EndNote&gt;&lt;Cite&gt;&lt;Author&gt;Phillippy&lt;/Author&gt;&lt;Year&gt;2017&lt;/Year&gt;&lt;RecNum&gt;153&lt;/RecNum&gt;&lt;DisplayText&gt;[19]&lt;/DisplayText&gt;&lt;record&gt;&lt;rec-number&gt;153&lt;/rec-number&gt;&lt;foreign-keys&gt;&lt;key app="EN" db-id="vtefzvevx95ewhefeaspwdtta925xxe5xszf" timestamp="1749197503"&gt;153&lt;/key&gt;&lt;/foreign-keys&gt;&lt;ref-type name="Journal Article"&gt;17&lt;/ref-type&gt;&lt;contributors&gt;&lt;authors&gt;&lt;author&gt;Phillippy, Adam M.&lt;/author&gt;&lt;author&gt;Wick, Ryan R.&lt;/author&gt;&lt;author&gt;Judd, Louise M.&lt;/author&gt;&lt;author&gt;Gorrie, Claire L.&lt;/author&gt;&lt;author&gt;Holt, Kathryn E.&lt;/author&gt;&lt;/authors&gt;&lt;/contributors&gt;&lt;titles&gt;&lt;title&gt;Unicycler: Resolving bacterial genome assemblies from short and long sequencing reads&lt;/title&gt;&lt;secondary-title&gt;PLOS Computational Biology&lt;/secondary-title&gt;&lt;/titles&gt;&lt;periodical&gt;&lt;full-title&gt;PLOS Computational Biology&lt;/full-title&gt;&lt;/periodical&gt;&lt;volume&gt;13&lt;/volume&gt;&lt;number&gt;6&lt;/number&gt;&lt;section&gt;e1005595&lt;/section&gt;&lt;dates&gt;&lt;year&gt;2017&lt;/year&gt;&lt;/dates&gt;&lt;isbn&gt;1553-7358&lt;/isbn&gt;&lt;urls&gt;&lt;/urls&gt;&lt;electronic-resource-num&gt;10.1371/journal.pcbi.1005595&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t xml:space="preserve">. As a final step, </w:t>
      </w:r>
      <w:proofErr w:type="spellStart"/>
      <w:r>
        <w:rPr>
          <w:rFonts w:ascii="Times New Roman" w:hAnsi="Times New Roman" w:cs="Times New Roman"/>
          <w:sz w:val="24"/>
          <w:szCs w:val="24"/>
        </w:rPr>
        <w:t>Unicycler</w:t>
      </w:r>
      <w:proofErr w:type="spellEnd"/>
      <w:r>
        <w:rPr>
          <w:rFonts w:ascii="Times New Roman" w:hAnsi="Times New Roman" w:cs="Times New Roman"/>
          <w:sz w:val="24"/>
          <w:szCs w:val="24"/>
        </w:rPr>
        <w:t xml:space="preserve"> uses Pilon v1.22 to polish the assembly using short-read alignments, reducing the rate of small errors. The coding sequences (CDs) of the chromosome and plasmid were predicted using Glimmer</w:t>
      </w:r>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&lt;EndNote&gt;&lt;Cite&gt;&lt;Author&gt;Delcher&lt;/Author&gt;&lt;Year&gt;2007&lt;/Year&gt;&lt;RecNum&gt;9&lt;/RecNum&gt;&lt;DisplayText&gt;[20]&lt;/DisplayText&gt;&lt;record&gt;&lt;rec-number&gt;9&lt;/rec-number&gt;&lt;foreign-keys&gt;&lt;key app="EN" db-id="ts5r0xx0i2200me5ptxpprsz2fxe5efxzarr" timestamp="1749191878"&gt;9&lt;/key&gt;&lt;/foreign-keys&gt;&lt;ref-type name="Journal Article"&gt;17&lt;/ref-type&gt;&lt;contributors&gt;&lt;authors&gt;&lt;author&gt;Delcher, Al&lt;/author&gt;&lt;author&gt;Bratke, Ka&lt;/author&gt;&lt;author&gt;Powers, Ec&lt;/author&gt;&lt;author&gt;Salzberg, Sl&lt;/author&gt;&lt;/authors&gt;&lt;/contributors&gt;&lt;titles&gt;&lt;title&gt;Identifying bacterial genes and endosymbiont DNA with Glimmer&lt;/title&gt;&lt;secondary-title&gt;Bioinformatics&lt;/secondary-title&gt;&lt;/titles&gt;&lt;pages&gt;673-679&lt;/pages&gt;&lt;volume&gt;23&lt;/volume&gt;&lt;number&gt;6&lt;/number&gt;&lt;dates&gt;&lt;year&gt;2007&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t xml:space="preserve"> and </w:t>
      </w:r>
      <w:proofErr w:type="spellStart"/>
      <w:r>
        <w:rPr>
          <w:rFonts w:ascii="Times New Roman" w:hAnsi="Times New Roman" w:cs="Times New Roman"/>
          <w:sz w:val="24"/>
          <w:szCs w:val="24"/>
        </w:rPr>
        <w:t>GeneMarkS</w:t>
      </w:r>
      <w:proofErr w:type="spellEnd"/>
      <w:r>
        <w:rPr>
          <w:rFonts w:ascii="Times New Roman" w:hAnsi="Times New Roman" w:cs="Times New Roman" w:hint="eastAsia"/>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&lt;EndNote&gt;&lt;Cite&gt;&lt;Author&gt;Besemer&lt;/Author&gt;&lt;Year&gt;2005&lt;/Year&gt;&lt;RecNum&gt;154&lt;/RecNum&gt;&lt;DisplayText&gt;[21]&lt;/DisplayText&gt;&lt;record&gt;&lt;rec-number&gt;154&lt;/rec-number&gt;&lt;foreign-keys&gt;&lt;key app="EN" db-id="vtefzvevx95ewhefeaspwdtta925xxe5xszf" timestamp="1749197718"&gt;154&lt;/key&gt;&lt;/foreign-keys&gt;&lt;ref-type name="Journal Article"&gt;17&lt;/ref-type&gt;&lt;contributors&gt;&lt;authors&gt;&lt;author&gt;Besemer, J.&lt;/author&gt;&lt;author&gt;Borodovsky, M.&lt;/author&gt;&lt;/authors&gt;&lt;/contributors&gt;&lt;titles&gt;&lt;title&gt;GeneMark: web software for gene finding in prokaryotes, eukaryotes and viruses&lt;/title&gt;&lt;secondary-title&gt;Nucleic Acids Research&lt;/secondary-title&gt;&lt;/titles&gt;&lt;periodical&gt;&lt;full-title&gt;Nucleic Acids Research&lt;/full-title&gt;&lt;/periodical&gt;&lt;pages&gt;W451-W454&lt;/pages&gt;&lt;volume&gt;33&lt;/volume&gt;&lt;number&gt;Web Server&lt;/number&gt;&lt;section&gt;W451&lt;/section&gt;&lt;dates&gt;&lt;year&gt;2005&lt;/year&gt;&lt;/dates&gt;&lt;isbn&gt;0305-1048&amp;#xD;1362-4962&lt;/isbn&gt;&lt;urls&gt;&lt;/urls&gt;&lt;electronic-resource-num&gt;10.1093/nar/gki487&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r>
        <w:rPr>
          <w:rFonts w:ascii="Times New Roman" w:hAnsi="Times New Roman" w:cs="Times New Roman"/>
          <w:sz w:val="24"/>
          <w:szCs w:val="24"/>
        </w:rPr>
        <w:t>, respectively. tRNA-scan-SE (v 2.0)</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&lt;EndNote&gt;&lt;Cite&gt;&lt;Author&gt;Chan&lt;/Author&gt;&lt;Year&gt;2019&lt;/Year&gt;&lt;RecNum&gt;155&lt;/RecNum&gt;&lt;DisplayText&gt;[22]&lt;/DisplayText&gt;&lt;record&gt;&lt;rec-number&gt;155&lt;/rec-number&gt;&lt;foreign-keys&gt;&lt;key app="EN" db-id="vtefzvevx95ewhefeaspwdtta925xxe5xszf" timestamp="1749197851"&gt;155&lt;/key&gt;&lt;/foreign-keys&gt;&lt;ref-type name="Book Section"&gt;5&lt;/ref-type&gt;&lt;contributors&gt;&lt;authors&gt;&lt;author&gt;Chan, Patricia P.&lt;/author&gt;&lt;author&gt;Lowe, Todd M.&lt;/author&gt;&lt;/authors&gt;&lt;/contributors&gt;&lt;titles&gt;&lt;title&gt;tRNAscan-SE: Searching for tRNA genes in genomic sequences&lt;/title&gt;&lt;secondary-title&gt;Gene Prediction&lt;/secondary-title&gt;&lt;tertiary-title&gt;Methods in Molecular Biology&lt;/tertiary-title&gt;&lt;/titles&gt;&lt;pages&gt;1-14&lt;/pages&gt;&lt;section&gt;Chapter 1&lt;/section&gt;&lt;dates&gt;&lt;year&gt;2019&lt;/year&gt;&lt;/dates&gt;&lt;isbn&gt;978-1-4939-9172-3&amp;#xD;978-1-4939-9173-0&lt;/isbn&gt;&lt;urls&gt;&lt;/urls&gt;&lt;electronic-resource-num&gt;10.1007/978-1-4939-9173-0_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was used for tRNA prediction and </w:t>
      </w:r>
      <w:proofErr w:type="spellStart"/>
      <w:r>
        <w:rPr>
          <w:rFonts w:ascii="Times New Roman" w:hAnsi="Times New Roman" w:cs="Times New Roman"/>
          <w:sz w:val="24"/>
          <w:szCs w:val="24"/>
        </w:rPr>
        <w:t>Barrnap</w:t>
      </w:r>
      <w:proofErr w:type="spellEnd"/>
      <w:r>
        <w:rPr>
          <w:rFonts w:ascii="Times New Roman" w:hAnsi="Times New Roman" w:cs="Times New Roman"/>
          <w:sz w:val="24"/>
          <w:szCs w:val="24"/>
        </w:rPr>
        <w:t xml:space="preserve"> v0.9 (https://github.com/tseemann/barrnap) was used for rRNA prediction. The predicted CDs were annotated from NR, Swiss-Prot, </w:t>
      </w:r>
      <w:proofErr w:type="spellStart"/>
      <w:r>
        <w:rPr>
          <w:rFonts w:ascii="Times New Roman" w:hAnsi="Times New Roman" w:cs="Times New Roman"/>
          <w:sz w:val="24"/>
          <w:szCs w:val="24"/>
        </w:rPr>
        <w:t>Pfam</w:t>
      </w:r>
      <w:proofErr w:type="spellEnd"/>
      <w:r>
        <w:rPr>
          <w:rFonts w:ascii="Times New Roman" w:hAnsi="Times New Roman" w:cs="Times New Roman"/>
          <w:sz w:val="24"/>
          <w:szCs w:val="24"/>
        </w:rPr>
        <w:t>, GO, COG, and KEGG databases using sequence alignment tools such as BLASTP, Diamond, and HMMER. Briefly, each set of query proteins was aligned with the databases, and annotations of best-matched subjects (e-value &lt; 10</w:t>
      </w:r>
      <w:r>
        <w:rPr>
          <w:rFonts w:ascii="Times New Roman" w:hAnsi="Times New Roman" w:cs="Times New Roman"/>
          <w:sz w:val="24"/>
          <w:szCs w:val="24"/>
          <w:vertAlign w:val="superscript"/>
        </w:rPr>
        <w:t>-5</w:t>
      </w:r>
      <w:r>
        <w:rPr>
          <w:rFonts w:ascii="Times New Roman" w:hAnsi="Times New Roman" w:cs="Times New Roman"/>
          <w:sz w:val="24"/>
          <w:szCs w:val="24"/>
        </w:rPr>
        <w:t xml:space="preserve">) were obtained for gene annotation. Biosynthetic gene clusters (BGCs) of secondary metabolites were identified by </w:t>
      </w:r>
      <w:proofErr w:type="spellStart"/>
      <w:r>
        <w:rPr>
          <w:rFonts w:ascii="Times New Roman" w:hAnsi="Times New Roman" w:cs="Times New Roman"/>
          <w:sz w:val="24"/>
          <w:szCs w:val="24"/>
        </w:rPr>
        <w:t>antiSMASH</w:t>
      </w:r>
      <w:proofErr w:type="spellEnd"/>
      <w:r>
        <w:rPr>
          <w:rFonts w:ascii="Times New Roman" w:hAnsi="Times New Roman" w:cs="Times New Roman"/>
          <w:sz w:val="24"/>
          <w:szCs w:val="24"/>
        </w:rPr>
        <w:t xml:space="preserve"> v5.1.2 software.</w:t>
      </w:r>
    </w:p>
    <w:p w14:paraId="20DEBC7F" w14:textId="77777777" w:rsidR="00471529" w:rsidRDefault="00471529">
      <w:pPr>
        <w:spacing w:line="360" w:lineRule="auto"/>
        <w:rPr>
          <w:rFonts w:ascii="Times New Roman" w:hAnsi="Times New Roman" w:cs="Times New Roman"/>
          <w:b/>
          <w:sz w:val="24"/>
          <w:szCs w:val="24"/>
        </w:rPr>
      </w:pPr>
    </w:p>
    <w:p w14:paraId="1BF21CAB"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S11. Determination of the </w:t>
      </w:r>
      <w:bookmarkStart w:id="18" w:name="_Hlk200115552"/>
      <w:r>
        <w:rPr>
          <w:rFonts w:ascii="Times New Roman" w:hAnsi="Times New Roman" w:cs="Times New Roman"/>
          <w:b/>
          <w:sz w:val="24"/>
          <w:szCs w:val="24"/>
        </w:rPr>
        <w:t>minimum inhibitory concentration</w:t>
      </w:r>
      <w:bookmarkEnd w:id="18"/>
      <w:r>
        <w:rPr>
          <w:rFonts w:ascii="Times New Roman" w:hAnsi="Times New Roman" w:cs="Times New Roman"/>
          <w:b/>
          <w:sz w:val="24"/>
          <w:szCs w:val="24"/>
        </w:rPr>
        <w:t xml:space="preserve"> (MIC) of phycospheric isolates on FF</w:t>
      </w:r>
    </w:p>
    <w:p w14:paraId="32429F5E"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minimum inhibitory concentrations (MIC) of different phycospheric isolates on FF were determined by a method of 96-well microtiter assay. Specifically, the FF </w:t>
      </w:r>
      <w:r>
        <w:rPr>
          <w:rFonts w:ascii="Times New Roman" w:hAnsi="Times New Roman" w:cs="Times New Roman"/>
          <w:sz w:val="24"/>
          <w:szCs w:val="24"/>
        </w:rPr>
        <w:lastRenderedPageBreak/>
        <w:t xml:space="preserve">mother liquor was diluted in multiples to give a final concentration range of 4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to 256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mL.</w:t>
      </w:r>
      <w:proofErr w:type="spellEnd"/>
      <w:r>
        <w:rPr>
          <w:rFonts w:ascii="Times New Roman" w:hAnsi="Times New Roman" w:cs="Times New Roman"/>
          <w:sz w:val="24"/>
          <w:szCs w:val="24"/>
        </w:rPr>
        <w:t xml:space="preserve"> Then, 10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of FF solution, 10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of bacterial solution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CFU/mL), and 80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of MH medium were added to each well of a sterile 96-well plate and incubated at 30℃ for 16-18 h. The wells without bacterial solution and without FF solution were used as negative and positive controls, respectively. Three biological replicates were performed for each of the above treatments. The criterion of MIC was that the OD</w:t>
      </w:r>
      <w:r>
        <w:rPr>
          <w:rFonts w:ascii="Times New Roman" w:hAnsi="Times New Roman" w:cs="Times New Roman"/>
          <w:sz w:val="24"/>
          <w:szCs w:val="24"/>
          <w:vertAlign w:val="subscript"/>
        </w:rPr>
        <w:t>600</w:t>
      </w:r>
      <w:r>
        <w:rPr>
          <w:rFonts w:ascii="Times New Roman" w:hAnsi="Times New Roman" w:cs="Times New Roman"/>
          <w:sz w:val="24"/>
          <w:szCs w:val="24"/>
        </w:rPr>
        <w:t xml:space="preserve"> value of the tested sample was the same as that of the negative control.</w:t>
      </w:r>
    </w:p>
    <w:p w14:paraId="40E8AB6C" w14:textId="77777777" w:rsidR="00471529" w:rsidRDefault="00471529">
      <w:pPr>
        <w:spacing w:line="360" w:lineRule="auto"/>
        <w:ind w:firstLineChars="200" w:firstLine="480"/>
        <w:rPr>
          <w:rFonts w:ascii="Times New Roman" w:hAnsi="Times New Roman" w:cs="Times New Roman"/>
          <w:sz w:val="24"/>
          <w:szCs w:val="24"/>
        </w:rPr>
      </w:pPr>
    </w:p>
    <w:p w14:paraId="390512A5"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Text S12. </w:t>
      </w:r>
      <w:r>
        <w:rPr>
          <w:rFonts w:ascii="Times New Roman" w:hAnsi="Times New Roman" w:cs="Times New Roman" w:hint="eastAsia"/>
          <w:b/>
          <w:sz w:val="24"/>
          <w:szCs w:val="24"/>
        </w:rPr>
        <w:t>C</w:t>
      </w:r>
      <w:r>
        <w:rPr>
          <w:rFonts w:ascii="Times New Roman" w:hAnsi="Times New Roman" w:cs="Times New Roman"/>
          <w:b/>
          <w:sz w:val="24"/>
          <w:szCs w:val="24"/>
        </w:rPr>
        <w:t xml:space="preserve">o-culture of phycospheric isolates and </w:t>
      </w:r>
      <w:r>
        <w:rPr>
          <w:rFonts w:ascii="Times New Roman" w:hAnsi="Times New Roman" w:cs="Times New Roman"/>
          <w:b/>
          <w:i/>
          <w:iCs/>
          <w:sz w:val="24"/>
          <w:szCs w:val="24"/>
        </w:rPr>
        <w:t>A. pyrenoidosa</w:t>
      </w:r>
    </w:p>
    <w:p w14:paraId="12A91791"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In the co-culture experiment, the selected phycospheric bacteria and axenic </w:t>
      </w:r>
      <w:r>
        <w:rPr>
          <w:rFonts w:ascii="Times New Roman" w:hAnsi="Times New Roman" w:cs="Times New Roman"/>
          <w:i/>
          <w:iCs/>
          <w:sz w:val="24"/>
          <w:szCs w:val="24"/>
        </w:rPr>
        <w:t>A. pyrenoidosa</w:t>
      </w:r>
      <w:r>
        <w:rPr>
          <w:rFonts w:ascii="Times New Roman" w:hAnsi="Times New Roman" w:cs="Times New Roman"/>
          <w:sz w:val="24"/>
          <w:szCs w:val="24"/>
        </w:rPr>
        <w:t xml:space="preserve"> were co-inoculated into conical flasks containing 400 mL BG-11 medium at an initial density of 1.0 × 10</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proofErr w:type="spellStart"/>
      <w:r>
        <w:rPr>
          <w:rFonts w:ascii="Times New Roman" w:hAnsi="Times New Roman" w:cs="Times New Roman"/>
          <w:sz w:val="24"/>
          <w:szCs w:val="24"/>
        </w:rPr>
        <w:t>ind</w:t>
      </w:r>
      <w:proofErr w:type="spellEnd"/>
      <w:r>
        <w:rPr>
          <w:rFonts w:ascii="Times New Roman" w:hAnsi="Times New Roman" w:cs="Times New Roman"/>
          <w:sz w:val="24"/>
          <w:szCs w:val="24"/>
        </w:rPr>
        <w:t xml:space="preserve">/mL for </w:t>
      </w:r>
      <w:r>
        <w:rPr>
          <w:rFonts w:ascii="Times New Roman" w:hAnsi="Times New Roman" w:cs="Times New Roman"/>
          <w:i/>
          <w:iCs/>
          <w:sz w:val="24"/>
          <w:szCs w:val="24"/>
        </w:rPr>
        <w:t>A. pyrenoidosa</w:t>
      </w:r>
      <w:r>
        <w:rPr>
          <w:rFonts w:ascii="Times New Roman" w:hAnsi="Times New Roman" w:cs="Times New Roman"/>
          <w:sz w:val="24"/>
          <w:szCs w:val="24"/>
        </w:rPr>
        <w:t xml:space="preserve"> and 1.0 × 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CFU/mL for bacteria. To further test whether phycospheric bacteria could promote the adaptation of </w:t>
      </w:r>
      <w:r>
        <w:rPr>
          <w:rFonts w:ascii="Times New Roman" w:hAnsi="Times New Roman" w:cs="Times New Roman"/>
          <w:i/>
          <w:iCs/>
          <w:sz w:val="24"/>
          <w:szCs w:val="24"/>
        </w:rPr>
        <w:t>A. pyrenoidosa</w:t>
      </w:r>
      <w:r>
        <w:rPr>
          <w:rFonts w:ascii="Times New Roman" w:hAnsi="Times New Roman" w:cs="Times New Roman"/>
          <w:sz w:val="24"/>
          <w:szCs w:val="24"/>
        </w:rPr>
        <w:t xml:space="preserve"> to FF and PLA MPs exposure, FF and PLA MPs were added to the co-culture system. Five different treatments were set up, as shown in </w:t>
      </w:r>
      <w:r>
        <w:rPr>
          <w:rFonts w:ascii="Times New Roman" w:hAnsi="Times New Roman" w:cs="Times New Roman"/>
          <w:color w:val="0070C0"/>
          <w:sz w:val="24"/>
          <w:szCs w:val="24"/>
        </w:rPr>
        <w:t>Table S3</w:t>
      </w:r>
      <w:r>
        <w:rPr>
          <w:rFonts w:ascii="Times New Roman" w:hAnsi="Times New Roman" w:cs="Times New Roman"/>
          <w:sz w:val="24"/>
          <w:szCs w:val="24"/>
        </w:rPr>
        <w:t>. Each treatment was performed in triplicate, and these flasks were incubated for 14 days at 25 ± 1°C, illuminated with 3000 ± 300 lux with a 12h/12h light/dark interval, and shaken at least three times daily.</w:t>
      </w:r>
    </w:p>
    <w:p w14:paraId="7BF9BE0F" w14:textId="77777777" w:rsidR="00471529" w:rsidRDefault="00471529">
      <w:pPr>
        <w:spacing w:line="360" w:lineRule="auto"/>
        <w:rPr>
          <w:rFonts w:ascii="Times New Roman" w:hAnsi="Times New Roman" w:cs="Times New Roman"/>
          <w:sz w:val="24"/>
          <w:szCs w:val="24"/>
        </w:rPr>
      </w:pPr>
    </w:p>
    <w:p w14:paraId="36FD41FB"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Text S13. Quantification of FF and the metabolite pyridoxal</w:t>
      </w:r>
    </w:p>
    <w:p w14:paraId="2CD90FD4"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concentration of FF and </w:t>
      </w:r>
      <w:bookmarkStart w:id="19" w:name="_Hlk179276804"/>
      <w:r>
        <w:rPr>
          <w:rFonts w:ascii="Times New Roman" w:hAnsi="Times New Roman" w:cs="Times New Roman"/>
          <w:sz w:val="24"/>
          <w:szCs w:val="24"/>
        </w:rPr>
        <w:t>pyridoxal</w:t>
      </w:r>
      <w:bookmarkEnd w:id="19"/>
      <w:r>
        <w:rPr>
          <w:rFonts w:ascii="Times New Roman" w:hAnsi="Times New Roman" w:cs="Times New Roman"/>
          <w:sz w:val="24"/>
          <w:szCs w:val="24"/>
        </w:rPr>
        <w:t xml:space="preserve"> in the medium was determined by </w:t>
      </w:r>
      <w:bookmarkStart w:id="20" w:name="_Hlk179812034"/>
      <w:r>
        <w:rPr>
          <w:rFonts w:ascii="Times New Roman" w:hAnsi="Times New Roman" w:cs="Times New Roman"/>
          <w:sz w:val="24"/>
          <w:szCs w:val="24"/>
        </w:rPr>
        <w:t>ultra-performance liquid chromatography mass spectrometry (UPLC-MS/MS)</w:t>
      </w:r>
      <w:bookmarkEnd w:id="20"/>
      <w:r>
        <w:rPr>
          <w:rFonts w:ascii="Times New Roman" w:hAnsi="Times New Roman" w:cs="Times New Roman"/>
          <w:sz w:val="24"/>
          <w:szCs w:val="24"/>
        </w:rPr>
        <w:t xml:space="preserve"> (Waters ACQUITY UPLC H-Class coupled to </w:t>
      </w:r>
      <w:proofErr w:type="spellStart"/>
      <w:r>
        <w:rPr>
          <w:rFonts w:ascii="Times New Roman" w:hAnsi="Times New Roman" w:cs="Times New Roman"/>
          <w:sz w:val="24"/>
          <w:szCs w:val="24"/>
        </w:rPr>
        <w:t>Xevo</w:t>
      </w:r>
      <w:proofErr w:type="spellEnd"/>
      <w:r>
        <w:rPr>
          <w:rFonts w:ascii="Times New Roman" w:hAnsi="Times New Roman" w:cs="Times New Roman"/>
          <w:sz w:val="24"/>
          <w:szCs w:val="24"/>
        </w:rPr>
        <w:t xml:space="preserve"> TQ). </w:t>
      </w:r>
    </w:p>
    <w:p w14:paraId="1E410319"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For the determination of FF, analytes were separated using an ACQUITY UPLC BEH C18 column (2.1 × 100 mm, 1.7 μm). The mobile phase, consisting of ultrapure water (A) and methanol (B), was used in gradient elution as follows: (</w:t>
      </w:r>
      <w:proofErr w:type="spellStart"/>
      <w:r>
        <w:rPr>
          <w:rFonts w:ascii="Times New Roman" w:hAnsi="Times New Roman" w:cs="Times New Roman"/>
          <w:sz w:val="24"/>
          <w:szCs w:val="24"/>
        </w:rPr>
        <w:t>Tmin</w:t>
      </w:r>
      <w:proofErr w:type="spellEnd"/>
      <w:r>
        <w:rPr>
          <w:rFonts w:ascii="Times New Roman" w:hAnsi="Times New Roman" w:cs="Times New Roman"/>
          <w:sz w:val="24"/>
          <w:szCs w:val="24"/>
        </w:rPr>
        <w:t xml:space="preserve">/methanol): 0.0–1.0/20%, 1.0–4.0/90%, 4.0-5.0/90%, 5.0-5.1/20%, and 5.1–7.0/20%. The injection volume was 5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and the flow rate was set at 0.25 mL/min. The column temperature was maintained at 40°C. The mass spectrometric data were collected using a mass spectrometer (</w:t>
      </w:r>
      <w:proofErr w:type="spellStart"/>
      <w:r>
        <w:rPr>
          <w:rFonts w:ascii="Times New Roman" w:hAnsi="Times New Roman" w:cs="Times New Roman"/>
          <w:sz w:val="24"/>
          <w:szCs w:val="24"/>
        </w:rPr>
        <w:t>Xevo</w:t>
      </w:r>
      <w:proofErr w:type="spellEnd"/>
      <w:r>
        <w:rPr>
          <w:rFonts w:ascii="Times New Roman" w:hAnsi="Times New Roman" w:cs="Times New Roman"/>
          <w:sz w:val="24"/>
          <w:szCs w:val="24"/>
        </w:rPr>
        <w:t xml:space="preserve"> TQ) equipped with an electrospray ionization (ESI) source </w:t>
      </w:r>
      <w:r>
        <w:rPr>
          <w:rFonts w:ascii="Times New Roman" w:hAnsi="Times New Roman" w:cs="Times New Roman"/>
          <w:sz w:val="24"/>
          <w:szCs w:val="24"/>
        </w:rPr>
        <w:lastRenderedPageBreak/>
        <w:t xml:space="preserve">operating in negative ion mode. The optimal conditions were set as follows: capillary voltage at 2500 V; </w:t>
      </w:r>
      <w:proofErr w:type="spellStart"/>
      <w:r>
        <w:rPr>
          <w:rFonts w:ascii="Times New Roman" w:hAnsi="Times New Roman" w:cs="Times New Roman"/>
          <w:sz w:val="24"/>
          <w:szCs w:val="24"/>
        </w:rPr>
        <w:t>desolvation</w:t>
      </w:r>
      <w:proofErr w:type="spellEnd"/>
      <w:r>
        <w:rPr>
          <w:rFonts w:ascii="Times New Roman" w:hAnsi="Times New Roman" w:cs="Times New Roman"/>
          <w:sz w:val="24"/>
          <w:szCs w:val="24"/>
        </w:rPr>
        <w:t xml:space="preserve"> temperature at 350℃; </w:t>
      </w:r>
      <w:proofErr w:type="spellStart"/>
      <w:r>
        <w:rPr>
          <w:rFonts w:ascii="Times New Roman" w:hAnsi="Times New Roman" w:cs="Times New Roman"/>
          <w:sz w:val="24"/>
          <w:szCs w:val="24"/>
        </w:rPr>
        <w:t>desolvation</w:t>
      </w:r>
      <w:proofErr w:type="spellEnd"/>
      <w:r>
        <w:rPr>
          <w:rFonts w:ascii="Times New Roman" w:hAnsi="Times New Roman" w:cs="Times New Roman"/>
          <w:sz w:val="24"/>
          <w:szCs w:val="24"/>
        </w:rPr>
        <w:t xml:space="preserve"> gas flow at 650 L/</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collision gas flow at 0.15 mL/min. FF and FF-D3 were detected in multiple reaction monitoring (MRM) mode as shown in</w:t>
      </w:r>
      <w:r>
        <w:rPr>
          <w:rFonts w:ascii="Times New Roman" w:hAnsi="Times New Roman" w:cs="Times New Roman"/>
          <w:color w:val="0070C0"/>
          <w:sz w:val="24"/>
          <w:szCs w:val="24"/>
        </w:rPr>
        <w:t xml:space="preserve"> Table S4</w:t>
      </w:r>
      <w:r>
        <w:rPr>
          <w:rFonts w:ascii="Times New Roman" w:hAnsi="Times New Roman" w:cs="Times New Roman"/>
          <w:sz w:val="24"/>
          <w:szCs w:val="24"/>
        </w:rPr>
        <w:t xml:space="preserve">. The mass spectra of FF and FF-D3 are shown in </w:t>
      </w:r>
      <w:r>
        <w:rPr>
          <w:rFonts w:ascii="Times New Roman" w:hAnsi="Times New Roman" w:cs="Times New Roman"/>
          <w:color w:val="0070C0"/>
          <w:sz w:val="24"/>
          <w:szCs w:val="24"/>
        </w:rPr>
        <w:t>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S</w:t>
      </w:r>
      <w:r>
        <w:rPr>
          <w:rFonts w:ascii="Times New Roman" w:hAnsi="Times New Roman" w:cs="Times New Roman" w:hint="eastAsia"/>
          <w:color w:val="0070C0"/>
          <w:sz w:val="24"/>
          <w:szCs w:val="24"/>
        </w:rPr>
        <w:t>14</w:t>
      </w:r>
      <w:r>
        <w:rPr>
          <w:rFonts w:ascii="Times New Roman" w:hAnsi="Times New Roman" w:cs="Times New Roman"/>
          <w:color w:val="0070C0"/>
          <w:sz w:val="24"/>
          <w:szCs w:val="24"/>
        </w:rPr>
        <w:t>A</w:t>
      </w:r>
      <w:r>
        <w:rPr>
          <w:rFonts w:ascii="Times New Roman" w:hAnsi="Times New Roman" w:cs="Times New Roman"/>
          <w:sz w:val="24"/>
          <w:szCs w:val="24"/>
        </w:rPr>
        <w:t>.</w:t>
      </w:r>
    </w:p>
    <w:p w14:paraId="3F2089B5"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For the determination of </w:t>
      </w:r>
      <w:bookmarkStart w:id="21" w:name="_Hlk179278252"/>
      <w:r>
        <w:rPr>
          <w:rFonts w:ascii="Times New Roman" w:hAnsi="Times New Roman" w:cs="Times New Roman"/>
          <w:sz w:val="24"/>
          <w:szCs w:val="24"/>
        </w:rPr>
        <w:t>pyridoxal</w:t>
      </w:r>
      <w:bookmarkEnd w:id="21"/>
      <w:r>
        <w:rPr>
          <w:rFonts w:ascii="Times New Roman" w:hAnsi="Times New Roman" w:cs="Times New Roman"/>
          <w:sz w:val="24"/>
          <w:szCs w:val="24"/>
        </w:rPr>
        <w:t>, analytes were separated using an ACQUITY UPLC BEH C18 column (2.1 × 50 mm, 1.7 μm). The mobile phase, consisting of 0.1% formic acid in ultrapure water (A) and 0.1% formic acid in methanol (B), was used in gradient elution as follows: (</w:t>
      </w:r>
      <w:proofErr w:type="spellStart"/>
      <w:r>
        <w:rPr>
          <w:rFonts w:ascii="Times New Roman" w:hAnsi="Times New Roman" w:cs="Times New Roman"/>
          <w:sz w:val="24"/>
          <w:szCs w:val="24"/>
        </w:rPr>
        <w:t>Tmin</w:t>
      </w:r>
      <w:proofErr w:type="spellEnd"/>
      <w:r>
        <w:rPr>
          <w:rFonts w:ascii="Times New Roman" w:hAnsi="Times New Roman" w:cs="Times New Roman"/>
          <w:sz w:val="24"/>
          <w:szCs w:val="24"/>
        </w:rPr>
        <w:t xml:space="preserve">/B): 0.0–2.0/5%, 2.0–4.0/80%, 4.0-4.1/5%, and 4.1–7.0/5%. The injection volume was 2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and the flow rate was set at 0.2 mL/min. </w:t>
      </w:r>
      <w:bookmarkStart w:id="22" w:name="OLE_LINK6"/>
      <w:r>
        <w:rPr>
          <w:rFonts w:ascii="Times New Roman" w:hAnsi="Times New Roman" w:cs="Times New Roman"/>
          <w:sz w:val="24"/>
          <w:szCs w:val="24"/>
        </w:rPr>
        <w:t>The column temperature was maintained at 40°C. The mass spectrometric data were collected using a mass spectrometer (</w:t>
      </w:r>
      <w:proofErr w:type="spellStart"/>
      <w:r>
        <w:rPr>
          <w:rFonts w:ascii="Times New Roman" w:hAnsi="Times New Roman" w:cs="Times New Roman"/>
          <w:sz w:val="24"/>
          <w:szCs w:val="24"/>
        </w:rPr>
        <w:t>Xevo</w:t>
      </w:r>
      <w:proofErr w:type="spellEnd"/>
      <w:r>
        <w:rPr>
          <w:rFonts w:ascii="Times New Roman" w:hAnsi="Times New Roman" w:cs="Times New Roman"/>
          <w:sz w:val="24"/>
          <w:szCs w:val="24"/>
        </w:rPr>
        <w:t xml:space="preserve"> TQ) equipped with an electrospray ionization (ESI) source operating in </w:t>
      </w:r>
      <w:r>
        <w:rPr>
          <w:rFonts w:ascii="Times New Roman" w:hAnsi="Times New Roman" w:cs="Times New Roman" w:hint="eastAsia"/>
          <w:sz w:val="24"/>
          <w:szCs w:val="24"/>
        </w:rPr>
        <w:t>positive</w:t>
      </w:r>
      <w:r>
        <w:rPr>
          <w:rFonts w:ascii="Times New Roman" w:hAnsi="Times New Roman" w:cs="Times New Roman"/>
          <w:sz w:val="24"/>
          <w:szCs w:val="24"/>
        </w:rPr>
        <w:t xml:space="preserve"> ion mode. The optimal conditions were set as follows: capillary voltage at 2500 V; </w:t>
      </w:r>
      <w:proofErr w:type="spellStart"/>
      <w:r>
        <w:rPr>
          <w:rFonts w:ascii="Times New Roman" w:hAnsi="Times New Roman" w:cs="Times New Roman"/>
          <w:sz w:val="24"/>
          <w:szCs w:val="24"/>
        </w:rPr>
        <w:t>desolvation</w:t>
      </w:r>
      <w:proofErr w:type="spellEnd"/>
      <w:r>
        <w:rPr>
          <w:rFonts w:ascii="Times New Roman" w:hAnsi="Times New Roman" w:cs="Times New Roman"/>
          <w:sz w:val="24"/>
          <w:szCs w:val="24"/>
        </w:rPr>
        <w:t xml:space="preserve"> temperature at 350℃; </w:t>
      </w:r>
      <w:proofErr w:type="spellStart"/>
      <w:r>
        <w:rPr>
          <w:rFonts w:ascii="Times New Roman" w:hAnsi="Times New Roman" w:cs="Times New Roman"/>
          <w:sz w:val="24"/>
          <w:szCs w:val="24"/>
        </w:rPr>
        <w:t>desolvation</w:t>
      </w:r>
      <w:proofErr w:type="spellEnd"/>
      <w:r>
        <w:rPr>
          <w:rFonts w:ascii="Times New Roman" w:hAnsi="Times New Roman" w:cs="Times New Roman"/>
          <w:sz w:val="24"/>
          <w:szCs w:val="24"/>
        </w:rPr>
        <w:t xml:space="preserve"> gas flow at 650 L/</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collision gas flow at 0.15 mL/min. Pyridoxal and pyridoxal-D3</w:t>
      </w:r>
      <w:bookmarkEnd w:id="22"/>
      <w:r>
        <w:rPr>
          <w:rFonts w:ascii="Times New Roman" w:hAnsi="Times New Roman" w:cs="Times New Roman"/>
          <w:sz w:val="24"/>
          <w:szCs w:val="24"/>
        </w:rPr>
        <w:t xml:space="preserve"> were detected in multiple reaction monitoring (MRM) mode as shown in </w:t>
      </w:r>
      <w:r>
        <w:rPr>
          <w:rFonts w:ascii="Times New Roman" w:hAnsi="Times New Roman" w:cs="Times New Roman"/>
          <w:color w:val="0070C0"/>
          <w:sz w:val="24"/>
          <w:szCs w:val="24"/>
        </w:rPr>
        <w:t>Table S4</w:t>
      </w:r>
      <w:r>
        <w:rPr>
          <w:rFonts w:ascii="Times New Roman" w:hAnsi="Times New Roman" w:cs="Times New Roman"/>
          <w:sz w:val="24"/>
          <w:szCs w:val="24"/>
        </w:rPr>
        <w:t xml:space="preserve">. The mass spectra of pyridoxal and pyridoxal-D3 are shown in </w:t>
      </w:r>
      <w:r>
        <w:rPr>
          <w:rFonts w:ascii="Times New Roman" w:hAnsi="Times New Roman" w:cs="Times New Roman"/>
          <w:color w:val="0070C0"/>
          <w:sz w:val="24"/>
          <w:szCs w:val="24"/>
        </w:rPr>
        <w:t>Fig</w:t>
      </w:r>
      <w:r>
        <w:rPr>
          <w:rFonts w:ascii="Times New Roman" w:hAnsi="Times New Roman" w:cs="Times New Roman" w:hint="eastAsia"/>
          <w:color w:val="0070C0"/>
          <w:sz w:val="24"/>
          <w:szCs w:val="24"/>
        </w:rPr>
        <w:t>.</w:t>
      </w:r>
      <w:r>
        <w:rPr>
          <w:rFonts w:ascii="Times New Roman" w:hAnsi="Times New Roman" w:cs="Times New Roman"/>
          <w:color w:val="0070C0"/>
          <w:sz w:val="24"/>
          <w:szCs w:val="24"/>
        </w:rPr>
        <w:t xml:space="preserve"> S</w:t>
      </w:r>
      <w:r>
        <w:rPr>
          <w:rFonts w:ascii="Times New Roman" w:hAnsi="Times New Roman" w:cs="Times New Roman" w:hint="eastAsia"/>
          <w:color w:val="0070C0"/>
          <w:sz w:val="24"/>
          <w:szCs w:val="24"/>
        </w:rPr>
        <w:t>14</w:t>
      </w:r>
      <w:r>
        <w:rPr>
          <w:rFonts w:ascii="Times New Roman" w:hAnsi="Times New Roman" w:cs="Times New Roman"/>
          <w:color w:val="0070C0"/>
          <w:sz w:val="24"/>
          <w:szCs w:val="24"/>
        </w:rPr>
        <w:t>B</w:t>
      </w:r>
      <w:r>
        <w:rPr>
          <w:rFonts w:ascii="Times New Roman" w:hAnsi="Times New Roman" w:cs="Times New Roman"/>
          <w:sz w:val="24"/>
          <w:szCs w:val="24"/>
        </w:rPr>
        <w:t>.</w:t>
      </w:r>
    </w:p>
    <w:p w14:paraId="5E4FC45C" w14:textId="77777777" w:rsidR="00471529" w:rsidRDefault="00471529">
      <w:pPr>
        <w:spacing w:line="360" w:lineRule="auto"/>
        <w:rPr>
          <w:rFonts w:ascii="Times New Roman" w:hAnsi="Times New Roman" w:cs="Times New Roman"/>
          <w:sz w:val="24"/>
          <w:szCs w:val="24"/>
        </w:rPr>
      </w:pPr>
    </w:p>
    <w:p w14:paraId="352CF4EF" w14:textId="77777777" w:rsidR="00471529" w:rsidRDefault="00000000">
      <w:pPr>
        <w:spacing w:line="360" w:lineRule="auto"/>
        <w:rPr>
          <w:rFonts w:ascii="Times New Roman" w:hAnsi="Times New Roman" w:cs="Times New Roman"/>
          <w:b/>
          <w:sz w:val="24"/>
          <w:szCs w:val="24"/>
        </w:rPr>
      </w:pPr>
      <w:bookmarkStart w:id="23" w:name="_Hlk206960827"/>
      <w:r>
        <w:rPr>
          <w:rFonts w:ascii="Times New Roman" w:hAnsi="Times New Roman" w:cs="Times New Roman"/>
          <w:b/>
          <w:sz w:val="24"/>
          <w:szCs w:val="24"/>
        </w:rPr>
        <w:t>Text S1</w:t>
      </w:r>
      <w:r>
        <w:rPr>
          <w:rFonts w:ascii="Times New Roman" w:hAnsi="Times New Roman" w:cs="Times New Roman" w:hint="eastAsia"/>
          <w:b/>
          <w:sz w:val="24"/>
          <w:szCs w:val="24"/>
        </w:rPr>
        <w:t>4</w:t>
      </w:r>
      <w:r>
        <w:rPr>
          <w:rFonts w:ascii="Times New Roman" w:hAnsi="Times New Roman" w:cs="Times New Roman"/>
          <w:b/>
          <w:sz w:val="24"/>
          <w:szCs w:val="24"/>
        </w:rPr>
        <w:t xml:space="preserve">. </w:t>
      </w:r>
      <w:r>
        <w:rPr>
          <w:rFonts w:ascii="Times New Roman" w:hAnsi="Times New Roman" w:cs="Times New Roman" w:hint="eastAsia"/>
          <w:b/>
          <w:sz w:val="24"/>
          <w:szCs w:val="24"/>
        </w:rPr>
        <w:t>C</w:t>
      </w:r>
      <w:r>
        <w:rPr>
          <w:rFonts w:ascii="Times New Roman" w:hAnsi="Times New Roman" w:cs="Times New Roman"/>
          <w:b/>
          <w:sz w:val="24"/>
          <w:szCs w:val="24"/>
        </w:rPr>
        <w:t xml:space="preserve">o-culture of </w:t>
      </w:r>
      <w:r>
        <w:rPr>
          <w:rFonts w:ascii="Times New Roman" w:hAnsi="Times New Roman" w:cs="Times New Roman" w:hint="eastAsia"/>
          <w:b/>
          <w:i/>
          <w:iCs/>
          <w:sz w:val="24"/>
          <w:szCs w:val="24"/>
        </w:rPr>
        <w:t>Pseudomonas_</w:t>
      </w:r>
      <w:r>
        <w:rPr>
          <w:rFonts w:ascii="Times New Roman" w:hAnsi="Times New Roman" w:cs="Times New Roman" w:hint="eastAsia"/>
          <w:b/>
          <w:sz w:val="24"/>
          <w:szCs w:val="24"/>
        </w:rPr>
        <w:t>sp1, py</w:t>
      </w:r>
      <w:r>
        <w:rPr>
          <w:rFonts w:ascii="Times New Roman" w:hAnsi="Times New Roman" w:cs="Times New Roman"/>
          <w:b/>
          <w:sz w:val="24"/>
          <w:szCs w:val="24"/>
        </w:rPr>
        <w:t xml:space="preserve">ridoxal, and </w:t>
      </w:r>
      <w:r>
        <w:rPr>
          <w:rFonts w:ascii="Times New Roman" w:hAnsi="Times New Roman" w:cs="Times New Roman"/>
          <w:b/>
          <w:i/>
          <w:iCs/>
          <w:sz w:val="24"/>
          <w:szCs w:val="24"/>
        </w:rPr>
        <w:t>A. pyrenoidosa</w:t>
      </w:r>
    </w:p>
    <w:bookmarkEnd w:id="23"/>
    <w:p w14:paraId="18BD43CD" w14:textId="77777777" w:rsidR="00471529"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In the co-culture experiment,</w:t>
      </w:r>
      <w:r>
        <w:rPr>
          <w:rFonts w:ascii="Times New Roman" w:hAnsi="Times New Roman" w:cs="Times New Roman"/>
          <w:bCs/>
          <w:sz w:val="24"/>
          <w:szCs w:val="24"/>
        </w:rPr>
        <w:t xml:space="preserve"> </w:t>
      </w:r>
      <w:r>
        <w:rPr>
          <w:rFonts w:ascii="Times New Roman" w:hAnsi="Times New Roman" w:cs="Times New Roman" w:hint="eastAsia"/>
          <w:bCs/>
          <w:i/>
          <w:iCs/>
          <w:sz w:val="24"/>
          <w:szCs w:val="24"/>
        </w:rPr>
        <w:t>Pseudomonas_</w:t>
      </w:r>
      <w:r>
        <w:rPr>
          <w:rFonts w:ascii="Times New Roman" w:hAnsi="Times New Roman" w:cs="Times New Roman" w:hint="eastAsia"/>
          <w:bCs/>
          <w:sz w:val="24"/>
          <w:szCs w:val="24"/>
        </w:rPr>
        <w:t>sp1</w:t>
      </w:r>
      <w:r>
        <w:rPr>
          <w:rFonts w:ascii="Times New Roman" w:hAnsi="Times New Roman" w:cs="Times New Roman"/>
          <w:sz w:val="24"/>
          <w:szCs w:val="24"/>
        </w:rPr>
        <w:t xml:space="preserve"> and axenic </w:t>
      </w:r>
      <w:r>
        <w:rPr>
          <w:rFonts w:ascii="Times New Roman" w:hAnsi="Times New Roman" w:cs="Times New Roman"/>
          <w:i/>
          <w:iCs/>
          <w:sz w:val="24"/>
          <w:szCs w:val="24"/>
        </w:rPr>
        <w:t>A. pyrenoidosa</w:t>
      </w:r>
      <w:r>
        <w:rPr>
          <w:rFonts w:ascii="Times New Roman" w:hAnsi="Times New Roman" w:cs="Times New Roman"/>
          <w:sz w:val="24"/>
          <w:szCs w:val="24"/>
        </w:rPr>
        <w:t xml:space="preserve"> were co-inoculated into conical flasks containing 400 mL BG-11 medium at an initial density of 1.0 × 10</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proofErr w:type="spellStart"/>
      <w:r>
        <w:rPr>
          <w:rFonts w:ascii="Times New Roman" w:hAnsi="Times New Roman" w:cs="Times New Roman"/>
          <w:sz w:val="24"/>
          <w:szCs w:val="24"/>
        </w:rPr>
        <w:t>ind</w:t>
      </w:r>
      <w:proofErr w:type="spellEnd"/>
      <w:r>
        <w:rPr>
          <w:rFonts w:ascii="Times New Roman" w:hAnsi="Times New Roman" w:cs="Times New Roman"/>
          <w:sz w:val="24"/>
          <w:szCs w:val="24"/>
        </w:rPr>
        <w:t xml:space="preserve">/mL for </w:t>
      </w:r>
      <w:r>
        <w:rPr>
          <w:rFonts w:ascii="Times New Roman" w:hAnsi="Times New Roman" w:cs="Times New Roman"/>
          <w:i/>
          <w:iCs/>
          <w:sz w:val="24"/>
          <w:szCs w:val="24"/>
        </w:rPr>
        <w:t>A. pyrenoidosa</w:t>
      </w:r>
      <w:r>
        <w:rPr>
          <w:rFonts w:ascii="Times New Roman" w:hAnsi="Times New Roman" w:cs="Times New Roman"/>
          <w:sz w:val="24"/>
          <w:szCs w:val="24"/>
        </w:rPr>
        <w:t xml:space="preserve"> and 1.0 × 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CFU/mL for bacteria. To further test whether </w:t>
      </w:r>
      <w:r>
        <w:rPr>
          <w:rFonts w:ascii="Times New Roman" w:hAnsi="Times New Roman" w:cs="Times New Roman" w:hint="eastAsia"/>
          <w:bCs/>
          <w:sz w:val="24"/>
          <w:szCs w:val="24"/>
        </w:rPr>
        <w:t>py</w:t>
      </w:r>
      <w:r>
        <w:rPr>
          <w:rFonts w:ascii="Times New Roman" w:hAnsi="Times New Roman" w:cs="Times New Roman"/>
          <w:bCs/>
          <w:sz w:val="24"/>
          <w:szCs w:val="24"/>
        </w:rPr>
        <w:t>ridoxal</w:t>
      </w:r>
      <w:r>
        <w:rPr>
          <w:rFonts w:ascii="Times New Roman" w:hAnsi="Times New Roman" w:cs="Times New Roman"/>
          <w:sz w:val="24"/>
          <w:szCs w:val="24"/>
        </w:rPr>
        <w:t xml:space="preserve"> could promote the adaptation of </w:t>
      </w:r>
      <w:r>
        <w:rPr>
          <w:rFonts w:ascii="Times New Roman" w:hAnsi="Times New Roman" w:cs="Times New Roman"/>
          <w:i/>
          <w:iCs/>
          <w:sz w:val="24"/>
          <w:szCs w:val="24"/>
        </w:rPr>
        <w:t>A. pyrenoidosa</w:t>
      </w:r>
      <w:r>
        <w:rPr>
          <w:rFonts w:ascii="Times New Roman" w:hAnsi="Times New Roman" w:cs="Times New Roman"/>
          <w:sz w:val="24"/>
          <w:szCs w:val="24"/>
        </w:rPr>
        <w:t xml:space="preserve"> to FF exposure, FF and </w:t>
      </w:r>
      <w:r>
        <w:rPr>
          <w:rFonts w:ascii="Times New Roman" w:hAnsi="Times New Roman" w:cs="Times New Roman" w:hint="eastAsia"/>
          <w:bCs/>
          <w:sz w:val="24"/>
          <w:szCs w:val="24"/>
        </w:rPr>
        <w:t>py</w:t>
      </w:r>
      <w:r>
        <w:rPr>
          <w:rFonts w:ascii="Times New Roman" w:hAnsi="Times New Roman" w:cs="Times New Roman"/>
          <w:bCs/>
          <w:sz w:val="24"/>
          <w:szCs w:val="24"/>
        </w:rPr>
        <w:t>ridoxal</w:t>
      </w:r>
      <w:r>
        <w:rPr>
          <w:rFonts w:ascii="Times New Roman" w:hAnsi="Times New Roman" w:cs="Times New Roman"/>
          <w:sz w:val="24"/>
          <w:szCs w:val="24"/>
        </w:rPr>
        <w:t xml:space="preserve"> were added to the co-culture system. T</w:t>
      </w:r>
      <w:r>
        <w:rPr>
          <w:rFonts w:ascii="Times New Roman" w:hAnsi="Times New Roman" w:cs="Times New Roman" w:hint="eastAsia"/>
          <w:sz w:val="24"/>
          <w:szCs w:val="24"/>
        </w:rPr>
        <w:t xml:space="preserve">he treatment concentrations of </w:t>
      </w:r>
      <w:r>
        <w:rPr>
          <w:rFonts w:ascii="Times New Roman" w:hAnsi="Times New Roman" w:cs="Times New Roman" w:hint="eastAsia"/>
          <w:bCs/>
          <w:sz w:val="24"/>
          <w:szCs w:val="24"/>
        </w:rPr>
        <w:t>py</w:t>
      </w:r>
      <w:r>
        <w:rPr>
          <w:rFonts w:ascii="Times New Roman" w:hAnsi="Times New Roman" w:cs="Times New Roman"/>
          <w:bCs/>
          <w:sz w:val="24"/>
          <w:szCs w:val="24"/>
        </w:rPr>
        <w:t>ridoxal</w:t>
      </w:r>
      <w:r>
        <w:rPr>
          <w:rFonts w:ascii="Times New Roman" w:hAnsi="Times New Roman" w:cs="Times New Roman" w:hint="eastAsia"/>
          <w:sz w:val="24"/>
          <w:szCs w:val="24"/>
        </w:rPr>
        <w:t xml:space="preserve"> were selected according to the detected concentration of </w:t>
      </w:r>
      <w:r>
        <w:rPr>
          <w:rFonts w:ascii="Times New Roman" w:hAnsi="Times New Roman" w:cs="Times New Roman" w:hint="eastAsia"/>
          <w:bCs/>
          <w:sz w:val="24"/>
          <w:szCs w:val="24"/>
        </w:rPr>
        <w:t>py</w:t>
      </w:r>
      <w:r>
        <w:rPr>
          <w:rFonts w:ascii="Times New Roman" w:hAnsi="Times New Roman" w:cs="Times New Roman"/>
          <w:bCs/>
          <w:sz w:val="24"/>
          <w:szCs w:val="24"/>
        </w:rPr>
        <w:t>ridoxal</w:t>
      </w:r>
      <w:r>
        <w:rPr>
          <w:rFonts w:ascii="Times New Roman" w:hAnsi="Times New Roman" w:cs="Times New Roman" w:hint="eastAsia"/>
          <w:sz w:val="24"/>
          <w:szCs w:val="24"/>
        </w:rPr>
        <w:t xml:space="preserve"> in </w:t>
      </w:r>
      <w:r>
        <w:rPr>
          <w:rFonts w:ascii="Times New Roman" w:hAnsi="Times New Roman" w:cs="Times New Roman"/>
          <w:sz w:val="24"/>
          <w:szCs w:val="24"/>
        </w:rPr>
        <w:t xml:space="preserve">the </w:t>
      </w:r>
      <w:r>
        <w:rPr>
          <w:rFonts w:ascii="Times New Roman" w:hAnsi="Times New Roman" w:cs="Times New Roman" w:hint="eastAsia"/>
          <w:sz w:val="24"/>
          <w:szCs w:val="24"/>
        </w:rPr>
        <w:t>aforementioned experiment. Eight</w:t>
      </w:r>
      <w:r>
        <w:rPr>
          <w:rFonts w:ascii="Times New Roman" w:hAnsi="Times New Roman" w:cs="Times New Roman"/>
          <w:sz w:val="24"/>
          <w:szCs w:val="24"/>
        </w:rPr>
        <w:t xml:space="preserve"> different treatments were set up, as shown in </w:t>
      </w:r>
      <w:r>
        <w:rPr>
          <w:rFonts w:ascii="Times New Roman" w:hAnsi="Times New Roman" w:cs="Times New Roman"/>
          <w:color w:val="0070C0"/>
          <w:sz w:val="24"/>
          <w:szCs w:val="24"/>
        </w:rPr>
        <w:t>Table S</w:t>
      </w:r>
      <w:r>
        <w:rPr>
          <w:rFonts w:ascii="Times New Roman" w:hAnsi="Times New Roman" w:cs="Times New Roman" w:hint="eastAsia"/>
          <w:color w:val="0070C0"/>
          <w:sz w:val="24"/>
          <w:szCs w:val="24"/>
        </w:rPr>
        <w:t>10</w:t>
      </w:r>
      <w:r>
        <w:rPr>
          <w:rFonts w:ascii="Times New Roman" w:hAnsi="Times New Roman" w:cs="Times New Roman"/>
          <w:sz w:val="24"/>
          <w:szCs w:val="24"/>
        </w:rPr>
        <w:t xml:space="preserve">. Each treatment was performed in triplicate, and these flasks were incubated for </w:t>
      </w:r>
      <w:r>
        <w:rPr>
          <w:rFonts w:ascii="Times New Roman" w:hAnsi="Times New Roman" w:cs="Times New Roman" w:hint="eastAsia"/>
          <w:sz w:val="24"/>
          <w:szCs w:val="24"/>
        </w:rPr>
        <w:t>30</w:t>
      </w:r>
      <w:r>
        <w:rPr>
          <w:rFonts w:ascii="Times New Roman" w:hAnsi="Times New Roman" w:cs="Times New Roman"/>
          <w:sz w:val="24"/>
          <w:szCs w:val="24"/>
        </w:rPr>
        <w:t xml:space="preserve"> days at 25 ± 1°C, illuminated with 3000 ± 300 lux with a 12h/12h light/dark interval, and shaken at least three times daily.</w:t>
      </w:r>
    </w:p>
    <w:p w14:paraId="2FDED42F" w14:textId="77777777" w:rsidR="00471529" w:rsidRDefault="00471529">
      <w:pPr>
        <w:spacing w:line="360" w:lineRule="auto"/>
        <w:rPr>
          <w:rFonts w:ascii="Times New Roman" w:hAnsi="Times New Roman" w:cs="Times New Roman"/>
          <w:sz w:val="24"/>
          <w:szCs w:val="24"/>
        </w:rPr>
      </w:pPr>
    </w:p>
    <w:p w14:paraId="127ED835" w14:textId="77777777" w:rsidR="0047152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27392785" w14:textId="77777777" w:rsidR="00471529" w:rsidRDefault="00000000">
      <w:pPr>
        <w:pStyle w:val="EndNoteBibliography"/>
        <w:spacing w:after="240"/>
        <w:ind w:left="300" w:hanging="300"/>
      </w:pPr>
      <w:r>
        <w:fldChar w:fldCharType="begin"/>
      </w:r>
      <w:r>
        <w:instrText xml:space="preserve"> ADDIN EN.REFLIST </w:instrText>
      </w:r>
      <w:r>
        <w:fldChar w:fldCharType="separate"/>
      </w:r>
      <w:r>
        <w:rPr>
          <w:rFonts w:hint="eastAsia"/>
        </w:rPr>
        <w:t>1.</w:t>
      </w:r>
      <w:r>
        <w:rPr>
          <w:rFonts w:hint="eastAsia"/>
        </w:rPr>
        <w:tab/>
        <w:t xml:space="preserve">Krespach MKC, Stroe MC, Flak M, Komor AJ, Nietzsche S, Sasso S, Hertweck C, Brakhage AA: </w:t>
      </w:r>
      <w:r>
        <w:rPr>
          <w:rFonts w:hint="eastAsia"/>
          <w:b/>
        </w:rPr>
        <w:t>Bacterial marginolactones trigger formation of algal gloeocapsoids, protective aggregates on the verge of multicellularity</w:t>
      </w:r>
      <w:r>
        <w:rPr>
          <w:rFonts w:hint="eastAsia"/>
        </w:rPr>
        <w:t xml:space="preserve">. </w:t>
      </w:r>
      <w:r>
        <w:rPr>
          <w:rFonts w:hint="eastAsia"/>
          <w:i/>
        </w:rPr>
        <w:t xml:space="preserve">Proceedings of the National Academy of Sciences </w:t>
      </w:r>
      <w:r>
        <w:rPr>
          <w:rFonts w:hint="eastAsia"/>
        </w:rPr>
        <w:t xml:space="preserve">2021, </w:t>
      </w:r>
      <w:r>
        <w:rPr>
          <w:rFonts w:hint="eastAsia"/>
          <w:b/>
        </w:rPr>
        <w:t>118</w:t>
      </w:r>
      <w:r>
        <w:rPr>
          <w:rFonts w:hint="eastAsia"/>
        </w:rPr>
        <w:t>(45).</w:t>
      </w:r>
    </w:p>
    <w:p w14:paraId="56ADF0FB" w14:textId="77777777" w:rsidR="00471529" w:rsidRDefault="00000000">
      <w:pPr>
        <w:pStyle w:val="EndNoteBibliography"/>
        <w:spacing w:after="240"/>
        <w:ind w:left="300" w:hanging="300"/>
      </w:pPr>
      <w:r>
        <w:rPr>
          <w:rFonts w:hint="eastAsia"/>
        </w:rPr>
        <w:t>2.</w:t>
      </w:r>
      <w:r>
        <w:rPr>
          <w:rFonts w:hint="eastAsia"/>
        </w:rPr>
        <w:tab/>
        <w:t xml:space="preserve">Jia J, Liu Q, Wu C: </w:t>
      </w:r>
      <w:r>
        <w:rPr>
          <w:rFonts w:hint="eastAsia"/>
          <w:b/>
        </w:rPr>
        <w:t>Microplastic and antibiotic proliferated the colonization of specific bacteria and antibiotic resistance genes in the phycosphere of Chlorella pyrenoidosa</w:t>
      </w:r>
      <w:r>
        <w:rPr>
          <w:rFonts w:hint="eastAsia"/>
        </w:rPr>
        <w:t xml:space="preserve">. </w:t>
      </w:r>
      <w:r>
        <w:rPr>
          <w:rFonts w:hint="eastAsia"/>
          <w:i/>
        </w:rPr>
        <w:t xml:space="preserve">J Hazard Mater </w:t>
      </w:r>
      <w:r>
        <w:rPr>
          <w:rFonts w:hint="eastAsia"/>
        </w:rPr>
        <w:t xml:space="preserve">2023, </w:t>
      </w:r>
      <w:r>
        <w:rPr>
          <w:rFonts w:hint="eastAsia"/>
          <w:b/>
        </w:rPr>
        <w:t>455</w:t>
      </w:r>
      <w:r>
        <w:rPr>
          <w:rFonts w:hint="eastAsia"/>
        </w:rPr>
        <w:t>:131618-131628.</w:t>
      </w:r>
    </w:p>
    <w:p w14:paraId="6A02BAF4" w14:textId="77777777" w:rsidR="00471529" w:rsidRDefault="00000000">
      <w:pPr>
        <w:pStyle w:val="EndNoteBibliography"/>
        <w:spacing w:after="240"/>
        <w:ind w:left="300" w:hanging="300"/>
      </w:pPr>
      <w:r>
        <w:rPr>
          <w:rFonts w:hint="eastAsia"/>
        </w:rPr>
        <w:t>3.</w:t>
      </w:r>
      <w:r>
        <w:rPr>
          <w:rFonts w:hint="eastAsia"/>
        </w:rPr>
        <w:tab/>
        <w:t xml:space="preserve">Yan Z, Xu L, Zhang W, Yang G, Zhao Z, Wang Y, Li X: </w:t>
      </w:r>
      <w:r>
        <w:rPr>
          <w:rFonts w:hint="eastAsia"/>
          <w:b/>
        </w:rPr>
        <w:t>Comparative toxic effects of microplastics and nanoplastics on Chlamydomonas reinhardtii: Growth inhibition, oxidative stress, and cell morphology</w:t>
      </w:r>
      <w:r>
        <w:rPr>
          <w:rFonts w:hint="eastAsia"/>
        </w:rPr>
        <w:t xml:space="preserve">. </w:t>
      </w:r>
      <w:r>
        <w:rPr>
          <w:rFonts w:hint="eastAsia"/>
          <w:i/>
        </w:rPr>
        <w:t xml:space="preserve">Journal of Water Process Engineering </w:t>
      </w:r>
      <w:r>
        <w:rPr>
          <w:rFonts w:hint="eastAsia"/>
        </w:rPr>
        <w:t xml:space="preserve">2021, </w:t>
      </w:r>
      <w:r>
        <w:rPr>
          <w:rFonts w:hint="eastAsia"/>
          <w:b/>
        </w:rPr>
        <w:t>43</w:t>
      </w:r>
      <w:r>
        <w:rPr>
          <w:rFonts w:hint="eastAsia"/>
        </w:rPr>
        <w:t>:102291-102301.</w:t>
      </w:r>
    </w:p>
    <w:p w14:paraId="05CB0074" w14:textId="77777777" w:rsidR="00471529" w:rsidRDefault="00000000">
      <w:pPr>
        <w:pStyle w:val="EndNoteBibliography"/>
        <w:spacing w:after="240"/>
        <w:ind w:left="300" w:hanging="300"/>
      </w:pPr>
      <w:r>
        <w:rPr>
          <w:rFonts w:hint="eastAsia"/>
        </w:rPr>
        <w:t>4.</w:t>
      </w:r>
      <w:r>
        <w:rPr>
          <w:rFonts w:hint="eastAsia"/>
        </w:rPr>
        <w:tab/>
        <w:t>Tan B, Hu P, Niu X, Zhang X, Liu J, Frenken T, Hamilton PB, Haffner GD, Chaganti SR, Nwankwegu AS</w:t>
      </w:r>
      <w:r>
        <w:rPr>
          <w:rFonts w:hint="eastAsia"/>
          <w:i/>
        </w:rPr>
        <w:t xml:space="preserve"> et al</w:t>
      </w:r>
      <w:r>
        <w:rPr>
          <w:rFonts w:hint="eastAsia"/>
        </w:rPr>
        <w:t xml:space="preserve">: </w:t>
      </w:r>
      <w:r>
        <w:rPr>
          <w:rFonts w:hint="eastAsia"/>
          <w:b/>
        </w:rPr>
        <w:t>Microbial community day-to-day dynamics during a spring algal bloom event in a tributary of Three Gorges Reservoir</w:t>
      </w:r>
      <w:r>
        <w:rPr>
          <w:rFonts w:hint="eastAsia"/>
        </w:rPr>
        <w:t xml:space="preserve">. </w:t>
      </w:r>
      <w:r>
        <w:rPr>
          <w:rFonts w:hint="eastAsia"/>
          <w:i/>
        </w:rPr>
        <w:t xml:space="preserve">Sci Total Environ </w:t>
      </w:r>
      <w:r>
        <w:rPr>
          <w:rFonts w:hint="eastAsia"/>
        </w:rPr>
        <w:t xml:space="preserve">2022, </w:t>
      </w:r>
      <w:r>
        <w:rPr>
          <w:rFonts w:hint="eastAsia"/>
          <w:b/>
        </w:rPr>
        <w:t>839</w:t>
      </w:r>
      <w:r>
        <w:rPr>
          <w:rFonts w:hint="eastAsia"/>
        </w:rPr>
        <w:t>:156183-156195.</w:t>
      </w:r>
    </w:p>
    <w:p w14:paraId="57DD2580" w14:textId="77777777" w:rsidR="00471529" w:rsidRDefault="00000000">
      <w:pPr>
        <w:pStyle w:val="EndNoteBibliography"/>
        <w:spacing w:after="240"/>
        <w:ind w:left="300" w:hanging="300"/>
      </w:pPr>
      <w:r>
        <w:rPr>
          <w:rFonts w:hint="eastAsia"/>
        </w:rPr>
        <w:t>5.</w:t>
      </w:r>
      <w:r>
        <w:rPr>
          <w:rFonts w:hint="eastAsia"/>
        </w:rPr>
        <w:tab/>
        <w:t xml:space="preserve">Yusefi-Tanha E, Fallah S, Rostamnejadi A, Pokhrel LR: </w:t>
      </w:r>
      <w:r>
        <w:rPr>
          <w:rFonts w:hint="eastAsia"/>
          <w:b/>
        </w:rPr>
        <w:t>Zinc oxide nanoparticles (ZnONPs) as a novel nanofertilizer: Influence on seed yield and antioxidant defense system in soil grown soybean (Glycine max cv. Kowsar)</w:t>
      </w:r>
      <w:r>
        <w:rPr>
          <w:rFonts w:hint="eastAsia"/>
        </w:rPr>
        <w:t xml:space="preserve">. </w:t>
      </w:r>
      <w:r>
        <w:rPr>
          <w:rFonts w:hint="eastAsia"/>
          <w:i/>
        </w:rPr>
        <w:t xml:space="preserve">Sci Total Environ </w:t>
      </w:r>
      <w:r>
        <w:rPr>
          <w:rFonts w:hint="eastAsia"/>
        </w:rPr>
        <w:t xml:space="preserve">2020, </w:t>
      </w:r>
      <w:r>
        <w:rPr>
          <w:rFonts w:hint="eastAsia"/>
          <w:b/>
        </w:rPr>
        <w:t>738</w:t>
      </w:r>
      <w:r>
        <w:rPr>
          <w:rFonts w:hint="eastAsia"/>
        </w:rPr>
        <w:t>:140240-140252.</w:t>
      </w:r>
    </w:p>
    <w:p w14:paraId="59F484A7" w14:textId="77777777" w:rsidR="00471529" w:rsidRDefault="00000000">
      <w:pPr>
        <w:pStyle w:val="EndNoteBibliography"/>
        <w:spacing w:after="240"/>
        <w:ind w:left="300" w:hanging="300"/>
      </w:pPr>
      <w:r>
        <w:rPr>
          <w:rFonts w:hint="eastAsia"/>
        </w:rPr>
        <w:t>6.</w:t>
      </w:r>
      <w:r>
        <w:rPr>
          <w:rFonts w:hint="eastAsia"/>
        </w:rPr>
        <w:tab/>
        <w:t xml:space="preserve">Chen S, Zhou Y, Chen Y, Gu J: </w:t>
      </w:r>
      <w:r>
        <w:rPr>
          <w:rFonts w:hint="eastAsia"/>
          <w:b/>
        </w:rPr>
        <w:t>fastp: an ultra-fast all-in-one FASTQ preprocessor</w:t>
      </w:r>
      <w:r>
        <w:rPr>
          <w:rFonts w:hint="eastAsia"/>
        </w:rPr>
        <w:t xml:space="preserve">. </w:t>
      </w:r>
      <w:r>
        <w:rPr>
          <w:rFonts w:hint="eastAsia"/>
          <w:i/>
        </w:rPr>
        <w:t xml:space="preserve">Bioinformatics </w:t>
      </w:r>
      <w:r>
        <w:rPr>
          <w:rFonts w:hint="eastAsia"/>
        </w:rPr>
        <w:t xml:space="preserve">2018, </w:t>
      </w:r>
      <w:r>
        <w:rPr>
          <w:rFonts w:hint="eastAsia"/>
          <w:b/>
        </w:rPr>
        <w:t>34</w:t>
      </w:r>
      <w:r>
        <w:rPr>
          <w:rFonts w:hint="eastAsia"/>
        </w:rPr>
        <w:t>(17):i884-i890.</w:t>
      </w:r>
    </w:p>
    <w:p w14:paraId="1491DCC1" w14:textId="77777777" w:rsidR="00471529" w:rsidRDefault="00000000">
      <w:pPr>
        <w:pStyle w:val="EndNoteBibliography"/>
        <w:spacing w:after="240"/>
        <w:ind w:left="300" w:hanging="300"/>
      </w:pPr>
      <w:r>
        <w:rPr>
          <w:rFonts w:hint="eastAsia"/>
        </w:rPr>
        <w:t>7.</w:t>
      </w:r>
      <w:r>
        <w:rPr>
          <w:rFonts w:hint="eastAsia"/>
        </w:rPr>
        <w:tab/>
        <w:t>Grabherr MG, Haas BJ, Yassour M, Levin JZ, Thompson DA, Amit I, Adiconis X, Fan L, Raychowdhury R, Zeng Q</w:t>
      </w:r>
      <w:r>
        <w:rPr>
          <w:rFonts w:hint="eastAsia"/>
          <w:i/>
        </w:rPr>
        <w:t xml:space="preserve"> et al</w:t>
      </w:r>
      <w:r>
        <w:rPr>
          <w:rFonts w:hint="eastAsia"/>
        </w:rPr>
        <w:t xml:space="preserve">: </w:t>
      </w:r>
      <w:r>
        <w:rPr>
          <w:rFonts w:hint="eastAsia"/>
          <w:b/>
        </w:rPr>
        <w:t>Full-length transcriptome assembly from RNA-Seq data without a reference genome</w:t>
      </w:r>
      <w:r>
        <w:rPr>
          <w:rFonts w:hint="eastAsia"/>
        </w:rPr>
        <w:t xml:space="preserve">. </w:t>
      </w:r>
      <w:r>
        <w:rPr>
          <w:rFonts w:hint="eastAsia"/>
          <w:i/>
        </w:rPr>
        <w:t xml:space="preserve">Nat Biotechnol </w:t>
      </w:r>
      <w:r>
        <w:rPr>
          <w:rFonts w:hint="eastAsia"/>
        </w:rPr>
        <w:t xml:space="preserve">2011, </w:t>
      </w:r>
      <w:r>
        <w:rPr>
          <w:rFonts w:hint="eastAsia"/>
          <w:b/>
        </w:rPr>
        <w:t>29</w:t>
      </w:r>
      <w:r>
        <w:rPr>
          <w:rFonts w:hint="eastAsia"/>
        </w:rPr>
        <w:t>(7):644-652.</w:t>
      </w:r>
    </w:p>
    <w:p w14:paraId="3ACE82AC" w14:textId="77777777" w:rsidR="00471529" w:rsidRDefault="00000000">
      <w:pPr>
        <w:pStyle w:val="EndNoteBibliography"/>
        <w:spacing w:after="240"/>
        <w:ind w:left="300" w:hanging="300"/>
      </w:pPr>
      <w:r>
        <w:rPr>
          <w:rFonts w:hint="eastAsia"/>
        </w:rPr>
        <w:t>8.</w:t>
      </w:r>
      <w:r>
        <w:rPr>
          <w:rFonts w:hint="eastAsia"/>
        </w:rPr>
        <w:tab/>
        <w:t xml:space="preserve">Fu L, Niu B, Zhu Z, Wu S, Li W: </w:t>
      </w:r>
      <w:r>
        <w:rPr>
          <w:rFonts w:hint="eastAsia"/>
          <w:b/>
        </w:rPr>
        <w:t>CD-HIT: accelerated for clustering the next-generation sequencing data</w:t>
      </w:r>
      <w:r>
        <w:rPr>
          <w:rFonts w:hint="eastAsia"/>
        </w:rPr>
        <w:t xml:space="preserve">. </w:t>
      </w:r>
      <w:r>
        <w:rPr>
          <w:rFonts w:hint="eastAsia"/>
          <w:i/>
        </w:rPr>
        <w:t xml:space="preserve">Bioinformatics </w:t>
      </w:r>
      <w:r>
        <w:rPr>
          <w:rFonts w:hint="eastAsia"/>
        </w:rPr>
        <w:t xml:space="preserve">2012, </w:t>
      </w:r>
      <w:r>
        <w:rPr>
          <w:rFonts w:hint="eastAsia"/>
          <w:b/>
        </w:rPr>
        <w:t>28</w:t>
      </w:r>
      <w:r>
        <w:rPr>
          <w:rFonts w:hint="eastAsia"/>
        </w:rPr>
        <w:t>(23):3150-3152.</w:t>
      </w:r>
    </w:p>
    <w:p w14:paraId="1F77E0EB" w14:textId="77777777" w:rsidR="00471529" w:rsidRDefault="00000000">
      <w:pPr>
        <w:pStyle w:val="EndNoteBibliography"/>
        <w:spacing w:after="240"/>
        <w:ind w:left="300" w:hanging="300"/>
      </w:pPr>
      <w:r>
        <w:rPr>
          <w:rFonts w:hint="eastAsia"/>
        </w:rPr>
        <w:t>9.</w:t>
      </w:r>
      <w:r>
        <w:rPr>
          <w:rFonts w:hint="eastAsia"/>
        </w:rPr>
        <w:tab/>
        <w:t xml:space="preserve">Smith-Unna R, Boursnell C, Patro R, Hibberd JM, Kelly S: </w:t>
      </w:r>
      <w:r>
        <w:rPr>
          <w:rFonts w:hint="eastAsia"/>
          <w:b/>
        </w:rPr>
        <w:t>TransRate: reference-free quality assessment of de novo transcriptome assemblies</w:t>
      </w:r>
      <w:r>
        <w:rPr>
          <w:rFonts w:hint="eastAsia"/>
        </w:rPr>
        <w:t xml:space="preserve">. </w:t>
      </w:r>
      <w:r>
        <w:rPr>
          <w:rFonts w:hint="eastAsia"/>
          <w:i/>
        </w:rPr>
        <w:t xml:space="preserve">Genome Res </w:t>
      </w:r>
      <w:r>
        <w:rPr>
          <w:rFonts w:hint="eastAsia"/>
        </w:rPr>
        <w:t xml:space="preserve">2016, </w:t>
      </w:r>
      <w:r>
        <w:rPr>
          <w:rFonts w:hint="eastAsia"/>
          <w:b/>
        </w:rPr>
        <w:t>26</w:t>
      </w:r>
      <w:r>
        <w:rPr>
          <w:rFonts w:hint="eastAsia"/>
        </w:rPr>
        <w:t>(8):1134-1144.</w:t>
      </w:r>
    </w:p>
    <w:p w14:paraId="54FC6871" w14:textId="77777777" w:rsidR="00471529" w:rsidRDefault="00000000">
      <w:pPr>
        <w:pStyle w:val="EndNoteBibliography"/>
        <w:spacing w:after="240"/>
        <w:ind w:left="300" w:hanging="300"/>
      </w:pPr>
      <w:r>
        <w:rPr>
          <w:rFonts w:hint="eastAsia"/>
        </w:rPr>
        <w:t>10.</w:t>
      </w:r>
      <w:r>
        <w:rPr>
          <w:rFonts w:hint="eastAsia"/>
        </w:rPr>
        <w:tab/>
        <w:t xml:space="preserve">Manni M, Berkeley MR, Seppey M, Simão FA, Zdobnov EM, Kelley J: </w:t>
      </w:r>
      <w:r>
        <w:rPr>
          <w:rFonts w:hint="eastAsia"/>
          <w:b/>
        </w:rPr>
        <w:t>BUSCO update: Novel and streamlined workflows along with broader and deeper phylogenetic coverage for scoring of eukaryotic, prokaryotic, and viral genomes</w:t>
      </w:r>
      <w:r>
        <w:rPr>
          <w:rFonts w:hint="eastAsia"/>
        </w:rPr>
        <w:t xml:space="preserve">. </w:t>
      </w:r>
      <w:r>
        <w:rPr>
          <w:rFonts w:hint="eastAsia"/>
          <w:i/>
        </w:rPr>
        <w:t xml:space="preserve">Molecular Biology and Evolution </w:t>
      </w:r>
      <w:r>
        <w:rPr>
          <w:rFonts w:hint="eastAsia"/>
        </w:rPr>
        <w:t xml:space="preserve">2021, </w:t>
      </w:r>
      <w:r>
        <w:rPr>
          <w:rFonts w:hint="eastAsia"/>
          <w:b/>
        </w:rPr>
        <w:t>38</w:t>
      </w:r>
      <w:r>
        <w:rPr>
          <w:rFonts w:hint="eastAsia"/>
        </w:rPr>
        <w:t>(10):4647-4654.</w:t>
      </w:r>
    </w:p>
    <w:p w14:paraId="723FA56B" w14:textId="77777777" w:rsidR="00471529" w:rsidRDefault="00000000">
      <w:pPr>
        <w:pStyle w:val="EndNoteBibliography"/>
        <w:spacing w:after="240"/>
        <w:ind w:left="300" w:hanging="300"/>
      </w:pPr>
      <w:r>
        <w:rPr>
          <w:rFonts w:hint="eastAsia"/>
        </w:rPr>
        <w:t>11.</w:t>
      </w:r>
      <w:r>
        <w:rPr>
          <w:rFonts w:hint="eastAsia"/>
        </w:rPr>
        <w:tab/>
        <w:t>Conesa A, Götz S, Garc</w:t>
      </w:r>
      <w:r>
        <w:rPr>
          <w:rFonts w:hint="eastAsia"/>
        </w:rPr>
        <w:t>í</w:t>
      </w:r>
      <w:r>
        <w:rPr>
          <w:rFonts w:hint="eastAsia"/>
        </w:rPr>
        <w:t>a-G</w:t>
      </w:r>
      <w:r>
        <w:rPr>
          <w:rFonts w:hint="eastAsia"/>
        </w:rPr>
        <w:t>ó</w:t>
      </w:r>
      <w:r>
        <w:rPr>
          <w:rFonts w:hint="eastAsia"/>
        </w:rPr>
        <w:t>mez JM, Terol J, Tal</w:t>
      </w:r>
      <w:r>
        <w:rPr>
          <w:rFonts w:hint="eastAsia"/>
        </w:rPr>
        <w:t>ó</w:t>
      </w:r>
      <w:r>
        <w:rPr>
          <w:rFonts w:hint="eastAsia"/>
        </w:rPr>
        <w:t xml:space="preserve">n M, Robles M: </w:t>
      </w:r>
      <w:r>
        <w:rPr>
          <w:rFonts w:hint="eastAsia"/>
          <w:b/>
        </w:rPr>
        <w:t xml:space="preserve">Blast2GO: a </w:t>
      </w:r>
      <w:r>
        <w:rPr>
          <w:rFonts w:hint="eastAsia"/>
          <w:b/>
        </w:rPr>
        <w:lastRenderedPageBreak/>
        <w:t>universal tool for annotation, visualization and analysis in functional genomics research</w:t>
      </w:r>
      <w:r>
        <w:rPr>
          <w:rFonts w:hint="eastAsia"/>
        </w:rPr>
        <w:t xml:space="preserve">. </w:t>
      </w:r>
      <w:r>
        <w:rPr>
          <w:rFonts w:hint="eastAsia"/>
          <w:i/>
        </w:rPr>
        <w:t xml:space="preserve">Bioinformatics </w:t>
      </w:r>
      <w:r>
        <w:rPr>
          <w:rFonts w:hint="eastAsia"/>
        </w:rPr>
        <w:t xml:space="preserve">2005, </w:t>
      </w:r>
      <w:r>
        <w:rPr>
          <w:rFonts w:hint="eastAsia"/>
          <w:b/>
        </w:rPr>
        <w:t>21</w:t>
      </w:r>
      <w:r>
        <w:rPr>
          <w:rFonts w:hint="eastAsia"/>
        </w:rPr>
        <w:t>(18):3674-3676.</w:t>
      </w:r>
    </w:p>
    <w:p w14:paraId="0EB9E911" w14:textId="77777777" w:rsidR="00471529" w:rsidRDefault="00000000">
      <w:pPr>
        <w:pStyle w:val="EndNoteBibliography"/>
        <w:spacing w:after="240"/>
        <w:ind w:left="300" w:hanging="300"/>
      </w:pPr>
      <w:r>
        <w:rPr>
          <w:rFonts w:hint="eastAsia"/>
        </w:rPr>
        <w:t>12.</w:t>
      </w:r>
      <w:r>
        <w:rPr>
          <w:rFonts w:hint="eastAsia"/>
        </w:rPr>
        <w:tab/>
        <w:t xml:space="preserve">Li B, Dewey CN: </w:t>
      </w:r>
      <w:r>
        <w:rPr>
          <w:rFonts w:hint="eastAsia"/>
          <w:b/>
        </w:rPr>
        <w:t>RSEM: accurate transcript quantification from RNA-Seq data with or without a reference genome</w:t>
      </w:r>
      <w:r>
        <w:rPr>
          <w:rFonts w:hint="eastAsia"/>
        </w:rPr>
        <w:t xml:space="preserve">. </w:t>
      </w:r>
      <w:r>
        <w:rPr>
          <w:rFonts w:hint="eastAsia"/>
          <w:i/>
        </w:rPr>
        <w:t xml:space="preserve">BMC Bioinformatics </w:t>
      </w:r>
      <w:r>
        <w:rPr>
          <w:rFonts w:hint="eastAsia"/>
        </w:rPr>
        <w:t xml:space="preserve">2011, </w:t>
      </w:r>
      <w:r>
        <w:rPr>
          <w:rFonts w:hint="eastAsia"/>
          <w:b/>
        </w:rPr>
        <w:t>12</w:t>
      </w:r>
      <w:r>
        <w:rPr>
          <w:rFonts w:hint="eastAsia"/>
        </w:rPr>
        <w:t>(1).</w:t>
      </w:r>
    </w:p>
    <w:p w14:paraId="0D2EF9EF" w14:textId="77777777" w:rsidR="00471529" w:rsidRDefault="00000000">
      <w:pPr>
        <w:pStyle w:val="EndNoteBibliography"/>
        <w:spacing w:after="240"/>
        <w:ind w:left="300" w:hanging="300"/>
      </w:pPr>
      <w:r>
        <w:rPr>
          <w:rFonts w:hint="eastAsia"/>
        </w:rPr>
        <w:t>13.</w:t>
      </w:r>
      <w:r>
        <w:rPr>
          <w:rFonts w:hint="eastAsia"/>
        </w:rPr>
        <w:tab/>
        <w:t xml:space="preserve">Li D, Liu C-M, Luo R, Sadakane K, Lam T-W: </w:t>
      </w:r>
      <w:r>
        <w:rPr>
          <w:rFonts w:hint="eastAsia"/>
          <w:b/>
        </w:rPr>
        <w:t>MEGAHIT: an ultra-fast single-node solution for large and complex metagenomics assembly via succinct de Bruijn graph</w:t>
      </w:r>
      <w:r>
        <w:rPr>
          <w:rFonts w:hint="eastAsia"/>
        </w:rPr>
        <w:t xml:space="preserve">. </w:t>
      </w:r>
      <w:r>
        <w:rPr>
          <w:rFonts w:hint="eastAsia"/>
          <w:i/>
        </w:rPr>
        <w:t xml:space="preserve">Bioinformatics </w:t>
      </w:r>
      <w:r>
        <w:rPr>
          <w:rFonts w:hint="eastAsia"/>
        </w:rPr>
        <w:t xml:space="preserve">2015, </w:t>
      </w:r>
      <w:r>
        <w:rPr>
          <w:rFonts w:hint="eastAsia"/>
          <w:b/>
        </w:rPr>
        <w:t>31</w:t>
      </w:r>
      <w:r>
        <w:rPr>
          <w:rFonts w:hint="eastAsia"/>
        </w:rPr>
        <w:t>(10):1674-1676.</w:t>
      </w:r>
    </w:p>
    <w:p w14:paraId="5E37079C" w14:textId="77777777" w:rsidR="00471529" w:rsidRDefault="00000000">
      <w:pPr>
        <w:pStyle w:val="EndNoteBibliography"/>
        <w:spacing w:after="240"/>
        <w:ind w:left="300" w:hanging="300"/>
      </w:pPr>
      <w:r>
        <w:rPr>
          <w:rFonts w:hint="eastAsia"/>
        </w:rPr>
        <w:t>14.</w:t>
      </w:r>
      <w:r>
        <w:rPr>
          <w:rFonts w:hint="eastAsia"/>
        </w:rPr>
        <w:tab/>
        <w:t xml:space="preserve">Hyatt D, Chen G-L, LoCascio PF, Land ML, Larimer FW, Hauser LJ: </w:t>
      </w:r>
      <w:r>
        <w:rPr>
          <w:rFonts w:hint="eastAsia"/>
          <w:b/>
        </w:rPr>
        <w:t>Prodigal: prokaryotic gene recognition and translation initiation site identification</w:t>
      </w:r>
      <w:r>
        <w:rPr>
          <w:rFonts w:hint="eastAsia"/>
        </w:rPr>
        <w:t xml:space="preserve">. </w:t>
      </w:r>
      <w:r>
        <w:rPr>
          <w:rFonts w:hint="eastAsia"/>
          <w:i/>
        </w:rPr>
        <w:t xml:space="preserve">BMC Bioinformatics </w:t>
      </w:r>
      <w:r>
        <w:rPr>
          <w:rFonts w:hint="eastAsia"/>
        </w:rPr>
        <w:t xml:space="preserve">2010, </w:t>
      </w:r>
      <w:r>
        <w:rPr>
          <w:rFonts w:hint="eastAsia"/>
          <w:b/>
        </w:rPr>
        <w:t>11</w:t>
      </w:r>
      <w:r>
        <w:rPr>
          <w:rFonts w:hint="eastAsia"/>
        </w:rPr>
        <w:t>(1).</w:t>
      </w:r>
    </w:p>
    <w:p w14:paraId="002BD7F3" w14:textId="77777777" w:rsidR="00471529" w:rsidRDefault="00000000">
      <w:pPr>
        <w:pStyle w:val="EndNoteBibliography"/>
        <w:spacing w:after="240"/>
        <w:ind w:left="300" w:hanging="300"/>
      </w:pPr>
      <w:r>
        <w:rPr>
          <w:rFonts w:hint="eastAsia"/>
        </w:rPr>
        <w:t>15.</w:t>
      </w:r>
      <w:r>
        <w:rPr>
          <w:rFonts w:hint="eastAsia"/>
        </w:rPr>
        <w:tab/>
        <w:t xml:space="preserve">Li R, Li Y, Kristiansen K, Wang J: </w:t>
      </w:r>
      <w:r>
        <w:rPr>
          <w:rFonts w:hint="eastAsia"/>
          <w:b/>
        </w:rPr>
        <w:t>SOAP: short oligonucleotide alignment program</w:t>
      </w:r>
      <w:r>
        <w:rPr>
          <w:rFonts w:hint="eastAsia"/>
        </w:rPr>
        <w:t xml:space="preserve">. </w:t>
      </w:r>
      <w:r>
        <w:rPr>
          <w:rFonts w:hint="eastAsia"/>
          <w:i/>
        </w:rPr>
        <w:t xml:space="preserve">Bioinformatics </w:t>
      </w:r>
      <w:r>
        <w:rPr>
          <w:rFonts w:hint="eastAsia"/>
        </w:rPr>
        <w:t xml:space="preserve">2008, </w:t>
      </w:r>
      <w:r>
        <w:rPr>
          <w:rFonts w:hint="eastAsia"/>
          <w:b/>
        </w:rPr>
        <w:t>24</w:t>
      </w:r>
      <w:r>
        <w:rPr>
          <w:rFonts w:hint="eastAsia"/>
        </w:rPr>
        <w:t>(5):713-714.</w:t>
      </w:r>
    </w:p>
    <w:p w14:paraId="2D082473" w14:textId="77777777" w:rsidR="00471529" w:rsidRDefault="00000000">
      <w:pPr>
        <w:pStyle w:val="EndNoteBibliography"/>
        <w:spacing w:after="240"/>
        <w:ind w:left="300" w:hanging="300"/>
      </w:pPr>
      <w:r>
        <w:rPr>
          <w:rFonts w:hint="eastAsia"/>
        </w:rPr>
        <w:t>16.</w:t>
      </w:r>
      <w:r>
        <w:rPr>
          <w:rFonts w:hint="eastAsia"/>
        </w:rPr>
        <w:tab/>
        <w:t xml:space="preserve">Buchfink B, Xie C, Huson DH: </w:t>
      </w:r>
      <w:r>
        <w:rPr>
          <w:rFonts w:hint="eastAsia"/>
          <w:b/>
        </w:rPr>
        <w:t>Fast and sensitive protein alignment using DIAMOND</w:t>
      </w:r>
      <w:r>
        <w:rPr>
          <w:rFonts w:hint="eastAsia"/>
        </w:rPr>
        <w:t xml:space="preserve">. </w:t>
      </w:r>
      <w:r>
        <w:rPr>
          <w:rFonts w:hint="eastAsia"/>
          <w:i/>
        </w:rPr>
        <w:t xml:space="preserve">Nature Methods </w:t>
      </w:r>
      <w:r>
        <w:rPr>
          <w:rFonts w:hint="eastAsia"/>
        </w:rPr>
        <w:t xml:space="preserve">2014, </w:t>
      </w:r>
      <w:r>
        <w:rPr>
          <w:rFonts w:hint="eastAsia"/>
          <w:b/>
        </w:rPr>
        <w:t>12</w:t>
      </w:r>
      <w:r>
        <w:rPr>
          <w:rFonts w:hint="eastAsia"/>
        </w:rPr>
        <w:t>(1):59-60.</w:t>
      </w:r>
    </w:p>
    <w:p w14:paraId="2C6B18D6" w14:textId="77777777" w:rsidR="00471529" w:rsidRDefault="00000000">
      <w:pPr>
        <w:pStyle w:val="EndNoteBibliography"/>
        <w:spacing w:after="240"/>
        <w:ind w:left="300" w:hanging="300"/>
      </w:pPr>
      <w:r>
        <w:rPr>
          <w:rFonts w:hint="eastAsia"/>
        </w:rPr>
        <w:t>17.</w:t>
      </w:r>
      <w:r>
        <w:rPr>
          <w:rFonts w:hint="eastAsia"/>
        </w:rPr>
        <w:tab/>
        <w:t xml:space="preserve">Ma L, Li B, Jiang X-T, Wang Y-L, Xia Y, Li A-D, Zhang T: </w:t>
      </w:r>
      <w:r>
        <w:rPr>
          <w:rFonts w:hint="eastAsia"/>
          <w:b/>
        </w:rPr>
        <w:t>Catalogue of antibiotic resistome and host-tracking in drinking water deciphered by a large scale survey</w:t>
      </w:r>
      <w:r>
        <w:rPr>
          <w:rFonts w:hint="eastAsia"/>
        </w:rPr>
        <w:t xml:space="preserve">. </w:t>
      </w:r>
      <w:r>
        <w:rPr>
          <w:rFonts w:hint="eastAsia"/>
          <w:i/>
        </w:rPr>
        <w:t xml:space="preserve">Microbiome </w:t>
      </w:r>
      <w:r>
        <w:rPr>
          <w:rFonts w:hint="eastAsia"/>
        </w:rPr>
        <w:t xml:space="preserve">2017, </w:t>
      </w:r>
      <w:r>
        <w:rPr>
          <w:rFonts w:hint="eastAsia"/>
          <w:b/>
        </w:rPr>
        <w:t>5</w:t>
      </w:r>
      <w:r>
        <w:rPr>
          <w:rFonts w:hint="eastAsia"/>
        </w:rPr>
        <w:t>(1):154.</w:t>
      </w:r>
    </w:p>
    <w:p w14:paraId="23A48F6D" w14:textId="77777777" w:rsidR="00471529" w:rsidRDefault="00000000">
      <w:pPr>
        <w:pStyle w:val="EndNoteBibliography"/>
        <w:spacing w:after="240"/>
        <w:ind w:left="300" w:hanging="300"/>
      </w:pPr>
      <w:r>
        <w:rPr>
          <w:rFonts w:hint="eastAsia"/>
        </w:rPr>
        <w:t>18.</w:t>
      </w:r>
      <w:r>
        <w:rPr>
          <w:rFonts w:hint="eastAsia"/>
        </w:rPr>
        <w:tab/>
        <w:t xml:space="preserve">Forsberg KJ, Patel S, Gibson MK, Lauber CL, Knight R, Fierer N, Dantas G: </w:t>
      </w:r>
      <w:r>
        <w:rPr>
          <w:rFonts w:hint="eastAsia"/>
          <w:b/>
        </w:rPr>
        <w:t>Bacterial phylogeny structures soil resistomes across habitats</w:t>
      </w:r>
      <w:r>
        <w:rPr>
          <w:rFonts w:hint="eastAsia"/>
        </w:rPr>
        <w:t xml:space="preserve">. </w:t>
      </w:r>
      <w:r>
        <w:rPr>
          <w:rFonts w:hint="eastAsia"/>
          <w:i/>
        </w:rPr>
        <w:t xml:space="preserve">Nature </w:t>
      </w:r>
      <w:r>
        <w:rPr>
          <w:rFonts w:hint="eastAsia"/>
        </w:rPr>
        <w:t xml:space="preserve">2014, </w:t>
      </w:r>
      <w:r>
        <w:rPr>
          <w:rFonts w:hint="eastAsia"/>
          <w:b/>
        </w:rPr>
        <w:t>509</w:t>
      </w:r>
      <w:r>
        <w:rPr>
          <w:rFonts w:hint="eastAsia"/>
        </w:rPr>
        <w:t>(7502):612-616.</w:t>
      </w:r>
    </w:p>
    <w:p w14:paraId="7B1F1F96" w14:textId="77777777" w:rsidR="00471529" w:rsidRDefault="00000000">
      <w:pPr>
        <w:pStyle w:val="EndNoteBibliography"/>
        <w:spacing w:after="240"/>
        <w:ind w:left="300" w:hanging="300"/>
      </w:pPr>
      <w:r>
        <w:rPr>
          <w:rFonts w:hint="eastAsia"/>
        </w:rPr>
        <w:t>19.</w:t>
      </w:r>
      <w:r>
        <w:rPr>
          <w:rFonts w:hint="eastAsia"/>
        </w:rPr>
        <w:tab/>
        <w:t xml:space="preserve">Phillippy AM, Wick RR, Judd LM, Gorrie CL, Holt KE: </w:t>
      </w:r>
      <w:r>
        <w:rPr>
          <w:rFonts w:hint="eastAsia"/>
          <w:b/>
        </w:rPr>
        <w:t>Unicycler: Resolving bacterial genome assemblies from short and long sequencing reads</w:t>
      </w:r>
      <w:r>
        <w:rPr>
          <w:rFonts w:hint="eastAsia"/>
        </w:rPr>
        <w:t xml:space="preserve">. </w:t>
      </w:r>
      <w:r>
        <w:rPr>
          <w:rFonts w:hint="eastAsia"/>
          <w:i/>
        </w:rPr>
        <w:t xml:space="preserve">PLOS Computational Biology </w:t>
      </w:r>
      <w:r>
        <w:rPr>
          <w:rFonts w:hint="eastAsia"/>
        </w:rPr>
        <w:t xml:space="preserve">2017, </w:t>
      </w:r>
      <w:r>
        <w:rPr>
          <w:rFonts w:hint="eastAsia"/>
          <w:b/>
        </w:rPr>
        <w:t>13</w:t>
      </w:r>
      <w:r>
        <w:rPr>
          <w:rFonts w:hint="eastAsia"/>
        </w:rPr>
        <w:t>(6).</w:t>
      </w:r>
    </w:p>
    <w:p w14:paraId="740BB945" w14:textId="77777777" w:rsidR="00471529" w:rsidRDefault="00000000">
      <w:pPr>
        <w:pStyle w:val="EndNoteBibliography"/>
        <w:spacing w:after="240"/>
        <w:ind w:left="300" w:hanging="300"/>
      </w:pPr>
      <w:r>
        <w:rPr>
          <w:rFonts w:hint="eastAsia"/>
        </w:rPr>
        <w:t>20.</w:t>
      </w:r>
      <w:r>
        <w:rPr>
          <w:rFonts w:hint="eastAsia"/>
        </w:rPr>
        <w:tab/>
        <w:t xml:space="preserve">Delcher A, Bratke K, Powers E, Salzberg S: </w:t>
      </w:r>
      <w:r>
        <w:rPr>
          <w:rFonts w:hint="eastAsia"/>
          <w:b/>
        </w:rPr>
        <w:t>Identifying bacterial genes and endosymbiont DNA with Glimmer</w:t>
      </w:r>
      <w:r>
        <w:rPr>
          <w:rFonts w:hint="eastAsia"/>
        </w:rPr>
        <w:t xml:space="preserve">. </w:t>
      </w:r>
      <w:r>
        <w:rPr>
          <w:rFonts w:hint="eastAsia"/>
          <w:i/>
        </w:rPr>
        <w:t xml:space="preserve">Bioinformatics </w:t>
      </w:r>
      <w:r>
        <w:rPr>
          <w:rFonts w:hint="eastAsia"/>
        </w:rPr>
        <w:t xml:space="preserve">2007, </w:t>
      </w:r>
      <w:r>
        <w:rPr>
          <w:rFonts w:hint="eastAsia"/>
          <w:b/>
        </w:rPr>
        <w:t>23</w:t>
      </w:r>
      <w:r>
        <w:rPr>
          <w:rFonts w:hint="eastAsia"/>
        </w:rPr>
        <w:t>(6):673-679.</w:t>
      </w:r>
    </w:p>
    <w:p w14:paraId="00CF8EF8" w14:textId="77777777" w:rsidR="00471529" w:rsidRDefault="00000000">
      <w:pPr>
        <w:pStyle w:val="EndNoteBibliography"/>
        <w:spacing w:after="240"/>
        <w:ind w:left="300" w:hanging="300"/>
      </w:pPr>
      <w:r>
        <w:rPr>
          <w:rFonts w:hint="eastAsia"/>
        </w:rPr>
        <w:t>21.</w:t>
      </w:r>
      <w:r>
        <w:rPr>
          <w:rFonts w:hint="eastAsia"/>
        </w:rPr>
        <w:tab/>
        <w:t xml:space="preserve">Besemer J, Borodovsky M: </w:t>
      </w:r>
      <w:r>
        <w:rPr>
          <w:rFonts w:hint="eastAsia"/>
          <w:b/>
        </w:rPr>
        <w:t>GeneMark: web software for gene finding in prokaryotes, eukaryotes and viruses</w:t>
      </w:r>
      <w:r>
        <w:rPr>
          <w:rFonts w:hint="eastAsia"/>
        </w:rPr>
        <w:t xml:space="preserve">. </w:t>
      </w:r>
      <w:r>
        <w:rPr>
          <w:rFonts w:hint="eastAsia"/>
          <w:i/>
        </w:rPr>
        <w:t xml:space="preserve">Nucleic Acids Research </w:t>
      </w:r>
      <w:r>
        <w:rPr>
          <w:rFonts w:hint="eastAsia"/>
        </w:rPr>
        <w:t xml:space="preserve">2005, </w:t>
      </w:r>
      <w:r>
        <w:rPr>
          <w:rFonts w:hint="eastAsia"/>
          <w:b/>
        </w:rPr>
        <w:t>33</w:t>
      </w:r>
      <w:r>
        <w:rPr>
          <w:rFonts w:hint="eastAsia"/>
        </w:rPr>
        <w:t>(Web Server):W451-W454.</w:t>
      </w:r>
    </w:p>
    <w:p w14:paraId="35AC8029" w14:textId="77777777" w:rsidR="00471529" w:rsidRDefault="00000000">
      <w:pPr>
        <w:pStyle w:val="EndNoteBibliography"/>
        <w:ind w:left="300" w:hanging="300"/>
      </w:pPr>
      <w:r>
        <w:rPr>
          <w:rFonts w:hint="eastAsia"/>
        </w:rPr>
        <w:t>22.</w:t>
      </w:r>
      <w:r>
        <w:rPr>
          <w:rFonts w:hint="eastAsia"/>
        </w:rPr>
        <w:tab/>
        <w:t xml:space="preserve">Chan PP, Lowe TM: </w:t>
      </w:r>
      <w:r>
        <w:rPr>
          <w:rFonts w:hint="eastAsia"/>
          <w:b/>
        </w:rPr>
        <w:t>tRNAscan-SE: Searching for tRNA genes in genomic sequences</w:t>
      </w:r>
      <w:r>
        <w:rPr>
          <w:rFonts w:hint="eastAsia"/>
        </w:rPr>
        <w:t xml:space="preserve">. In: </w:t>
      </w:r>
      <w:r>
        <w:rPr>
          <w:rFonts w:hint="eastAsia"/>
          <w:i/>
        </w:rPr>
        <w:t>Gene Prediction.</w:t>
      </w:r>
      <w:r>
        <w:rPr>
          <w:rFonts w:hint="eastAsia"/>
        </w:rPr>
        <w:t xml:space="preserve"> 2019: 1-14.</w:t>
      </w:r>
    </w:p>
    <w:p w14:paraId="35BD63FC" w14:textId="77777777" w:rsidR="00471529" w:rsidRDefault="00000000">
      <w:pPr>
        <w:spacing w:line="360" w:lineRule="auto"/>
        <w:rPr>
          <w:rFonts w:ascii="Times New Roman" w:hAnsi="Times New Roman" w:cs="Times New Roman"/>
        </w:rPr>
        <w:sectPr w:rsidR="00471529">
          <w:pgSz w:w="11906" w:h="16838"/>
          <w:pgMar w:top="1440" w:right="1800" w:bottom="1440" w:left="1800" w:header="851" w:footer="992" w:gutter="0"/>
          <w:lnNumType w:countBy="1" w:restart="continuous"/>
          <w:cols w:space="425"/>
          <w:docGrid w:type="lines" w:linePitch="312"/>
        </w:sectPr>
      </w:pPr>
      <w:r>
        <w:rPr>
          <w:rFonts w:ascii="Times New Roman" w:hAnsi="Times New Roman" w:cs="Times New Roman"/>
        </w:rPr>
        <w:fldChar w:fldCharType="end"/>
      </w:r>
    </w:p>
    <w:p w14:paraId="3DB19D9A" w14:textId="77777777" w:rsidR="00471529" w:rsidRDefault="00000000">
      <w:pPr>
        <w:spacing w:line="360" w:lineRule="auto"/>
        <w:jc w:val="center"/>
        <w:rPr>
          <w:rFonts w:cs="Times New Roman" w:hint="eastAsia"/>
          <w:szCs w:val="24"/>
        </w:rPr>
      </w:pPr>
      <w:bookmarkStart w:id="24" w:name="_Hlk152574238"/>
      <w:r>
        <w:rPr>
          <w:rFonts w:cs="Times New Roman"/>
          <w:noProof/>
          <w:szCs w:val="24"/>
        </w:rPr>
        <w:lastRenderedPageBreak/>
        <w:drawing>
          <wp:inline distT="0" distB="0" distL="0" distR="0" wp14:anchorId="2DE24336" wp14:editId="5C393041">
            <wp:extent cx="5274310" cy="2318385"/>
            <wp:effectExtent l="0" t="0" r="254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318385"/>
                    </a:xfrm>
                    <a:prstGeom prst="rect">
                      <a:avLst/>
                    </a:prstGeom>
                  </pic:spPr>
                </pic:pic>
              </a:graphicData>
            </a:graphic>
          </wp:inline>
        </w:drawing>
      </w:r>
    </w:p>
    <w:p w14:paraId="61F7FBBA" w14:textId="77777777" w:rsidR="00471529" w:rsidRDefault="00000000">
      <w:pPr>
        <w:spacing w:line="360" w:lineRule="auto"/>
        <w:rPr>
          <w:rFonts w:ascii="Times New Roman" w:hAnsi="Times New Roman" w:cs="Times New Roman"/>
          <w:sz w:val="24"/>
          <w:szCs w:val="24"/>
        </w:rPr>
      </w:pPr>
      <w:bookmarkStart w:id="25" w:name="_Hlk182513750"/>
      <w:bookmarkEnd w:id="24"/>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 </w:t>
      </w:r>
      <w:bookmarkStart w:id="26" w:name="_Hlk153219133"/>
      <w:r>
        <w:rPr>
          <w:rFonts w:ascii="Times New Roman" w:hAnsi="Times New Roman" w:cs="Times New Roman"/>
          <w:b/>
          <w:sz w:val="24"/>
          <w:szCs w:val="24"/>
        </w:rPr>
        <w:t xml:space="preserve">Changes in photosynthetic pigment content of </w:t>
      </w:r>
      <w:r>
        <w:rPr>
          <w:rFonts w:ascii="Times New Roman" w:hAnsi="Times New Roman" w:cs="Times New Roman"/>
          <w:b/>
          <w:i/>
          <w:iCs/>
          <w:sz w:val="24"/>
          <w:szCs w:val="24"/>
        </w:rPr>
        <w:t>A. pyrenoidosa</w:t>
      </w:r>
      <w:r>
        <w:rPr>
          <w:rFonts w:ascii="Times New Roman" w:hAnsi="Times New Roman" w:cs="Times New Roman"/>
          <w:b/>
          <w:sz w:val="24"/>
          <w:szCs w:val="24"/>
        </w:rPr>
        <w:t xml:space="preserve"> under PLA MPs and FF treatment.</w:t>
      </w:r>
      <w:bookmarkEnd w:id="25"/>
      <w:bookmarkEnd w:id="26"/>
      <w:r>
        <w:rPr>
          <w:rFonts w:ascii="Times New Roman" w:hAnsi="Times New Roman" w:cs="Times New Roman"/>
          <w:sz w:val="24"/>
          <w:szCs w:val="24"/>
        </w:rPr>
        <w:t xml:space="preserve"> Different letters indicate significant differences between different groups (</w:t>
      </w:r>
      <w:r>
        <w:rPr>
          <w:rFonts w:ascii="Times New Roman" w:hAnsi="Times New Roman" w:cs="Times New Roman"/>
          <w:i/>
          <w:iCs/>
          <w:sz w:val="24"/>
          <w:szCs w:val="24"/>
        </w:rPr>
        <w:t>P</w:t>
      </w:r>
      <w:r>
        <w:rPr>
          <w:rFonts w:ascii="Times New Roman" w:hAnsi="Times New Roman" w:cs="Times New Roman"/>
          <w:sz w:val="24"/>
          <w:szCs w:val="24"/>
        </w:rPr>
        <w:t xml:space="preserve"> &lt; 0.05, one-way ANOVA).</w:t>
      </w:r>
    </w:p>
    <w:p w14:paraId="01810629" w14:textId="77777777" w:rsidR="00471529" w:rsidRDefault="00000000">
      <w:pPr>
        <w:spacing w:line="360" w:lineRule="auto"/>
        <w:jc w:val="center"/>
        <w:rPr>
          <w:rFonts w:cs="Times New Roman" w:hint="eastAsia"/>
          <w:szCs w:val="24"/>
        </w:rPr>
      </w:pPr>
      <w:r>
        <w:rPr>
          <w:rFonts w:cs="Times New Roman"/>
          <w:noProof/>
          <w:szCs w:val="24"/>
        </w:rPr>
        <w:drawing>
          <wp:inline distT="0" distB="0" distL="0" distR="0" wp14:anchorId="18FD0BF3" wp14:editId="3EC0370E">
            <wp:extent cx="5255895" cy="3938270"/>
            <wp:effectExtent l="0" t="0" r="1905"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269587" cy="3948750"/>
                    </a:xfrm>
                    <a:prstGeom prst="rect">
                      <a:avLst/>
                    </a:prstGeom>
                  </pic:spPr>
                </pic:pic>
              </a:graphicData>
            </a:graphic>
          </wp:inline>
        </w:drawing>
      </w:r>
    </w:p>
    <w:p w14:paraId="4DD60279"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bCs/>
          <w:sz w:val="24"/>
          <w:szCs w:val="24"/>
        </w:rPr>
        <w:t>2</w:t>
      </w:r>
      <w:r>
        <w:rPr>
          <w:rFonts w:ascii="Times New Roman" w:hAnsi="Times New Roman" w:cs="Times New Roman"/>
          <w:b/>
          <w:bCs/>
          <w:sz w:val="24"/>
          <w:szCs w:val="24"/>
        </w:rPr>
        <w:t xml:space="preserve"> Morphological characteristics of PLA MPs and </w:t>
      </w:r>
      <w:r>
        <w:rPr>
          <w:rFonts w:ascii="Times New Roman" w:hAnsi="Times New Roman" w:cs="Times New Roman"/>
          <w:b/>
          <w:i/>
          <w:iCs/>
          <w:sz w:val="24"/>
          <w:szCs w:val="24"/>
        </w:rPr>
        <w:t>A. pyrenoidosa</w:t>
      </w:r>
      <w:r>
        <w:rPr>
          <w:rFonts w:ascii="Times New Roman" w:hAnsi="Times New Roman" w:cs="Times New Roman"/>
          <w:b/>
          <w:sz w:val="24"/>
          <w:szCs w:val="24"/>
        </w:rPr>
        <w:t>.</w:t>
      </w:r>
      <w:r>
        <w:rPr>
          <w:rFonts w:ascii="Times New Roman" w:hAnsi="Times New Roman" w:cs="Times New Roman"/>
          <w:sz w:val="24"/>
          <w:szCs w:val="24"/>
        </w:rPr>
        <w:t xml:space="preserve"> </w:t>
      </w:r>
      <w:bookmarkStart w:id="27" w:name="_Hlk153219173"/>
      <w:r>
        <w:rPr>
          <w:rFonts w:ascii="Times New Roman" w:hAnsi="Times New Roman" w:cs="Times New Roman"/>
          <w:sz w:val="24"/>
          <w:szCs w:val="24"/>
        </w:rPr>
        <w:t>(A, B) The particle size distribution (A) and SEM image (B) of PLA MPs. (C-I) The SEM images of different treatment groups.</w:t>
      </w:r>
      <w:bookmarkEnd w:id="27"/>
      <w:r>
        <w:rPr>
          <w:rFonts w:ascii="Times New Roman" w:hAnsi="Times New Roman" w:cs="Times New Roman"/>
          <w:sz w:val="24"/>
          <w:szCs w:val="24"/>
        </w:rPr>
        <w:t xml:space="preserve"> The red box indicates the enlarged area. The blue, purple, and black arrows indicate </w:t>
      </w:r>
      <w:r>
        <w:rPr>
          <w:rFonts w:ascii="Times New Roman" w:hAnsi="Times New Roman" w:cs="Times New Roman"/>
          <w:i/>
          <w:iCs/>
          <w:sz w:val="24"/>
          <w:szCs w:val="24"/>
        </w:rPr>
        <w:t>A. pyrenoidosa</w:t>
      </w:r>
      <w:r>
        <w:rPr>
          <w:rFonts w:ascii="Times New Roman" w:hAnsi="Times New Roman" w:cs="Times New Roman"/>
          <w:sz w:val="24"/>
          <w:szCs w:val="24"/>
        </w:rPr>
        <w:t>, bacteria, and PLA MPs in the phycosphere, respectively.</w:t>
      </w:r>
    </w:p>
    <w:p w14:paraId="2629C2E9"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6F0CDC64" wp14:editId="5B6FCD08">
            <wp:extent cx="3959860" cy="407670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960000" cy="4076798"/>
                    </a:xfrm>
                    <a:prstGeom prst="rect">
                      <a:avLst/>
                    </a:prstGeom>
                  </pic:spPr>
                </pic:pic>
              </a:graphicData>
            </a:graphic>
          </wp:inline>
        </w:drawing>
      </w:r>
    </w:p>
    <w:p w14:paraId="2B27399D"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3</w:t>
      </w:r>
      <w:r>
        <w:rPr>
          <w:rFonts w:ascii="Times New Roman" w:hAnsi="Times New Roman" w:cs="Times New Roman"/>
          <w:b/>
          <w:sz w:val="24"/>
          <w:szCs w:val="24"/>
        </w:rPr>
        <w:t xml:space="preserve"> GO functional classification of upregulated (A) and downregulated (B) DEGs</w:t>
      </w:r>
      <w:r>
        <w:rPr>
          <w:rFonts w:ascii="Times New Roman" w:hAnsi="Times New Roman" w:cs="Times New Roman" w:hint="eastAsia"/>
          <w:b/>
          <w:sz w:val="24"/>
          <w:szCs w:val="24"/>
        </w:rPr>
        <w:t>.</w:t>
      </w:r>
    </w:p>
    <w:p w14:paraId="1ADA1521" w14:textId="77777777" w:rsidR="00471529" w:rsidRDefault="00471529">
      <w:pPr>
        <w:spacing w:line="360" w:lineRule="auto"/>
        <w:rPr>
          <w:rFonts w:ascii="Times New Roman" w:hAnsi="Times New Roman" w:cs="Times New Roman"/>
          <w:b/>
          <w:sz w:val="24"/>
          <w:szCs w:val="24"/>
        </w:rPr>
      </w:pPr>
    </w:p>
    <w:p w14:paraId="3B694557"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6B198A8A" wp14:editId="4DE4B9C8">
            <wp:extent cx="3239770" cy="4264025"/>
            <wp:effectExtent l="0" t="0" r="0" b="31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40000" cy="4264616"/>
                    </a:xfrm>
                    <a:prstGeom prst="rect">
                      <a:avLst/>
                    </a:prstGeom>
                  </pic:spPr>
                </pic:pic>
              </a:graphicData>
            </a:graphic>
          </wp:inline>
        </w:drawing>
      </w:r>
    </w:p>
    <w:p w14:paraId="5095F6D7"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4</w:t>
      </w:r>
      <w:r>
        <w:rPr>
          <w:rFonts w:ascii="Times New Roman" w:hAnsi="Times New Roman" w:cs="Times New Roman"/>
          <w:b/>
          <w:sz w:val="24"/>
          <w:szCs w:val="24"/>
        </w:rPr>
        <w:t xml:space="preserve"> KEGG enrichment analysis of downregulated DEGs (A) and DAMs (B)</w:t>
      </w:r>
      <w:r>
        <w:rPr>
          <w:rFonts w:ascii="Times New Roman" w:hAnsi="Times New Roman" w:cs="Times New Roman" w:hint="eastAsia"/>
          <w:b/>
          <w:sz w:val="24"/>
          <w:szCs w:val="24"/>
        </w:rPr>
        <w:t>.</w:t>
      </w:r>
    </w:p>
    <w:p w14:paraId="242B86F3" w14:textId="77777777" w:rsidR="00471529" w:rsidRDefault="00471529">
      <w:pPr>
        <w:spacing w:line="360" w:lineRule="auto"/>
        <w:rPr>
          <w:rFonts w:ascii="Times New Roman" w:hAnsi="Times New Roman" w:cs="Times New Roman"/>
          <w:b/>
          <w:sz w:val="24"/>
          <w:szCs w:val="24"/>
        </w:rPr>
      </w:pPr>
    </w:p>
    <w:p w14:paraId="34E4E0E2"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drawing>
          <wp:inline distT="0" distB="0" distL="0" distR="0" wp14:anchorId="5AB80BFD" wp14:editId="61B0DD0C">
            <wp:extent cx="5399405" cy="2682240"/>
            <wp:effectExtent l="0" t="0" r="0" b="381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00" cy="2682429"/>
                    </a:xfrm>
                    <a:prstGeom prst="rect">
                      <a:avLst/>
                    </a:prstGeom>
                  </pic:spPr>
                </pic:pic>
              </a:graphicData>
            </a:graphic>
          </wp:inline>
        </w:drawing>
      </w:r>
    </w:p>
    <w:p w14:paraId="4B941851"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5</w:t>
      </w:r>
      <w:r>
        <w:rPr>
          <w:rFonts w:ascii="Times New Roman" w:hAnsi="Times New Roman" w:cs="Times New Roman"/>
          <w:b/>
          <w:sz w:val="24"/>
          <w:szCs w:val="24"/>
        </w:rPr>
        <w:t xml:space="preserve"> Heatmaps of DEGs related to photosynthesis (A) and antenna proteins (B)</w:t>
      </w:r>
      <w:r>
        <w:rPr>
          <w:rFonts w:ascii="Times New Roman" w:hAnsi="Times New Roman" w:cs="Times New Roman" w:hint="eastAsia"/>
          <w:b/>
          <w:sz w:val="24"/>
          <w:szCs w:val="24"/>
        </w:rPr>
        <w:t>.</w:t>
      </w:r>
    </w:p>
    <w:p w14:paraId="0B75A994" w14:textId="77777777" w:rsidR="00471529" w:rsidRDefault="00471529">
      <w:pPr>
        <w:spacing w:line="360" w:lineRule="auto"/>
        <w:rPr>
          <w:rFonts w:ascii="Times New Roman" w:hAnsi="Times New Roman" w:cs="Times New Roman"/>
          <w:b/>
          <w:sz w:val="24"/>
          <w:szCs w:val="24"/>
        </w:rPr>
      </w:pPr>
    </w:p>
    <w:p w14:paraId="3BF7578D"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591D0407" wp14:editId="4930653F">
            <wp:extent cx="2879725" cy="333946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3339909"/>
                    </a:xfrm>
                    <a:prstGeom prst="rect">
                      <a:avLst/>
                    </a:prstGeom>
                  </pic:spPr>
                </pic:pic>
              </a:graphicData>
            </a:graphic>
          </wp:inline>
        </w:drawing>
      </w:r>
    </w:p>
    <w:p w14:paraId="1AE68C53"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6</w:t>
      </w:r>
      <w:r>
        <w:rPr>
          <w:rFonts w:ascii="Times New Roman" w:hAnsi="Times New Roman" w:cs="Times New Roman"/>
          <w:b/>
          <w:sz w:val="24"/>
          <w:szCs w:val="24"/>
        </w:rPr>
        <w:t xml:space="preserve"> Heatmap of DEGs related to antioxidation</w:t>
      </w:r>
      <w:r>
        <w:rPr>
          <w:rFonts w:ascii="Times New Roman" w:hAnsi="Times New Roman" w:cs="Times New Roman" w:hint="eastAsia"/>
          <w:b/>
          <w:sz w:val="24"/>
          <w:szCs w:val="24"/>
        </w:rPr>
        <w:t>.</w:t>
      </w:r>
    </w:p>
    <w:p w14:paraId="19A2064D" w14:textId="77777777" w:rsidR="00471529" w:rsidRDefault="00471529">
      <w:pPr>
        <w:spacing w:line="360" w:lineRule="auto"/>
        <w:rPr>
          <w:rFonts w:ascii="Times New Roman" w:hAnsi="Times New Roman" w:cs="Times New Roman"/>
          <w:sz w:val="24"/>
          <w:szCs w:val="24"/>
        </w:rPr>
      </w:pPr>
    </w:p>
    <w:p w14:paraId="77D869A6"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drawing>
          <wp:inline distT="0" distB="0" distL="0" distR="0" wp14:anchorId="60A90085" wp14:editId="4E85D7F7">
            <wp:extent cx="4319905" cy="1664970"/>
            <wp:effectExtent l="0" t="0" r="4445"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0" cy="1665000"/>
                    </a:xfrm>
                    <a:prstGeom prst="rect">
                      <a:avLst/>
                    </a:prstGeom>
                  </pic:spPr>
                </pic:pic>
              </a:graphicData>
            </a:graphic>
          </wp:inline>
        </w:drawing>
      </w:r>
    </w:p>
    <w:p w14:paraId="4459EF8E"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7</w:t>
      </w:r>
      <w:r>
        <w:rPr>
          <w:rFonts w:ascii="Times New Roman" w:hAnsi="Times New Roman" w:cs="Times New Roman"/>
          <w:b/>
          <w:sz w:val="24"/>
          <w:szCs w:val="24"/>
        </w:rPr>
        <w:t xml:space="preserve"> Relative abundance of DAMs associated with antioxidation in different treatment groups</w:t>
      </w:r>
      <w:r>
        <w:rPr>
          <w:rFonts w:ascii="Times New Roman" w:hAnsi="Times New Roman" w:cs="Times New Roman" w:hint="eastAsia"/>
          <w:b/>
          <w:sz w:val="24"/>
          <w:szCs w:val="24"/>
        </w:rPr>
        <w:t>.</w:t>
      </w:r>
    </w:p>
    <w:p w14:paraId="4947E3F1"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7FBAFCE9" wp14:editId="43858336">
            <wp:extent cx="3315970" cy="2626995"/>
            <wp:effectExtent l="0" t="0" r="0" b="1905"/>
            <wp:docPr id="560607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07514" name="图片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316224" cy="2627376"/>
                    </a:xfrm>
                    <a:prstGeom prst="rect">
                      <a:avLst/>
                    </a:prstGeom>
                  </pic:spPr>
                </pic:pic>
              </a:graphicData>
            </a:graphic>
          </wp:inline>
        </w:drawing>
      </w:r>
    </w:p>
    <w:p w14:paraId="660067B8"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8</w:t>
      </w:r>
      <w:r>
        <w:rPr>
          <w:rFonts w:ascii="Times New Roman" w:hAnsi="Times New Roman" w:cs="Times New Roman"/>
          <w:b/>
          <w:bCs/>
          <w:sz w:val="24"/>
          <w:szCs w:val="24"/>
        </w:rPr>
        <w:t xml:space="preserve"> </w:t>
      </w:r>
      <w:r>
        <w:rPr>
          <w:rFonts w:ascii="Times New Roman" w:hAnsi="Times New Roman" w:cs="Times New Roman"/>
          <w:sz w:val="24"/>
          <w:szCs w:val="24"/>
        </w:rPr>
        <w:t>The relative abundance distribution of the top 12 ARG hosts at the phylum level in each group.</w:t>
      </w:r>
    </w:p>
    <w:p w14:paraId="3897EF83"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74077F2A" wp14:editId="5EA65236">
            <wp:extent cx="5399405" cy="66001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99999" cy="6600735"/>
                    </a:xfrm>
                    <a:prstGeom prst="rect">
                      <a:avLst/>
                    </a:prstGeom>
                  </pic:spPr>
                </pic:pic>
              </a:graphicData>
            </a:graphic>
          </wp:inline>
        </w:drawing>
      </w:r>
    </w:p>
    <w:p w14:paraId="37CC3D1F"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9</w:t>
      </w:r>
      <w:r>
        <w:rPr>
          <w:rFonts w:ascii="Times New Roman" w:hAnsi="Times New Roman" w:cs="Times New Roman"/>
          <w:b/>
          <w:sz w:val="24"/>
          <w:szCs w:val="24"/>
        </w:rPr>
        <w:t xml:space="preserve"> Genomic information of </w:t>
      </w:r>
      <w:r>
        <w:rPr>
          <w:rFonts w:ascii="Times New Roman" w:hAnsi="Times New Roman" w:cs="Times New Roman"/>
          <w:b/>
          <w:i/>
          <w:iCs/>
          <w:sz w:val="24"/>
          <w:szCs w:val="24"/>
        </w:rPr>
        <w:t>Allorhizobium</w:t>
      </w:r>
      <w:r>
        <w:rPr>
          <w:rFonts w:ascii="Times New Roman" w:hAnsi="Times New Roman" w:cs="Times New Roman"/>
          <w:b/>
          <w:sz w:val="24"/>
          <w:szCs w:val="24"/>
        </w:rPr>
        <w:t xml:space="preserve">_sp1 and </w:t>
      </w:r>
      <w:r>
        <w:rPr>
          <w:rFonts w:ascii="Times New Roman" w:hAnsi="Times New Roman" w:cs="Times New Roman"/>
          <w:b/>
          <w:i/>
          <w:iCs/>
          <w:sz w:val="24"/>
          <w:szCs w:val="24"/>
        </w:rPr>
        <w:t>Methylobacteium</w:t>
      </w:r>
      <w:r>
        <w:rPr>
          <w:rFonts w:ascii="Times New Roman" w:hAnsi="Times New Roman" w:cs="Times New Roman"/>
          <w:b/>
          <w:sz w:val="24"/>
          <w:szCs w:val="24"/>
        </w:rPr>
        <w:t>_sp1.</w:t>
      </w:r>
      <w:r>
        <w:rPr>
          <w:rFonts w:ascii="Times New Roman" w:hAnsi="Times New Roman" w:cs="Times New Roman"/>
          <w:sz w:val="24"/>
          <w:szCs w:val="24"/>
        </w:rPr>
        <w:t xml:space="preserve"> (A) Phylogenetic tree of </w:t>
      </w:r>
      <w:r>
        <w:rPr>
          <w:rFonts w:ascii="Times New Roman" w:hAnsi="Times New Roman" w:cs="Times New Roman"/>
          <w:i/>
          <w:iCs/>
          <w:sz w:val="24"/>
          <w:szCs w:val="24"/>
        </w:rPr>
        <w:t>Allorhizobium</w:t>
      </w:r>
      <w:r>
        <w:rPr>
          <w:rFonts w:ascii="Times New Roman" w:hAnsi="Times New Roman" w:cs="Times New Roman"/>
          <w:sz w:val="24"/>
          <w:szCs w:val="24"/>
        </w:rPr>
        <w:t xml:space="preserve">_sp1 and </w:t>
      </w:r>
      <w:r>
        <w:rPr>
          <w:rFonts w:ascii="Times New Roman" w:hAnsi="Times New Roman" w:cs="Times New Roman"/>
          <w:i/>
          <w:iCs/>
          <w:sz w:val="24"/>
          <w:szCs w:val="24"/>
        </w:rPr>
        <w:t>Methylobacteium</w:t>
      </w:r>
      <w:r>
        <w:rPr>
          <w:rFonts w:ascii="Times New Roman" w:hAnsi="Times New Roman" w:cs="Times New Roman"/>
          <w:sz w:val="24"/>
          <w:szCs w:val="24"/>
        </w:rPr>
        <w:t xml:space="preserve">_sp1 based on house-keeping genes. Numbers listed at the branches were bootstrap values. (B) Genetic map of </w:t>
      </w:r>
      <w:r>
        <w:rPr>
          <w:rFonts w:ascii="Times New Roman" w:hAnsi="Times New Roman" w:cs="Times New Roman"/>
          <w:i/>
          <w:iCs/>
          <w:sz w:val="24"/>
          <w:szCs w:val="24"/>
        </w:rPr>
        <w:t>Allorhizobium</w:t>
      </w:r>
      <w:r>
        <w:rPr>
          <w:rFonts w:ascii="Times New Roman" w:hAnsi="Times New Roman" w:cs="Times New Roman"/>
          <w:sz w:val="24"/>
          <w:szCs w:val="24"/>
        </w:rPr>
        <w:t xml:space="preserve">_sp1 and </w:t>
      </w:r>
      <w:r>
        <w:rPr>
          <w:rFonts w:ascii="Times New Roman" w:hAnsi="Times New Roman" w:cs="Times New Roman"/>
          <w:i/>
          <w:iCs/>
          <w:sz w:val="24"/>
          <w:szCs w:val="24"/>
        </w:rPr>
        <w:t>Methylobacteium</w:t>
      </w:r>
      <w:r>
        <w:rPr>
          <w:rFonts w:ascii="Times New Roman" w:hAnsi="Times New Roman" w:cs="Times New Roman"/>
          <w:sz w:val="24"/>
          <w:szCs w:val="24"/>
        </w:rPr>
        <w:t xml:space="preserve">_sp1. From the outside to the inner: Circle 1, the genome size. Circle 2 and 3, protein coding regions by COG function categories on forward/reverse strand, different categories of COG pathways were showed using different colors. Circle 4, the distribution of rRNA and tRNA. Circle 5, the GC content, </w:t>
      </w:r>
      <w:r>
        <w:rPr>
          <w:rFonts w:ascii="Times New Roman" w:hAnsi="Times New Roman" w:cs="Times New Roman"/>
          <w:sz w:val="24"/>
          <w:szCs w:val="24"/>
        </w:rPr>
        <w:lastRenderedPageBreak/>
        <w:t>the outer red part indicates that the GC content of this region is higher than the average GC content of the whole genome, and the inner blue part is the opposite. Circle 6, the GC-Skew value (G-C/G+C). (C) Linear map of predicted secondary metabolite synthesis gene clusters. (D) Prediction of antibiotic resistance gene types.</w:t>
      </w:r>
    </w:p>
    <w:p w14:paraId="3151A182" w14:textId="77777777" w:rsidR="00471529" w:rsidRDefault="00471529">
      <w:pPr>
        <w:spacing w:line="360" w:lineRule="auto"/>
        <w:rPr>
          <w:rFonts w:ascii="Times New Roman" w:hAnsi="Times New Roman" w:cs="Times New Roman"/>
          <w:sz w:val="24"/>
          <w:szCs w:val="24"/>
        </w:rPr>
      </w:pPr>
    </w:p>
    <w:p w14:paraId="23ADCA80" w14:textId="77777777" w:rsidR="00471529" w:rsidRDefault="00000000">
      <w:pPr>
        <w:spacing w:line="360" w:lineRule="auto"/>
        <w:jc w:val="center"/>
        <w:rPr>
          <w:rFonts w:ascii="Times New Roman" w:hAnsi="Times New Roman" w:cs="Times New Roman"/>
          <w:b/>
          <w:bCs/>
          <w:sz w:val="28"/>
          <w:szCs w:val="32"/>
        </w:rPr>
      </w:pPr>
      <w:bookmarkStart w:id="28" w:name="OLE_LINK8"/>
      <w:r>
        <w:rPr>
          <w:rFonts w:ascii="Times New Roman" w:hAnsi="Times New Roman" w:cs="Times New Roman"/>
          <w:b/>
          <w:bCs/>
          <w:noProof/>
          <w:sz w:val="28"/>
          <w:szCs w:val="32"/>
        </w:rPr>
        <w:drawing>
          <wp:inline distT="0" distB="0" distL="0" distR="0" wp14:anchorId="2DACC772" wp14:editId="586C347C">
            <wp:extent cx="5039995" cy="4398645"/>
            <wp:effectExtent l="0" t="0" r="8255"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0" cy="4398852"/>
                    </a:xfrm>
                    <a:prstGeom prst="rect">
                      <a:avLst/>
                    </a:prstGeom>
                  </pic:spPr>
                </pic:pic>
              </a:graphicData>
            </a:graphic>
          </wp:inline>
        </w:drawing>
      </w:r>
    </w:p>
    <w:p w14:paraId="5D3E54E8"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w:t>
      </w:r>
      <w:r>
        <w:rPr>
          <w:rFonts w:ascii="Times New Roman" w:hAnsi="Times New Roman" w:cs="Times New Roman" w:hint="eastAsia"/>
          <w:b/>
          <w:sz w:val="24"/>
          <w:szCs w:val="24"/>
        </w:rPr>
        <w:t>0</w:t>
      </w:r>
      <w:r>
        <w:rPr>
          <w:rFonts w:ascii="Times New Roman" w:hAnsi="Times New Roman" w:cs="Times New Roman"/>
          <w:b/>
          <w:sz w:val="24"/>
          <w:szCs w:val="24"/>
        </w:rPr>
        <w:t xml:space="preserve"> Annotation of KEGG pathways for strain </w:t>
      </w:r>
      <w:r>
        <w:rPr>
          <w:rFonts w:ascii="Times New Roman" w:hAnsi="Times New Roman" w:cs="Times New Roman"/>
          <w:b/>
          <w:i/>
          <w:iCs/>
          <w:sz w:val="24"/>
          <w:szCs w:val="24"/>
        </w:rPr>
        <w:t>Pseudomonas</w:t>
      </w:r>
      <w:r>
        <w:rPr>
          <w:rFonts w:ascii="Times New Roman" w:hAnsi="Times New Roman" w:cs="Times New Roman"/>
          <w:b/>
          <w:sz w:val="24"/>
          <w:szCs w:val="24"/>
        </w:rPr>
        <w:t>_sp1 genome.</w:t>
      </w:r>
    </w:p>
    <w:bookmarkEnd w:id="28"/>
    <w:p w14:paraId="3B4C4244"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4A264B3E" wp14:editId="3A216D54">
            <wp:extent cx="5002530" cy="4398645"/>
            <wp:effectExtent l="0" t="0" r="762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02696" cy="4398852"/>
                    </a:xfrm>
                    <a:prstGeom prst="rect">
                      <a:avLst/>
                    </a:prstGeom>
                  </pic:spPr>
                </pic:pic>
              </a:graphicData>
            </a:graphic>
          </wp:inline>
        </w:drawing>
      </w:r>
    </w:p>
    <w:p w14:paraId="7796F973"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w:t>
      </w:r>
      <w:r>
        <w:rPr>
          <w:rFonts w:ascii="Times New Roman" w:hAnsi="Times New Roman" w:cs="Times New Roman" w:hint="eastAsia"/>
          <w:b/>
          <w:sz w:val="24"/>
          <w:szCs w:val="24"/>
        </w:rPr>
        <w:t>1</w:t>
      </w:r>
      <w:r>
        <w:rPr>
          <w:rFonts w:ascii="Times New Roman" w:hAnsi="Times New Roman" w:cs="Times New Roman"/>
          <w:b/>
          <w:sz w:val="24"/>
          <w:szCs w:val="24"/>
        </w:rPr>
        <w:t xml:space="preserve"> Annotation of KEGG pathways for strain </w:t>
      </w:r>
      <w:r>
        <w:rPr>
          <w:rFonts w:ascii="Times New Roman" w:hAnsi="Times New Roman" w:cs="Times New Roman"/>
          <w:b/>
          <w:i/>
          <w:iCs/>
          <w:sz w:val="24"/>
          <w:szCs w:val="24"/>
        </w:rPr>
        <w:t>Allorhizobium</w:t>
      </w:r>
      <w:r>
        <w:rPr>
          <w:rFonts w:ascii="Times New Roman" w:hAnsi="Times New Roman" w:cs="Times New Roman"/>
          <w:b/>
          <w:sz w:val="24"/>
          <w:szCs w:val="24"/>
        </w:rPr>
        <w:t>_sp1 genome.</w:t>
      </w:r>
    </w:p>
    <w:p w14:paraId="75ECAD4E"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2F6C0742" wp14:editId="5E5F3D5A">
            <wp:extent cx="5039995" cy="4325620"/>
            <wp:effectExtent l="0" t="0" r="825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0000" cy="4325894"/>
                    </a:xfrm>
                    <a:prstGeom prst="rect">
                      <a:avLst/>
                    </a:prstGeom>
                  </pic:spPr>
                </pic:pic>
              </a:graphicData>
            </a:graphic>
          </wp:inline>
        </w:drawing>
      </w:r>
    </w:p>
    <w:p w14:paraId="13C18558"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S1</w:t>
      </w:r>
      <w:r>
        <w:rPr>
          <w:rFonts w:ascii="Times New Roman" w:hAnsi="Times New Roman" w:cs="Times New Roman" w:hint="eastAsia"/>
          <w:b/>
          <w:sz w:val="24"/>
          <w:szCs w:val="24"/>
        </w:rPr>
        <w:t>2</w:t>
      </w:r>
      <w:r>
        <w:rPr>
          <w:rFonts w:ascii="Times New Roman" w:hAnsi="Times New Roman" w:cs="Times New Roman"/>
          <w:b/>
          <w:sz w:val="24"/>
          <w:szCs w:val="24"/>
        </w:rPr>
        <w:t xml:space="preserve"> Annotation of KEGG pathways for strain </w:t>
      </w:r>
      <w:r>
        <w:rPr>
          <w:rFonts w:ascii="Times New Roman" w:hAnsi="Times New Roman" w:cs="Times New Roman"/>
          <w:b/>
          <w:i/>
          <w:iCs/>
          <w:sz w:val="24"/>
          <w:szCs w:val="24"/>
        </w:rPr>
        <w:t>Methylobacteium</w:t>
      </w:r>
      <w:r>
        <w:rPr>
          <w:rFonts w:ascii="Times New Roman" w:hAnsi="Times New Roman" w:cs="Times New Roman"/>
          <w:b/>
          <w:sz w:val="24"/>
          <w:szCs w:val="24"/>
        </w:rPr>
        <w:t>_sp1 genome.</w:t>
      </w:r>
    </w:p>
    <w:p w14:paraId="02254C20" w14:textId="77777777" w:rsidR="00471529" w:rsidRDefault="00471529">
      <w:pPr>
        <w:spacing w:line="360" w:lineRule="auto"/>
        <w:rPr>
          <w:rFonts w:ascii="Times New Roman" w:hAnsi="Times New Roman" w:cs="Times New Roman"/>
          <w:sz w:val="24"/>
          <w:szCs w:val="24"/>
        </w:rPr>
      </w:pPr>
    </w:p>
    <w:p w14:paraId="6BE62237" w14:textId="77777777" w:rsidR="00471529" w:rsidRDefault="00000000">
      <w:pPr>
        <w:spacing w:line="360" w:lineRule="auto"/>
        <w:jc w:val="center"/>
        <w:rPr>
          <w:rFonts w:ascii="Times New Roman" w:hAnsi="Times New Roman" w:cs="Times New Roman"/>
          <w:b/>
          <w:bCs/>
          <w:sz w:val="28"/>
          <w:szCs w:val="32"/>
        </w:rPr>
      </w:pPr>
      <w:bookmarkStart w:id="29" w:name="OLE_LINK9"/>
      <w:r>
        <w:rPr>
          <w:rFonts w:ascii="Times New Roman" w:hAnsi="Times New Roman" w:cs="Times New Roman"/>
          <w:b/>
          <w:bCs/>
          <w:noProof/>
          <w:sz w:val="28"/>
          <w:szCs w:val="32"/>
        </w:rPr>
        <w:drawing>
          <wp:inline distT="0" distB="0" distL="0" distR="0" wp14:anchorId="06C17F63" wp14:editId="4840BCB3">
            <wp:extent cx="5039995" cy="2810510"/>
            <wp:effectExtent l="0" t="0" r="825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0000" cy="2811027"/>
                    </a:xfrm>
                    <a:prstGeom prst="rect">
                      <a:avLst/>
                    </a:prstGeom>
                  </pic:spPr>
                </pic:pic>
              </a:graphicData>
            </a:graphic>
          </wp:inline>
        </w:drawing>
      </w:r>
    </w:p>
    <w:p w14:paraId="76BB99D5"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13</w:t>
      </w:r>
      <w:r>
        <w:rPr>
          <w:rFonts w:ascii="Times New Roman" w:hAnsi="Times New Roman" w:cs="Times New Roman"/>
          <w:b/>
          <w:sz w:val="24"/>
          <w:szCs w:val="24"/>
        </w:rPr>
        <w:t xml:space="preserve"> </w:t>
      </w:r>
      <w:bookmarkStart w:id="30" w:name="_Hlk206953960"/>
      <w:r>
        <w:rPr>
          <w:rFonts w:ascii="Times New Roman" w:hAnsi="Times New Roman" w:cs="Times New Roman"/>
          <w:b/>
          <w:sz w:val="24"/>
          <w:szCs w:val="24"/>
        </w:rPr>
        <w:t>Pathways of vitamin B6 metabolism</w:t>
      </w:r>
      <w:bookmarkEnd w:id="30"/>
      <w:r>
        <w:rPr>
          <w:rFonts w:ascii="Times New Roman" w:hAnsi="Times New Roman" w:cs="Times New Roman"/>
          <w:b/>
          <w:sz w:val="24"/>
          <w:szCs w:val="24"/>
        </w:rPr>
        <w:t>.</w:t>
      </w:r>
    </w:p>
    <w:bookmarkEnd w:id="29"/>
    <w:p w14:paraId="160968E8" w14:textId="77777777" w:rsidR="00471529" w:rsidRDefault="00000000">
      <w:pPr>
        <w:spacing w:line="360" w:lineRule="auto"/>
        <w:jc w:val="center"/>
        <w:rPr>
          <w:rFonts w:ascii="Times New Roman" w:hAnsi="Times New Roman" w:cs="Times New Roman"/>
          <w:b/>
          <w:bCs/>
          <w:sz w:val="28"/>
          <w:szCs w:val="32"/>
        </w:rPr>
      </w:pPr>
      <w:r>
        <w:rPr>
          <w:rFonts w:ascii="Times New Roman" w:hAnsi="Times New Roman" w:cs="Times New Roman"/>
          <w:b/>
          <w:bCs/>
          <w:noProof/>
          <w:sz w:val="28"/>
          <w:szCs w:val="32"/>
        </w:rPr>
        <w:lastRenderedPageBreak/>
        <w:drawing>
          <wp:inline distT="0" distB="0" distL="0" distR="0" wp14:anchorId="769400A8" wp14:editId="26EA20DF">
            <wp:extent cx="5274310" cy="4166870"/>
            <wp:effectExtent l="0" t="0" r="254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4167311"/>
                    </a:xfrm>
                    <a:prstGeom prst="rect">
                      <a:avLst/>
                    </a:prstGeom>
                  </pic:spPr>
                </pic:pic>
              </a:graphicData>
            </a:graphic>
          </wp:inline>
        </w:drawing>
      </w:r>
    </w:p>
    <w:p w14:paraId="020A4EBF" w14:textId="77777777" w:rsidR="00471529"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Fig</w:t>
      </w:r>
      <w:r>
        <w:rPr>
          <w:rFonts w:ascii="Times New Roman" w:hAnsi="Times New Roman" w:cs="Times New Roman" w:hint="eastAsia"/>
          <w:b/>
          <w:sz w:val="24"/>
          <w:szCs w:val="24"/>
        </w:rPr>
        <w:t>.</w:t>
      </w:r>
      <w:r>
        <w:rPr>
          <w:rFonts w:ascii="Times New Roman" w:hAnsi="Times New Roman" w:cs="Times New Roman"/>
          <w:b/>
          <w:sz w:val="24"/>
          <w:szCs w:val="24"/>
        </w:rPr>
        <w:t xml:space="preserve"> S</w:t>
      </w:r>
      <w:r>
        <w:rPr>
          <w:rFonts w:ascii="Times New Roman" w:hAnsi="Times New Roman" w:cs="Times New Roman" w:hint="eastAsia"/>
          <w:b/>
          <w:sz w:val="24"/>
          <w:szCs w:val="24"/>
        </w:rPr>
        <w:t>14</w:t>
      </w:r>
      <w:r>
        <w:rPr>
          <w:rFonts w:ascii="Times New Roman" w:hAnsi="Times New Roman" w:cs="Times New Roman"/>
          <w:b/>
          <w:sz w:val="24"/>
          <w:szCs w:val="24"/>
        </w:rPr>
        <w:t xml:space="preserve"> UPLC-MS/MS chromatograms of FF, FF-D3, </w:t>
      </w:r>
      <w:r>
        <w:rPr>
          <w:rFonts w:ascii="Times New Roman" w:hAnsi="Times New Roman" w:cs="Times New Roman" w:hint="eastAsia"/>
          <w:b/>
          <w:sz w:val="24"/>
          <w:szCs w:val="24"/>
        </w:rPr>
        <w:t>p</w:t>
      </w:r>
      <w:r>
        <w:rPr>
          <w:rFonts w:ascii="Times New Roman" w:hAnsi="Times New Roman" w:cs="Times New Roman"/>
          <w:b/>
          <w:sz w:val="24"/>
          <w:szCs w:val="24"/>
        </w:rPr>
        <w:t>yridoxal, and pyridoxal-D3.</w:t>
      </w:r>
    </w:p>
    <w:p w14:paraId="607BAD48" w14:textId="77777777" w:rsidR="00471529" w:rsidRDefault="00471529">
      <w:pPr>
        <w:widowControl/>
        <w:spacing w:line="360" w:lineRule="auto"/>
        <w:jc w:val="left"/>
        <w:rPr>
          <w:rFonts w:ascii="Times New Roman" w:hAnsi="Times New Roman" w:cs="Times New Roman"/>
          <w:b/>
          <w:bCs/>
          <w:sz w:val="24"/>
          <w:szCs w:val="28"/>
        </w:rPr>
        <w:sectPr w:rsidR="00471529">
          <w:pgSz w:w="11906" w:h="16838"/>
          <w:pgMar w:top="1440" w:right="1800" w:bottom="1440" w:left="1800" w:header="851" w:footer="992" w:gutter="0"/>
          <w:lnNumType w:countBy="1" w:restart="continuous"/>
          <w:cols w:space="425"/>
          <w:docGrid w:type="lines" w:linePitch="312"/>
        </w:sectPr>
      </w:pPr>
    </w:p>
    <w:p w14:paraId="03B39055" w14:textId="77777777" w:rsidR="00471529" w:rsidRDefault="00000000">
      <w:pPr>
        <w:pageBreakBefore/>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S1.</w:t>
      </w:r>
      <w:r>
        <w:rPr>
          <w:rFonts w:ascii="Times New Roman" w:hAnsi="Times New Roman" w:cs="Times New Roman"/>
          <w:sz w:val="24"/>
          <w:szCs w:val="28"/>
        </w:rPr>
        <w:t xml:space="preserve"> The concentration of FF in the medium of each group in the pre-experiment</w:t>
      </w:r>
      <w:r>
        <w:rPr>
          <w:rFonts w:ascii="Times New Roman" w:hAnsi="Times New Roman" w:cs="Times New Roman" w:hint="eastAsia"/>
          <w:sz w:val="24"/>
          <w:szCs w:val="28"/>
        </w:rPr>
        <w:t>.</w:t>
      </w:r>
      <w:r>
        <w:rPr>
          <w:rFonts w:ascii="Times New Roman" w:hAnsi="Times New Roman" w:cs="Times New Roman"/>
          <w:sz w:val="24"/>
          <w:szCs w:val="28"/>
        </w:rPr>
        <w:t xml:space="preserve"> (Unit: mg/L)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1452"/>
        <w:gridCol w:w="1995"/>
        <w:gridCol w:w="962"/>
        <w:gridCol w:w="2329"/>
      </w:tblGrid>
      <w:tr w:rsidR="00471529" w14:paraId="07252F56" w14:textId="77777777">
        <w:trPr>
          <w:trHeight w:val="454"/>
        </w:trPr>
        <w:tc>
          <w:tcPr>
            <w:tcW w:w="944" w:type="pct"/>
            <w:tcBorders>
              <w:top w:val="single" w:sz="12" w:space="0" w:color="000000"/>
              <w:left w:val="nil"/>
              <w:bottom w:val="nil"/>
              <w:right w:val="nil"/>
            </w:tcBorders>
            <w:vAlign w:val="center"/>
          </w:tcPr>
          <w:p w14:paraId="1AB4C9F3" w14:textId="77777777" w:rsidR="00471529" w:rsidRDefault="00471529">
            <w:pPr>
              <w:spacing w:line="360" w:lineRule="auto"/>
              <w:jc w:val="center"/>
              <w:rPr>
                <w:rFonts w:ascii="Times New Roman" w:eastAsia="黑体" w:hAnsi="Times New Roman" w:cs="Times New Roman"/>
                <w:szCs w:val="21"/>
              </w:rPr>
            </w:pPr>
          </w:p>
        </w:tc>
        <w:tc>
          <w:tcPr>
            <w:tcW w:w="2075" w:type="pct"/>
            <w:gridSpan w:val="2"/>
            <w:tcBorders>
              <w:top w:val="single" w:sz="12" w:space="0" w:color="000000"/>
              <w:left w:val="nil"/>
              <w:bottom w:val="single" w:sz="8" w:space="0" w:color="auto"/>
              <w:right w:val="nil"/>
            </w:tcBorders>
            <w:vAlign w:val="center"/>
          </w:tcPr>
          <w:p w14:paraId="24B4242E"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 xml:space="preserve">Axenic </w:t>
            </w:r>
            <w:r>
              <w:rPr>
                <w:rFonts w:ascii="Times New Roman" w:eastAsia="等线" w:hAnsi="Times New Roman" w:cs="Times New Roman"/>
                <w:i/>
                <w:iCs/>
                <w:color w:val="000000"/>
                <w:szCs w:val="21"/>
              </w:rPr>
              <w:t>A. pyrenoidosa</w:t>
            </w:r>
          </w:p>
        </w:tc>
        <w:tc>
          <w:tcPr>
            <w:tcW w:w="1981" w:type="pct"/>
            <w:gridSpan w:val="2"/>
            <w:tcBorders>
              <w:top w:val="single" w:sz="12" w:space="0" w:color="000000"/>
              <w:left w:val="nil"/>
              <w:bottom w:val="single" w:sz="8" w:space="0" w:color="auto"/>
              <w:right w:val="nil"/>
            </w:tcBorders>
            <w:vAlign w:val="center"/>
          </w:tcPr>
          <w:p w14:paraId="2DDCB55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i/>
                <w:iCs/>
                <w:color w:val="000000"/>
                <w:szCs w:val="21"/>
              </w:rPr>
              <w:t>A. pyrenoidosa</w:t>
            </w:r>
            <w:r>
              <w:rPr>
                <w:rFonts w:ascii="Times New Roman" w:eastAsia="等线" w:hAnsi="Times New Roman" w:cs="Times New Roman"/>
                <w:color w:val="000000"/>
                <w:szCs w:val="21"/>
              </w:rPr>
              <w:t xml:space="preserve"> with bacteria</w:t>
            </w:r>
          </w:p>
        </w:tc>
      </w:tr>
      <w:tr w:rsidR="00471529" w14:paraId="43A585F6" w14:textId="77777777">
        <w:trPr>
          <w:trHeight w:val="454"/>
        </w:trPr>
        <w:tc>
          <w:tcPr>
            <w:tcW w:w="944" w:type="pct"/>
            <w:tcBorders>
              <w:top w:val="nil"/>
              <w:left w:val="nil"/>
              <w:bottom w:val="single" w:sz="8" w:space="0" w:color="auto"/>
              <w:right w:val="nil"/>
            </w:tcBorders>
            <w:vAlign w:val="center"/>
          </w:tcPr>
          <w:p w14:paraId="3895A539" w14:textId="77777777" w:rsidR="00471529" w:rsidRDefault="00000000">
            <w:pPr>
              <w:spacing w:line="360" w:lineRule="auto"/>
              <w:jc w:val="center"/>
              <w:rPr>
                <w:rFonts w:ascii="Times New Roman" w:eastAsia="黑体" w:hAnsi="Times New Roman" w:cs="Times New Roman"/>
                <w:szCs w:val="21"/>
              </w:rPr>
            </w:pPr>
            <w:r>
              <w:rPr>
                <w:rFonts w:ascii="Times New Roman" w:eastAsia="黑体" w:hAnsi="Times New Roman" w:cs="Times New Roman"/>
                <w:szCs w:val="21"/>
              </w:rPr>
              <w:t>Group</w:t>
            </w:r>
          </w:p>
        </w:tc>
        <w:tc>
          <w:tcPr>
            <w:tcW w:w="874" w:type="pct"/>
            <w:tcBorders>
              <w:top w:val="single" w:sz="8" w:space="0" w:color="auto"/>
              <w:left w:val="nil"/>
              <w:bottom w:val="single" w:sz="8" w:space="0" w:color="auto"/>
              <w:right w:val="nil"/>
            </w:tcBorders>
            <w:vAlign w:val="center"/>
          </w:tcPr>
          <w:p w14:paraId="5FF05146"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Day 3</w:t>
            </w:r>
          </w:p>
        </w:tc>
        <w:tc>
          <w:tcPr>
            <w:tcW w:w="1201" w:type="pct"/>
            <w:tcBorders>
              <w:top w:val="single" w:sz="8" w:space="0" w:color="auto"/>
              <w:left w:val="nil"/>
              <w:bottom w:val="single" w:sz="8" w:space="0" w:color="auto"/>
              <w:right w:val="nil"/>
            </w:tcBorders>
            <w:vAlign w:val="center"/>
          </w:tcPr>
          <w:p w14:paraId="216AD4E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Day 7</w:t>
            </w:r>
          </w:p>
        </w:tc>
        <w:tc>
          <w:tcPr>
            <w:tcW w:w="579" w:type="pct"/>
            <w:tcBorders>
              <w:top w:val="single" w:sz="8" w:space="0" w:color="auto"/>
              <w:left w:val="nil"/>
              <w:bottom w:val="single" w:sz="8" w:space="0" w:color="auto"/>
              <w:right w:val="nil"/>
            </w:tcBorders>
            <w:vAlign w:val="center"/>
          </w:tcPr>
          <w:p w14:paraId="1A76800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Day 3</w:t>
            </w:r>
          </w:p>
        </w:tc>
        <w:tc>
          <w:tcPr>
            <w:tcW w:w="1402" w:type="pct"/>
            <w:tcBorders>
              <w:top w:val="single" w:sz="8" w:space="0" w:color="auto"/>
              <w:left w:val="nil"/>
              <w:bottom w:val="single" w:sz="8" w:space="0" w:color="auto"/>
              <w:right w:val="nil"/>
            </w:tcBorders>
            <w:vAlign w:val="center"/>
          </w:tcPr>
          <w:p w14:paraId="4F1A6BC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Day 7</w:t>
            </w:r>
          </w:p>
        </w:tc>
      </w:tr>
      <w:tr w:rsidR="00471529" w14:paraId="7C1B73E8" w14:textId="77777777">
        <w:trPr>
          <w:trHeight w:val="340"/>
        </w:trPr>
        <w:tc>
          <w:tcPr>
            <w:tcW w:w="944" w:type="pct"/>
            <w:tcBorders>
              <w:top w:val="nil"/>
              <w:left w:val="nil"/>
              <w:bottom w:val="nil"/>
              <w:right w:val="nil"/>
            </w:tcBorders>
            <w:vAlign w:val="center"/>
          </w:tcPr>
          <w:p w14:paraId="401111F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FL</w:t>
            </w:r>
          </w:p>
        </w:tc>
        <w:tc>
          <w:tcPr>
            <w:tcW w:w="874" w:type="pct"/>
            <w:tcBorders>
              <w:top w:val="nil"/>
              <w:left w:val="nil"/>
              <w:bottom w:val="nil"/>
              <w:right w:val="nil"/>
            </w:tcBorders>
            <w:vAlign w:val="center"/>
          </w:tcPr>
          <w:p w14:paraId="69EA5A1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.089</w:t>
            </w:r>
          </w:p>
        </w:tc>
        <w:tc>
          <w:tcPr>
            <w:tcW w:w="1201" w:type="pct"/>
            <w:tcBorders>
              <w:top w:val="nil"/>
              <w:left w:val="nil"/>
              <w:bottom w:val="nil"/>
              <w:right w:val="nil"/>
            </w:tcBorders>
            <w:vAlign w:val="center"/>
          </w:tcPr>
          <w:p w14:paraId="5E8FE54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.084</w:t>
            </w:r>
          </w:p>
        </w:tc>
        <w:tc>
          <w:tcPr>
            <w:tcW w:w="579" w:type="pct"/>
            <w:tcBorders>
              <w:top w:val="nil"/>
              <w:left w:val="nil"/>
              <w:bottom w:val="nil"/>
              <w:right w:val="nil"/>
            </w:tcBorders>
            <w:vAlign w:val="center"/>
          </w:tcPr>
          <w:p w14:paraId="515B86F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0.094</w:t>
            </w:r>
          </w:p>
        </w:tc>
        <w:tc>
          <w:tcPr>
            <w:tcW w:w="1402" w:type="pct"/>
            <w:tcBorders>
              <w:top w:val="nil"/>
              <w:left w:val="nil"/>
              <w:bottom w:val="nil"/>
              <w:right w:val="nil"/>
            </w:tcBorders>
            <w:vAlign w:val="center"/>
          </w:tcPr>
          <w:p w14:paraId="3F56B2F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0.087</w:t>
            </w:r>
          </w:p>
        </w:tc>
      </w:tr>
      <w:tr w:rsidR="00471529" w14:paraId="7708449F" w14:textId="77777777">
        <w:trPr>
          <w:trHeight w:val="340"/>
        </w:trPr>
        <w:tc>
          <w:tcPr>
            <w:tcW w:w="944" w:type="pct"/>
            <w:tcBorders>
              <w:top w:val="nil"/>
              <w:left w:val="nil"/>
              <w:bottom w:val="nil"/>
              <w:right w:val="nil"/>
            </w:tcBorders>
            <w:vAlign w:val="center"/>
          </w:tcPr>
          <w:p w14:paraId="443A798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PFL</w:t>
            </w:r>
          </w:p>
        </w:tc>
        <w:tc>
          <w:tcPr>
            <w:tcW w:w="874" w:type="pct"/>
            <w:tcBorders>
              <w:top w:val="nil"/>
              <w:left w:val="nil"/>
              <w:bottom w:val="nil"/>
              <w:right w:val="nil"/>
            </w:tcBorders>
            <w:vAlign w:val="center"/>
          </w:tcPr>
          <w:p w14:paraId="125404D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.097</w:t>
            </w:r>
          </w:p>
        </w:tc>
        <w:tc>
          <w:tcPr>
            <w:tcW w:w="1201" w:type="pct"/>
            <w:tcBorders>
              <w:top w:val="nil"/>
              <w:left w:val="nil"/>
              <w:bottom w:val="nil"/>
              <w:right w:val="nil"/>
            </w:tcBorders>
            <w:vAlign w:val="center"/>
          </w:tcPr>
          <w:p w14:paraId="3C4A375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.098</w:t>
            </w:r>
          </w:p>
        </w:tc>
        <w:tc>
          <w:tcPr>
            <w:tcW w:w="579" w:type="pct"/>
            <w:tcBorders>
              <w:top w:val="nil"/>
              <w:left w:val="nil"/>
              <w:bottom w:val="nil"/>
              <w:right w:val="nil"/>
            </w:tcBorders>
            <w:vAlign w:val="center"/>
          </w:tcPr>
          <w:p w14:paraId="063A0E4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0.099</w:t>
            </w:r>
          </w:p>
        </w:tc>
        <w:tc>
          <w:tcPr>
            <w:tcW w:w="1402" w:type="pct"/>
            <w:tcBorders>
              <w:top w:val="nil"/>
              <w:left w:val="nil"/>
              <w:bottom w:val="nil"/>
              <w:right w:val="nil"/>
            </w:tcBorders>
            <w:vAlign w:val="center"/>
          </w:tcPr>
          <w:p w14:paraId="7C417A9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0.093</w:t>
            </w:r>
          </w:p>
        </w:tc>
      </w:tr>
      <w:tr w:rsidR="00471529" w14:paraId="564DA769" w14:textId="77777777">
        <w:trPr>
          <w:trHeight w:val="340"/>
        </w:trPr>
        <w:tc>
          <w:tcPr>
            <w:tcW w:w="944" w:type="pct"/>
            <w:tcBorders>
              <w:top w:val="nil"/>
              <w:left w:val="nil"/>
              <w:bottom w:val="nil"/>
              <w:right w:val="nil"/>
            </w:tcBorders>
            <w:vAlign w:val="center"/>
          </w:tcPr>
          <w:p w14:paraId="133D854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FH</w:t>
            </w:r>
          </w:p>
        </w:tc>
        <w:tc>
          <w:tcPr>
            <w:tcW w:w="874" w:type="pct"/>
            <w:tcBorders>
              <w:top w:val="nil"/>
              <w:left w:val="nil"/>
              <w:bottom w:val="nil"/>
              <w:right w:val="nil"/>
            </w:tcBorders>
            <w:vAlign w:val="center"/>
          </w:tcPr>
          <w:p w14:paraId="3A2E652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.626</w:t>
            </w:r>
          </w:p>
        </w:tc>
        <w:tc>
          <w:tcPr>
            <w:tcW w:w="1201" w:type="pct"/>
            <w:tcBorders>
              <w:top w:val="nil"/>
              <w:left w:val="nil"/>
              <w:bottom w:val="nil"/>
              <w:right w:val="nil"/>
            </w:tcBorders>
            <w:vAlign w:val="center"/>
          </w:tcPr>
          <w:p w14:paraId="20EAA49E"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.856</w:t>
            </w:r>
          </w:p>
        </w:tc>
        <w:tc>
          <w:tcPr>
            <w:tcW w:w="579" w:type="pct"/>
            <w:tcBorders>
              <w:top w:val="nil"/>
              <w:left w:val="nil"/>
              <w:bottom w:val="nil"/>
              <w:right w:val="nil"/>
            </w:tcBorders>
            <w:vAlign w:val="center"/>
          </w:tcPr>
          <w:p w14:paraId="64B9FE0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9.494</w:t>
            </w:r>
          </w:p>
        </w:tc>
        <w:tc>
          <w:tcPr>
            <w:tcW w:w="1402" w:type="pct"/>
            <w:tcBorders>
              <w:top w:val="nil"/>
              <w:left w:val="nil"/>
              <w:bottom w:val="nil"/>
              <w:right w:val="nil"/>
            </w:tcBorders>
            <w:vAlign w:val="center"/>
          </w:tcPr>
          <w:p w14:paraId="4E52B74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9.476</w:t>
            </w:r>
          </w:p>
        </w:tc>
      </w:tr>
      <w:tr w:rsidR="00471529" w14:paraId="0F0C98EA" w14:textId="77777777">
        <w:trPr>
          <w:trHeight w:val="340"/>
        </w:trPr>
        <w:tc>
          <w:tcPr>
            <w:tcW w:w="944" w:type="pct"/>
            <w:tcBorders>
              <w:top w:val="nil"/>
              <w:left w:val="nil"/>
              <w:bottom w:val="single" w:sz="12" w:space="0" w:color="000000"/>
              <w:right w:val="nil"/>
            </w:tcBorders>
            <w:vAlign w:val="center"/>
          </w:tcPr>
          <w:p w14:paraId="7C1C3CB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PFH</w:t>
            </w:r>
          </w:p>
        </w:tc>
        <w:tc>
          <w:tcPr>
            <w:tcW w:w="874" w:type="pct"/>
            <w:tcBorders>
              <w:top w:val="nil"/>
              <w:left w:val="nil"/>
              <w:bottom w:val="single" w:sz="12" w:space="0" w:color="000000"/>
              <w:right w:val="nil"/>
            </w:tcBorders>
            <w:vAlign w:val="center"/>
          </w:tcPr>
          <w:p w14:paraId="6251FC97"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.953</w:t>
            </w:r>
          </w:p>
        </w:tc>
        <w:tc>
          <w:tcPr>
            <w:tcW w:w="1201" w:type="pct"/>
            <w:tcBorders>
              <w:top w:val="nil"/>
              <w:left w:val="nil"/>
              <w:bottom w:val="single" w:sz="12" w:space="0" w:color="000000"/>
              <w:right w:val="nil"/>
            </w:tcBorders>
            <w:vAlign w:val="center"/>
          </w:tcPr>
          <w:p w14:paraId="7E540B0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.812</w:t>
            </w:r>
          </w:p>
        </w:tc>
        <w:tc>
          <w:tcPr>
            <w:tcW w:w="579" w:type="pct"/>
            <w:tcBorders>
              <w:top w:val="nil"/>
              <w:left w:val="nil"/>
              <w:bottom w:val="single" w:sz="12" w:space="0" w:color="000000"/>
              <w:right w:val="nil"/>
            </w:tcBorders>
            <w:vAlign w:val="center"/>
          </w:tcPr>
          <w:p w14:paraId="793864D5" w14:textId="77777777" w:rsidR="00471529" w:rsidRDefault="00000000">
            <w:pPr>
              <w:widowControl/>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9.488</w:t>
            </w:r>
          </w:p>
        </w:tc>
        <w:tc>
          <w:tcPr>
            <w:tcW w:w="1402" w:type="pct"/>
            <w:tcBorders>
              <w:top w:val="nil"/>
              <w:left w:val="nil"/>
              <w:bottom w:val="single" w:sz="12" w:space="0" w:color="000000"/>
              <w:right w:val="nil"/>
            </w:tcBorders>
            <w:vAlign w:val="center"/>
          </w:tcPr>
          <w:p w14:paraId="0381364B" w14:textId="77777777" w:rsidR="00471529" w:rsidRDefault="00000000">
            <w:pPr>
              <w:widowControl/>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9.982</w:t>
            </w:r>
          </w:p>
        </w:tc>
      </w:tr>
    </w:tbl>
    <w:p w14:paraId="71530F4A" w14:textId="77777777" w:rsidR="00471529"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Notes: FL: 0.1 mg/L FF; PFL: 0.1 mg/L FF + 10 mg/L PLA MPs; FH: 10 mg/L FF; PFH: 10 mg/L FF + 10 mg/L PLA MPs.</w:t>
      </w:r>
    </w:p>
    <w:p w14:paraId="1A7E7243" w14:textId="77777777" w:rsidR="00471529" w:rsidRDefault="00000000">
      <w:pPr>
        <w:pageBreakBefore/>
        <w:spacing w:line="360" w:lineRule="auto"/>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S2.</w:t>
      </w:r>
      <w:r>
        <w:rPr>
          <w:rFonts w:ascii="Times New Roman" w:hAnsi="Times New Roman" w:cs="Times New Roman"/>
          <w:sz w:val="24"/>
          <w:szCs w:val="28"/>
        </w:rPr>
        <w:t xml:space="preserve"> Mobile phase elution gradients.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2769"/>
        <w:gridCol w:w="2766"/>
      </w:tblGrid>
      <w:tr w:rsidR="00471529" w14:paraId="5072AD85" w14:textId="77777777">
        <w:trPr>
          <w:trHeight w:val="454"/>
        </w:trPr>
        <w:tc>
          <w:tcPr>
            <w:tcW w:w="1668" w:type="pct"/>
            <w:tcBorders>
              <w:top w:val="single" w:sz="12" w:space="0" w:color="auto"/>
              <w:left w:val="nil"/>
              <w:bottom w:val="single" w:sz="8" w:space="0" w:color="auto"/>
              <w:right w:val="nil"/>
            </w:tcBorders>
          </w:tcPr>
          <w:p w14:paraId="7FF228D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Time (min)</w:t>
            </w:r>
          </w:p>
        </w:tc>
        <w:tc>
          <w:tcPr>
            <w:tcW w:w="1667" w:type="pct"/>
            <w:tcBorders>
              <w:top w:val="single" w:sz="12" w:space="0" w:color="auto"/>
              <w:left w:val="nil"/>
              <w:bottom w:val="single" w:sz="8" w:space="0" w:color="auto"/>
              <w:right w:val="nil"/>
            </w:tcBorders>
          </w:tcPr>
          <w:p w14:paraId="08168CC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Solvent A (%)</w:t>
            </w:r>
          </w:p>
        </w:tc>
        <w:tc>
          <w:tcPr>
            <w:tcW w:w="1665" w:type="pct"/>
            <w:tcBorders>
              <w:top w:val="single" w:sz="12" w:space="0" w:color="auto"/>
              <w:left w:val="nil"/>
              <w:bottom w:val="single" w:sz="8" w:space="0" w:color="auto"/>
              <w:right w:val="nil"/>
            </w:tcBorders>
          </w:tcPr>
          <w:p w14:paraId="6423E77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Solvent B (%)</w:t>
            </w:r>
          </w:p>
        </w:tc>
      </w:tr>
      <w:tr w:rsidR="00471529" w14:paraId="0F72657A" w14:textId="77777777">
        <w:trPr>
          <w:trHeight w:val="340"/>
        </w:trPr>
        <w:tc>
          <w:tcPr>
            <w:tcW w:w="1668" w:type="pct"/>
            <w:tcBorders>
              <w:top w:val="nil"/>
              <w:left w:val="nil"/>
              <w:bottom w:val="nil"/>
              <w:right w:val="nil"/>
            </w:tcBorders>
          </w:tcPr>
          <w:p w14:paraId="5A77AE7E"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c>
          <w:tcPr>
            <w:tcW w:w="1667" w:type="pct"/>
            <w:tcBorders>
              <w:top w:val="nil"/>
              <w:left w:val="nil"/>
              <w:bottom w:val="nil"/>
              <w:right w:val="nil"/>
            </w:tcBorders>
          </w:tcPr>
          <w:p w14:paraId="3C6DF62F"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100</w:t>
            </w:r>
          </w:p>
        </w:tc>
        <w:tc>
          <w:tcPr>
            <w:tcW w:w="1665" w:type="pct"/>
            <w:tcBorders>
              <w:top w:val="nil"/>
              <w:left w:val="nil"/>
              <w:bottom w:val="nil"/>
              <w:right w:val="nil"/>
            </w:tcBorders>
          </w:tcPr>
          <w:p w14:paraId="618A3DD1"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r>
      <w:tr w:rsidR="00471529" w14:paraId="5D61FA00" w14:textId="77777777">
        <w:trPr>
          <w:trHeight w:val="340"/>
        </w:trPr>
        <w:tc>
          <w:tcPr>
            <w:tcW w:w="1668" w:type="pct"/>
            <w:tcBorders>
              <w:top w:val="nil"/>
              <w:left w:val="nil"/>
              <w:bottom w:val="nil"/>
              <w:right w:val="nil"/>
            </w:tcBorders>
          </w:tcPr>
          <w:p w14:paraId="32ABB809"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0.1</w:t>
            </w:r>
          </w:p>
        </w:tc>
        <w:tc>
          <w:tcPr>
            <w:tcW w:w="1667" w:type="pct"/>
            <w:tcBorders>
              <w:top w:val="nil"/>
              <w:left w:val="nil"/>
              <w:bottom w:val="nil"/>
              <w:right w:val="nil"/>
            </w:tcBorders>
          </w:tcPr>
          <w:p w14:paraId="00C00C6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95</w:t>
            </w:r>
          </w:p>
        </w:tc>
        <w:tc>
          <w:tcPr>
            <w:tcW w:w="1665" w:type="pct"/>
            <w:tcBorders>
              <w:top w:val="nil"/>
              <w:left w:val="nil"/>
              <w:bottom w:val="nil"/>
              <w:right w:val="nil"/>
            </w:tcBorders>
          </w:tcPr>
          <w:p w14:paraId="62A7E0A5"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5</w:t>
            </w:r>
          </w:p>
        </w:tc>
      </w:tr>
      <w:tr w:rsidR="00471529" w14:paraId="02238FA2" w14:textId="77777777">
        <w:trPr>
          <w:trHeight w:val="340"/>
        </w:trPr>
        <w:tc>
          <w:tcPr>
            <w:tcW w:w="1668" w:type="pct"/>
            <w:tcBorders>
              <w:top w:val="nil"/>
              <w:left w:val="nil"/>
              <w:bottom w:val="nil"/>
              <w:right w:val="nil"/>
            </w:tcBorders>
          </w:tcPr>
          <w:p w14:paraId="12C0B210"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2</w:t>
            </w:r>
          </w:p>
        </w:tc>
        <w:tc>
          <w:tcPr>
            <w:tcW w:w="1667" w:type="pct"/>
            <w:tcBorders>
              <w:top w:val="nil"/>
              <w:left w:val="nil"/>
              <w:bottom w:val="nil"/>
              <w:right w:val="nil"/>
            </w:tcBorders>
          </w:tcPr>
          <w:p w14:paraId="057BBE0C"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75</w:t>
            </w:r>
          </w:p>
        </w:tc>
        <w:tc>
          <w:tcPr>
            <w:tcW w:w="1665" w:type="pct"/>
            <w:tcBorders>
              <w:top w:val="nil"/>
              <w:left w:val="nil"/>
              <w:bottom w:val="nil"/>
              <w:right w:val="nil"/>
            </w:tcBorders>
          </w:tcPr>
          <w:p w14:paraId="7736889B"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25</w:t>
            </w:r>
          </w:p>
        </w:tc>
      </w:tr>
      <w:tr w:rsidR="00471529" w14:paraId="1019782A" w14:textId="77777777">
        <w:trPr>
          <w:trHeight w:val="340"/>
        </w:trPr>
        <w:tc>
          <w:tcPr>
            <w:tcW w:w="1668" w:type="pct"/>
            <w:tcBorders>
              <w:top w:val="nil"/>
              <w:left w:val="nil"/>
              <w:bottom w:val="nil"/>
              <w:right w:val="nil"/>
            </w:tcBorders>
          </w:tcPr>
          <w:p w14:paraId="2949EDEE"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9</w:t>
            </w:r>
          </w:p>
        </w:tc>
        <w:tc>
          <w:tcPr>
            <w:tcW w:w="1667" w:type="pct"/>
            <w:tcBorders>
              <w:top w:val="nil"/>
              <w:left w:val="nil"/>
              <w:bottom w:val="nil"/>
              <w:right w:val="nil"/>
            </w:tcBorders>
          </w:tcPr>
          <w:p w14:paraId="14398028"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c>
          <w:tcPr>
            <w:tcW w:w="1665" w:type="pct"/>
            <w:tcBorders>
              <w:top w:val="nil"/>
              <w:left w:val="nil"/>
              <w:bottom w:val="nil"/>
              <w:right w:val="nil"/>
            </w:tcBorders>
          </w:tcPr>
          <w:p w14:paraId="7CF64DF4"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100</w:t>
            </w:r>
          </w:p>
        </w:tc>
      </w:tr>
      <w:tr w:rsidR="00471529" w14:paraId="59A98529" w14:textId="77777777">
        <w:trPr>
          <w:trHeight w:val="340"/>
        </w:trPr>
        <w:tc>
          <w:tcPr>
            <w:tcW w:w="1668" w:type="pct"/>
            <w:tcBorders>
              <w:top w:val="nil"/>
              <w:left w:val="nil"/>
              <w:bottom w:val="nil"/>
              <w:right w:val="nil"/>
            </w:tcBorders>
          </w:tcPr>
          <w:p w14:paraId="3C2393B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13</w:t>
            </w:r>
          </w:p>
        </w:tc>
        <w:tc>
          <w:tcPr>
            <w:tcW w:w="1667" w:type="pct"/>
            <w:tcBorders>
              <w:top w:val="nil"/>
              <w:left w:val="nil"/>
              <w:bottom w:val="nil"/>
              <w:right w:val="nil"/>
            </w:tcBorders>
          </w:tcPr>
          <w:p w14:paraId="3BE7812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0</w:t>
            </w:r>
          </w:p>
        </w:tc>
        <w:tc>
          <w:tcPr>
            <w:tcW w:w="1665" w:type="pct"/>
            <w:tcBorders>
              <w:top w:val="nil"/>
              <w:left w:val="nil"/>
              <w:bottom w:val="nil"/>
              <w:right w:val="nil"/>
            </w:tcBorders>
          </w:tcPr>
          <w:p w14:paraId="3B5226DB"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100</w:t>
            </w:r>
          </w:p>
        </w:tc>
      </w:tr>
      <w:tr w:rsidR="00471529" w14:paraId="03EC89E8" w14:textId="77777777">
        <w:trPr>
          <w:trHeight w:val="340"/>
        </w:trPr>
        <w:tc>
          <w:tcPr>
            <w:tcW w:w="1668" w:type="pct"/>
            <w:tcBorders>
              <w:top w:val="nil"/>
              <w:left w:val="nil"/>
              <w:bottom w:val="nil"/>
              <w:right w:val="nil"/>
            </w:tcBorders>
          </w:tcPr>
          <w:p w14:paraId="57665B6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13.1</w:t>
            </w:r>
          </w:p>
        </w:tc>
        <w:tc>
          <w:tcPr>
            <w:tcW w:w="1667" w:type="pct"/>
            <w:tcBorders>
              <w:top w:val="nil"/>
              <w:left w:val="nil"/>
              <w:bottom w:val="nil"/>
              <w:right w:val="nil"/>
            </w:tcBorders>
          </w:tcPr>
          <w:p w14:paraId="0CCE1CC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100</w:t>
            </w:r>
          </w:p>
        </w:tc>
        <w:tc>
          <w:tcPr>
            <w:tcW w:w="1665" w:type="pct"/>
            <w:tcBorders>
              <w:top w:val="nil"/>
              <w:left w:val="nil"/>
              <w:bottom w:val="nil"/>
              <w:right w:val="nil"/>
            </w:tcBorders>
          </w:tcPr>
          <w:p w14:paraId="5A337A6D"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r>
      <w:tr w:rsidR="00471529" w14:paraId="4F7D1BE8" w14:textId="77777777">
        <w:trPr>
          <w:trHeight w:val="340"/>
        </w:trPr>
        <w:tc>
          <w:tcPr>
            <w:tcW w:w="1668" w:type="pct"/>
            <w:tcBorders>
              <w:top w:val="nil"/>
              <w:left w:val="nil"/>
              <w:bottom w:val="single" w:sz="12" w:space="0" w:color="auto"/>
              <w:right w:val="nil"/>
            </w:tcBorders>
          </w:tcPr>
          <w:p w14:paraId="247348BF"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16</w:t>
            </w:r>
          </w:p>
        </w:tc>
        <w:tc>
          <w:tcPr>
            <w:tcW w:w="1667" w:type="pct"/>
            <w:tcBorders>
              <w:top w:val="nil"/>
              <w:left w:val="nil"/>
              <w:bottom w:val="single" w:sz="12" w:space="0" w:color="auto"/>
              <w:right w:val="nil"/>
            </w:tcBorders>
          </w:tcPr>
          <w:p w14:paraId="75BA9B74"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100</w:t>
            </w:r>
          </w:p>
        </w:tc>
        <w:tc>
          <w:tcPr>
            <w:tcW w:w="1665" w:type="pct"/>
            <w:tcBorders>
              <w:top w:val="nil"/>
              <w:left w:val="nil"/>
              <w:bottom w:val="single" w:sz="12" w:space="0" w:color="auto"/>
              <w:right w:val="nil"/>
            </w:tcBorders>
          </w:tcPr>
          <w:p w14:paraId="12EAA9B4"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r>
    </w:tbl>
    <w:p w14:paraId="0DA471FE" w14:textId="77777777" w:rsidR="00471529" w:rsidRDefault="00471529">
      <w:pPr>
        <w:spacing w:line="360" w:lineRule="auto"/>
        <w:rPr>
          <w:rFonts w:ascii="Times New Roman" w:hAnsi="Times New Roman" w:cs="Times New Roman"/>
          <w:sz w:val="24"/>
          <w:szCs w:val="24"/>
        </w:rPr>
      </w:pPr>
    </w:p>
    <w:p w14:paraId="78B5E786" w14:textId="77777777" w:rsidR="00471529" w:rsidRDefault="00000000">
      <w:pPr>
        <w:pageBreakBefore/>
        <w:spacing w:line="360" w:lineRule="auto"/>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S3.</w:t>
      </w:r>
      <w:r>
        <w:rPr>
          <w:rFonts w:ascii="Times New Roman" w:hAnsi="Times New Roman" w:cs="Times New Roman"/>
          <w:sz w:val="24"/>
          <w:szCs w:val="28"/>
        </w:rPr>
        <w:t xml:space="preserve"> Grouping for co-culture experiment of phycospheric isolates and </w:t>
      </w:r>
      <w:r>
        <w:rPr>
          <w:rFonts w:ascii="Times New Roman" w:hAnsi="Times New Roman" w:cs="Times New Roman"/>
          <w:i/>
          <w:iCs/>
          <w:sz w:val="24"/>
          <w:szCs w:val="28"/>
        </w:rPr>
        <w:t>A. pyrenoidosa</w:t>
      </w:r>
      <w:r>
        <w:rPr>
          <w:rFonts w:ascii="Times New Roman" w:hAnsi="Times New Roman" w:cs="Times New Roman"/>
          <w:sz w:val="24"/>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1661"/>
        <w:gridCol w:w="1661"/>
        <w:gridCol w:w="1661"/>
        <w:gridCol w:w="1660"/>
      </w:tblGrid>
      <w:tr w:rsidR="00471529" w14:paraId="5C2298E4" w14:textId="77777777">
        <w:trPr>
          <w:trHeight w:val="454"/>
        </w:trPr>
        <w:tc>
          <w:tcPr>
            <w:tcW w:w="1001" w:type="pct"/>
            <w:tcBorders>
              <w:top w:val="single" w:sz="12" w:space="0" w:color="auto"/>
              <w:left w:val="nil"/>
              <w:bottom w:val="single" w:sz="8" w:space="0" w:color="auto"/>
              <w:right w:val="nil"/>
            </w:tcBorders>
          </w:tcPr>
          <w:p w14:paraId="7580001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Group</w:t>
            </w:r>
          </w:p>
        </w:tc>
        <w:tc>
          <w:tcPr>
            <w:tcW w:w="1000" w:type="pct"/>
            <w:tcBorders>
              <w:top w:val="single" w:sz="12" w:space="0" w:color="auto"/>
              <w:left w:val="nil"/>
              <w:bottom w:val="single" w:sz="8" w:space="0" w:color="auto"/>
              <w:right w:val="nil"/>
            </w:tcBorders>
          </w:tcPr>
          <w:p w14:paraId="4A90F289" w14:textId="77777777" w:rsidR="00471529" w:rsidRDefault="00000000">
            <w:pPr>
              <w:spacing w:line="360" w:lineRule="auto"/>
              <w:jc w:val="center"/>
              <w:rPr>
                <w:rFonts w:ascii="Times New Roman" w:hAnsi="Times New Roman" w:cs="Times New Roman"/>
                <w:i/>
                <w:iCs/>
              </w:rPr>
            </w:pPr>
            <w:r>
              <w:rPr>
                <w:rFonts w:ascii="Times New Roman" w:hAnsi="Times New Roman" w:cs="Times New Roman"/>
              </w:rPr>
              <w:t xml:space="preserve">Axenic </w:t>
            </w:r>
            <w:r>
              <w:rPr>
                <w:rFonts w:ascii="Times New Roman" w:hAnsi="Times New Roman" w:cs="Times New Roman"/>
                <w:i/>
                <w:iCs/>
              </w:rPr>
              <w:t>A. pyrenoidosa</w:t>
            </w:r>
          </w:p>
        </w:tc>
        <w:tc>
          <w:tcPr>
            <w:tcW w:w="1000" w:type="pct"/>
            <w:tcBorders>
              <w:top w:val="single" w:sz="12" w:space="0" w:color="auto"/>
              <w:left w:val="nil"/>
              <w:bottom w:val="single" w:sz="8" w:space="0" w:color="auto"/>
              <w:right w:val="nil"/>
            </w:tcBorders>
          </w:tcPr>
          <w:p w14:paraId="35B54CCF" w14:textId="77777777" w:rsidR="00471529" w:rsidRDefault="00000000">
            <w:pPr>
              <w:spacing w:line="360" w:lineRule="auto"/>
              <w:jc w:val="center"/>
              <w:rPr>
                <w:rFonts w:ascii="Times New Roman" w:hAnsi="Times New Roman" w:cs="Times New Roman"/>
              </w:rPr>
            </w:pPr>
            <w:r>
              <w:rPr>
                <w:rFonts w:ascii="Times New Roman" w:hAnsi="Times New Roman" w:cs="Times New Roman"/>
              </w:rPr>
              <w:t>Phycospheric bacteria</w:t>
            </w:r>
          </w:p>
        </w:tc>
        <w:tc>
          <w:tcPr>
            <w:tcW w:w="1000" w:type="pct"/>
            <w:tcBorders>
              <w:top w:val="single" w:sz="12" w:space="0" w:color="auto"/>
              <w:left w:val="nil"/>
              <w:bottom w:val="single" w:sz="8" w:space="0" w:color="auto"/>
              <w:right w:val="nil"/>
            </w:tcBorders>
          </w:tcPr>
          <w:p w14:paraId="07506F4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FF (mg/L)</w:t>
            </w:r>
          </w:p>
        </w:tc>
        <w:tc>
          <w:tcPr>
            <w:tcW w:w="999" w:type="pct"/>
            <w:tcBorders>
              <w:top w:val="single" w:sz="12" w:space="0" w:color="auto"/>
              <w:left w:val="nil"/>
              <w:bottom w:val="single" w:sz="8" w:space="0" w:color="auto"/>
              <w:right w:val="nil"/>
            </w:tcBorders>
          </w:tcPr>
          <w:p w14:paraId="33C9B49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PLA MPs (mg/L)</w:t>
            </w:r>
          </w:p>
        </w:tc>
      </w:tr>
      <w:tr w:rsidR="00471529" w14:paraId="7AF9B2F4" w14:textId="77777777">
        <w:trPr>
          <w:trHeight w:val="340"/>
        </w:trPr>
        <w:tc>
          <w:tcPr>
            <w:tcW w:w="1001" w:type="pct"/>
            <w:tcBorders>
              <w:top w:val="nil"/>
              <w:left w:val="nil"/>
              <w:bottom w:val="nil"/>
              <w:right w:val="nil"/>
            </w:tcBorders>
          </w:tcPr>
          <w:p w14:paraId="365042F6"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C</w:t>
            </w:r>
          </w:p>
        </w:tc>
        <w:tc>
          <w:tcPr>
            <w:tcW w:w="1000" w:type="pct"/>
            <w:tcBorders>
              <w:top w:val="nil"/>
              <w:left w:val="nil"/>
              <w:bottom w:val="nil"/>
              <w:right w:val="nil"/>
            </w:tcBorders>
          </w:tcPr>
          <w:p w14:paraId="4025B2EE"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014E2CF5"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2F1F53F9"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c>
          <w:tcPr>
            <w:tcW w:w="999" w:type="pct"/>
            <w:tcBorders>
              <w:top w:val="nil"/>
              <w:left w:val="nil"/>
              <w:bottom w:val="nil"/>
              <w:right w:val="nil"/>
            </w:tcBorders>
          </w:tcPr>
          <w:p w14:paraId="5FE54E4C"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r>
      <w:tr w:rsidR="00471529" w14:paraId="3C215DFA" w14:textId="77777777">
        <w:trPr>
          <w:trHeight w:val="340"/>
        </w:trPr>
        <w:tc>
          <w:tcPr>
            <w:tcW w:w="1001" w:type="pct"/>
            <w:tcBorders>
              <w:top w:val="nil"/>
              <w:left w:val="nil"/>
              <w:bottom w:val="nil"/>
              <w:right w:val="nil"/>
            </w:tcBorders>
          </w:tcPr>
          <w:p w14:paraId="58532E07"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CB</w:t>
            </w:r>
          </w:p>
        </w:tc>
        <w:tc>
          <w:tcPr>
            <w:tcW w:w="1000" w:type="pct"/>
            <w:tcBorders>
              <w:top w:val="nil"/>
              <w:left w:val="nil"/>
              <w:bottom w:val="nil"/>
              <w:right w:val="nil"/>
            </w:tcBorders>
          </w:tcPr>
          <w:p w14:paraId="0A19B842"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17BE7D2B"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01D48F26"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rPr>
              <w:t>0</w:t>
            </w:r>
          </w:p>
        </w:tc>
        <w:tc>
          <w:tcPr>
            <w:tcW w:w="999" w:type="pct"/>
            <w:tcBorders>
              <w:top w:val="nil"/>
              <w:left w:val="nil"/>
              <w:bottom w:val="nil"/>
              <w:right w:val="nil"/>
            </w:tcBorders>
          </w:tcPr>
          <w:p w14:paraId="528464F1"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r>
      <w:tr w:rsidR="00471529" w14:paraId="020507AC" w14:textId="77777777">
        <w:trPr>
          <w:trHeight w:val="340"/>
        </w:trPr>
        <w:tc>
          <w:tcPr>
            <w:tcW w:w="1001" w:type="pct"/>
            <w:tcBorders>
              <w:top w:val="nil"/>
              <w:left w:val="nil"/>
              <w:bottom w:val="nil"/>
              <w:right w:val="nil"/>
            </w:tcBorders>
          </w:tcPr>
          <w:p w14:paraId="671F03EE"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CF</w:t>
            </w:r>
          </w:p>
        </w:tc>
        <w:tc>
          <w:tcPr>
            <w:tcW w:w="1000" w:type="pct"/>
            <w:tcBorders>
              <w:top w:val="nil"/>
              <w:left w:val="nil"/>
              <w:bottom w:val="nil"/>
              <w:right w:val="nil"/>
            </w:tcBorders>
          </w:tcPr>
          <w:p w14:paraId="2BE69F93"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49848346"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7BACE918"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w:t>
            </w:r>
          </w:p>
        </w:tc>
        <w:tc>
          <w:tcPr>
            <w:tcW w:w="999" w:type="pct"/>
            <w:tcBorders>
              <w:top w:val="nil"/>
              <w:left w:val="nil"/>
              <w:bottom w:val="nil"/>
              <w:right w:val="nil"/>
            </w:tcBorders>
          </w:tcPr>
          <w:p w14:paraId="337747AA"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0</w:t>
            </w:r>
          </w:p>
        </w:tc>
      </w:tr>
      <w:tr w:rsidR="00471529" w14:paraId="2E62D42C" w14:textId="77777777">
        <w:trPr>
          <w:trHeight w:val="340"/>
        </w:trPr>
        <w:tc>
          <w:tcPr>
            <w:tcW w:w="1001" w:type="pct"/>
            <w:tcBorders>
              <w:top w:val="nil"/>
              <w:left w:val="nil"/>
              <w:bottom w:val="nil"/>
              <w:right w:val="nil"/>
            </w:tcBorders>
          </w:tcPr>
          <w:p w14:paraId="16040CD5"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CBF</w:t>
            </w:r>
          </w:p>
        </w:tc>
        <w:tc>
          <w:tcPr>
            <w:tcW w:w="1000" w:type="pct"/>
            <w:tcBorders>
              <w:top w:val="nil"/>
              <w:left w:val="nil"/>
              <w:bottom w:val="nil"/>
              <w:right w:val="nil"/>
            </w:tcBorders>
          </w:tcPr>
          <w:p w14:paraId="346CF577"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5311958B"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nil"/>
              <w:right w:val="nil"/>
            </w:tcBorders>
          </w:tcPr>
          <w:p w14:paraId="64A2E1FE"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w:t>
            </w:r>
          </w:p>
        </w:tc>
        <w:tc>
          <w:tcPr>
            <w:tcW w:w="999" w:type="pct"/>
            <w:tcBorders>
              <w:top w:val="nil"/>
              <w:left w:val="nil"/>
              <w:bottom w:val="nil"/>
              <w:right w:val="nil"/>
            </w:tcBorders>
          </w:tcPr>
          <w:p w14:paraId="57C4A7B6" w14:textId="77777777" w:rsidR="00471529" w:rsidRDefault="00000000">
            <w:pPr>
              <w:spacing w:line="360" w:lineRule="auto"/>
              <w:jc w:val="center"/>
              <w:rPr>
                <w:rFonts w:ascii="Times New Roman" w:eastAsia="等线" w:hAnsi="Times New Roman" w:cs="Times New Roman"/>
                <w:szCs w:val="21"/>
              </w:rPr>
            </w:pPr>
            <w:r>
              <w:rPr>
                <w:rFonts w:ascii="Times New Roman" w:eastAsia="等线" w:hAnsi="Times New Roman" w:cs="Times New Roman" w:hint="eastAsia"/>
                <w:szCs w:val="21"/>
              </w:rPr>
              <w:t>0</w:t>
            </w:r>
          </w:p>
        </w:tc>
      </w:tr>
      <w:tr w:rsidR="00471529" w14:paraId="48A13D2B" w14:textId="77777777">
        <w:trPr>
          <w:trHeight w:val="340"/>
        </w:trPr>
        <w:tc>
          <w:tcPr>
            <w:tcW w:w="1001" w:type="pct"/>
            <w:tcBorders>
              <w:top w:val="nil"/>
              <w:left w:val="nil"/>
              <w:bottom w:val="single" w:sz="12" w:space="0" w:color="auto"/>
              <w:right w:val="nil"/>
            </w:tcBorders>
          </w:tcPr>
          <w:p w14:paraId="20727AC5"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CBFP</w:t>
            </w:r>
          </w:p>
        </w:tc>
        <w:tc>
          <w:tcPr>
            <w:tcW w:w="1000" w:type="pct"/>
            <w:tcBorders>
              <w:top w:val="nil"/>
              <w:left w:val="nil"/>
              <w:bottom w:val="single" w:sz="12" w:space="0" w:color="auto"/>
              <w:right w:val="nil"/>
            </w:tcBorders>
          </w:tcPr>
          <w:p w14:paraId="62DCA8C9"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single" w:sz="12" w:space="0" w:color="auto"/>
              <w:right w:val="nil"/>
            </w:tcBorders>
          </w:tcPr>
          <w:p w14:paraId="46442353" w14:textId="77777777" w:rsidR="00471529" w:rsidRDefault="00000000">
            <w:pPr>
              <w:spacing w:line="360" w:lineRule="auto"/>
              <w:jc w:val="center"/>
              <w:rPr>
                <w:rFonts w:ascii="Times New Roman" w:hAnsi="Times New Roman" w:cs="Times New Roman"/>
              </w:rPr>
            </w:pPr>
            <w:r>
              <w:rPr>
                <w:rFonts w:ascii="Times New Roman" w:hAnsi="Times New Roman" w:cs="Times New Roman" w:hint="eastAsia"/>
              </w:rPr>
              <w:t>+</w:t>
            </w:r>
          </w:p>
        </w:tc>
        <w:tc>
          <w:tcPr>
            <w:tcW w:w="1000" w:type="pct"/>
            <w:tcBorders>
              <w:top w:val="nil"/>
              <w:left w:val="nil"/>
              <w:bottom w:val="single" w:sz="12" w:space="0" w:color="auto"/>
              <w:right w:val="nil"/>
            </w:tcBorders>
          </w:tcPr>
          <w:p w14:paraId="3F0C0E1B" w14:textId="77777777" w:rsidR="00471529" w:rsidRDefault="00000000">
            <w:pPr>
              <w:spacing w:line="360" w:lineRule="auto"/>
              <w:jc w:val="center"/>
              <w:rPr>
                <w:rFonts w:ascii="Times New Roman" w:eastAsia="等线" w:hAnsi="Times New Roman" w:cs="Times New Roman"/>
                <w:szCs w:val="21"/>
              </w:rPr>
            </w:pPr>
            <w:r>
              <w:rPr>
                <w:rFonts w:ascii="Times New Roman" w:hAnsi="Times New Roman" w:cs="Times New Roman"/>
              </w:rPr>
              <w:t>10</w:t>
            </w:r>
          </w:p>
        </w:tc>
        <w:tc>
          <w:tcPr>
            <w:tcW w:w="999" w:type="pct"/>
            <w:tcBorders>
              <w:top w:val="nil"/>
              <w:left w:val="nil"/>
              <w:bottom w:val="single" w:sz="12" w:space="0" w:color="auto"/>
              <w:right w:val="nil"/>
            </w:tcBorders>
          </w:tcPr>
          <w:p w14:paraId="4C85EB50" w14:textId="77777777" w:rsidR="00471529" w:rsidRDefault="00000000">
            <w:pPr>
              <w:spacing w:line="360" w:lineRule="auto"/>
              <w:jc w:val="center"/>
              <w:rPr>
                <w:rFonts w:ascii="Times New Roman" w:eastAsia="等线" w:hAnsi="Times New Roman" w:cs="Times New Roman"/>
                <w:szCs w:val="21"/>
              </w:rPr>
            </w:pPr>
            <w:r>
              <w:rPr>
                <w:rFonts w:ascii="Times New Roman" w:eastAsia="等线" w:hAnsi="Times New Roman" w:cs="Times New Roman" w:hint="eastAsia"/>
                <w:szCs w:val="21"/>
              </w:rPr>
              <w:t>1</w:t>
            </w:r>
            <w:r>
              <w:rPr>
                <w:rFonts w:ascii="Times New Roman" w:eastAsia="等线" w:hAnsi="Times New Roman" w:cs="Times New Roman"/>
                <w:szCs w:val="21"/>
              </w:rPr>
              <w:t>0</w:t>
            </w:r>
          </w:p>
        </w:tc>
      </w:tr>
    </w:tbl>
    <w:p w14:paraId="6CB4840B" w14:textId="77777777" w:rsidR="00471529" w:rsidRDefault="00471529">
      <w:pPr>
        <w:spacing w:line="360" w:lineRule="auto"/>
        <w:rPr>
          <w:rFonts w:ascii="Times New Roman" w:hAnsi="Times New Roman" w:cs="Times New Roman"/>
          <w:sz w:val="24"/>
          <w:szCs w:val="28"/>
        </w:rPr>
        <w:sectPr w:rsidR="00471529">
          <w:pgSz w:w="11906" w:h="16838"/>
          <w:pgMar w:top="1440" w:right="1800" w:bottom="1440" w:left="1800" w:header="851" w:footer="992" w:gutter="0"/>
          <w:lnNumType w:countBy="1" w:restart="continuous"/>
          <w:cols w:space="425"/>
          <w:docGrid w:type="lines" w:linePitch="312"/>
        </w:sectPr>
      </w:pPr>
    </w:p>
    <w:p w14:paraId="643A89A3" w14:textId="77777777" w:rsidR="00471529" w:rsidRDefault="00000000">
      <w:pPr>
        <w:pageBreakBefore/>
        <w:spacing w:line="360" w:lineRule="auto"/>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S4.</w:t>
      </w:r>
      <w:r>
        <w:rPr>
          <w:rFonts w:ascii="Times New Roman" w:hAnsi="Times New Roman" w:cs="Times New Roman"/>
          <w:sz w:val="24"/>
          <w:szCs w:val="28"/>
        </w:rPr>
        <w:t xml:space="preserve"> UPLC-MS/MS conditions for FF, FF-D3, pyridoxal, and pyridoxal-D3 determination.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4"/>
        <w:gridCol w:w="1994"/>
        <w:gridCol w:w="1994"/>
        <w:gridCol w:w="1994"/>
        <w:gridCol w:w="1994"/>
        <w:gridCol w:w="1994"/>
        <w:gridCol w:w="1994"/>
      </w:tblGrid>
      <w:tr w:rsidR="00471529" w14:paraId="275F0EE5" w14:textId="77777777">
        <w:trPr>
          <w:trHeight w:val="454"/>
        </w:trPr>
        <w:tc>
          <w:tcPr>
            <w:tcW w:w="714" w:type="pct"/>
            <w:tcBorders>
              <w:top w:val="single" w:sz="12" w:space="0" w:color="auto"/>
              <w:left w:val="nil"/>
              <w:bottom w:val="single" w:sz="8" w:space="0" w:color="auto"/>
              <w:right w:val="nil"/>
            </w:tcBorders>
            <w:vAlign w:val="center"/>
          </w:tcPr>
          <w:p w14:paraId="34BF24E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Compound</w:t>
            </w:r>
          </w:p>
        </w:tc>
        <w:tc>
          <w:tcPr>
            <w:tcW w:w="714" w:type="pct"/>
            <w:tcBorders>
              <w:top w:val="single" w:sz="12" w:space="0" w:color="auto"/>
              <w:left w:val="nil"/>
              <w:bottom w:val="single" w:sz="8" w:space="0" w:color="auto"/>
              <w:right w:val="nil"/>
            </w:tcBorders>
            <w:vAlign w:val="center"/>
          </w:tcPr>
          <w:p w14:paraId="23F89BD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Ion mode</w:t>
            </w:r>
          </w:p>
        </w:tc>
        <w:tc>
          <w:tcPr>
            <w:tcW w:w="714" w:type="pct"/>
            <w:tcBorders>
              <w:top w:val="single" w:sz="12" w:space="0" w:color="auto"/>
              <w:left w:val="nil"/>
              <w:bottom w:val="single" w:sz="8" w:space="0" w:color="auto"/>
              <w:right w:val="nil"/>
            </w:tcBorders>
            <w:vAlign w:val="center"/>
          </w:tcPr>
          <w:p w14:paraId="137EAD9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Parent ion</w:t>
            </w:r>
          </w:p>
          <w:p w14:paraId="7DD56B3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(m/z)</w:t>
            </w:r>
          </w:p>
        </w:tc>
        <w:tc>
          <w:tcPr>
            <w:tcW w:w="714" w:type="pct"/>
            <w:tcBorders>
              <w:top w:val="single" w:sz="12" w:space="0" w:color="auto"/>
              <w:left w:val="nil"/>
              <w:bottom w:val="single" w:sz="8" w:space="0" w:color="auto"/>
              <w:right w:val="nil"/>
            </w:tcBorders>
            <w:vAlign w:val="center"/>
          </w:tcPr>
          <w:p w14:paraId="7F7E16A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Daughter ion</w:t>
            </w:r>
          </w:p>
          <w:p w14:paraId="23372AF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(m/ z)</w:t>
            </w:r>
          </w:p>
        </w:tc>
        <w:tc>
          <w:tcPr>
            <w:tcW w:w="714" w:type="pct"/>
            <w:tcBorders>
              <w:top w:val="single" w:sz="12" w:space="0" w:color="auto"/>
              <w:left w:val="nil"/>
              <w:bottom w:val="single" w:sz="8" w:space="0" w:color="auto"/>
              <w:right w:val="nil"/>
            </w:tcBorders>
          </w:tcPr>
          <w:p w14:paraId="1678A8D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hint="eastAsia"/>
                <w:szCs w:val="21"/>
              </w:rPr>
              <w:t>D</w:t>
            </w:r>
            <w:r>
              <w:rPr>
                <w:rFonts w:ascii="Times New Roman" w:hAnsi="Times New Roman" w:cs="Times New Roman"/>
                <w:szCs w:val="21"/>
              </w:rPr>
              <w:t>well</w:t>
            </w:r>
          </w:p>
          <w:p w14:paraId="2DF208C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w:t>
            </w:r>
          </w:p>
        </w:tc>
        <w:tc>
          <w:tcPr>
            <w:tcW w:w="714" w:type="pct"/>
            <w:tcBorders>
              <w:top w:val="single" w:sz="12" w:space="0" w:color="auto"/>
              <w:left w:val="nil"/>
              <w:bottom w:val="single" w:sz="8" w:space="0" w:color="auto"/>
              <w:right w:val="nil"/>
            </w:tcBorders>
            <w:vAlign w:val="center"/>
          </w:tcPr>
          <w:p w14:paraId="3947E83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Cone (V)</w:t>
            </w:r>
          </w:p>
        </w:tc>
        <w:tc>
          <w:tcPr>
            <w:tcW w:w="714" w:type="pct"/>
            <w:tcBorders>
              <w:top w:val="single" w:sz="12" w:space="0" w:color="auto"/>
              <w:left w:val="nil"/>
              <w:bottom w:val="single" w:sz="8" w:space="0" w:color="auto"/>
              <w:right w:val="nil"/>
            </w:tcBorders>
            <w:vAlign w:val="center"/>
          </w:tcPr>
          <w:p w14:paraId="16A3DCE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Collision (V)</w:t>
            </w:r>
          </w:p>
        </w:tc>
      </w:tr>
      <w:tr w:rsidR="00471529" w14:paraId="40A203D0" w14:textId="77777777">
        <w:trPr>
          <w:trHeight w:val="340"/>
        </w:trPr>
        <w:tc>
          <w:tcPr>
            <w:tcW w:w="714" w:type="pct"/>
            <w:tcBorders>
              <w:top w:val="nil"/>
              <w:left w:val="nil"/>
              <w:bottom w:val="nil"/>
              <w:right w:val="nil"/>
            </w:tcBorders>
            <w:vAlign w:val="center"/>
          </w:tcPr>
          <w:p w14:paraId="04CB33C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FF</w:t>
            </w:r>
          </w:p>
        </w:tc>
        <w:tc>
          <w:tcPr>
            <w:tcW w:w="714" w:type="pct"/>
            <w:tcBorders>
              <w:top w:val="nil"/>
              <w:left w:val="nil"/>
              <w:bottom w:val="nil"/>
              <w:right w:val="nil"/>
            </w:tcBorders>
          </w:tcPr>
          <w:p w14:paraId="028DD87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Negative</w:t>
            </w:r>
          </w:p>
        </w:tc>
        <w:tc>
          <w:tcPr>
            <w:tcW w:w="714" w:type="pct"/>
            <w:tcBorders>
              <w:top w:val="nil"/>
              <w:left w:val="nil"/>
              <w:bottom w:val="nil"/>
              <w:right w:val="nil"/>
            </w:tcBorders>
          </w:tcPr>
          <w:p w14:paraId="16B64D8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3</w:t>
            </w:r>
            <w:r>
              <w:rPr>
                <w:rFonts w:ascii="Times New Roman" w:eastAsia="等线" w:hAnsi="Times New Roman" w:cs="Times New Roman"/>
                <w:color w:val="000000"/>
                <w:szCs w:val="21"/>
              </w:rPr>
              <w:t>56.0</w:t>
            </w:r>
          </w:p>
        </w:tc>
        <w:tc>
          <w:tcPr>
            <w:tcW w:w="714" w:type="pct"/>
            <w:tcBorders>
              <w:top w:val="nil"/>
              <w:left w:val="nil"/>
              <w:bottom w:val="nil"/>
              <w:right w:val="nil"/>
            </w:tcBorders>
          </w:tcPr>
          <w:p w14:paraId="6AC84CDE"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185.0</w:t>
            </w:r>
          </w:p>
        </w:tc>
        <w:tc>
          <w:tcPr>
            <w:tcW w:w="714" w:type="pct"/>
            <w:tcBorders>
              <w:top w:val="nil"/>
              <w:left w:val="nil"/>
              <w:bottom w:val="nil"/>
              <w:right w:val="nil"/>
            </w:tcBorders>
          </w:tcPr>
          <w:p w14:paraId="2139CCE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.106</w:t>
            </w:r>
          </w:p>
        </w:tc>
        <w:tc>
          <w:tcPr>
            <w:tcW w:w="714" w:type="pct"/>
            <w:tcBorders>
              <w:top w:val="nil"/>
              <w:left w:val="nil"/>
              <w:bottom w:val="nil"/>
              <w:right w:val="nil"/>
            </w:tcBorders>
          </w:tcPr>
          <w:p w14:paraId="41773F5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nil"/>
              <w:right w:val="nil"/>
            </w:tcBorders>
          </w:tcPr>
          <w:p w14:paraId="16C5E2F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r>
      <w:tr w:rsidR="00471529" w14:paraId="57093B78" w14:textId="77777777">
        <w:trPr>
          <w:trHeight w:val="340"/>
        </w:trPr>
        <w:tc>
          <w:tcPr>
            <w:tcW w:w="714" w:type="pct"/>
            <w:tcBorders>
              <w:top w:val="nil"/>
              <w:left w:val="nil"/>
              <w:bottom w:val="nil"/>
              <w:right w:val="nil"/>
            </w:tcBorders>
            <w:vAlign w:val="center"/>
          </w:tcPr>
          <w:p w14:paraId="22791EB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F</w:t>
            </w:r>
            <w:r>
              <w:rPr>
                <w:rFonts w:ascii="Times New Roman" w:eastAsia="等线" w:hAnsi="Times New Roman" w:cs="Times New Roman"/>
                <w:color w:val="000000"/>
                <w:szCs w:val="21"/>
              </w:rPr>
              <w:t>F</w:t>
            </w:r>
          </w:p>
        </w:tc>
        <w:tc>
          <w:tcPr>
            <w:tcW w:w="714" w:type="pct"/>
            <w:tcBorders>
              <w:top w:val="nil"/>
              <w:left w:val="nil"/>
              <w:bottom w:val="nil"/>
              <w:right w:val="nil"/>
            </w:tcBorders>
          </w:tcPr>
          <w:p w14:paraId="1B9C891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Negative</w:t>
            </w:r>
          </w:p>
        </w:tc>
        <w:tc>
          <w:tcPr>
            <w:tcW w:w="714" w:type="pct"/>
            <w:tcBorders>
              <w:top w:val="nil"/>
              <w:left w:val="nil"/>
              <w:bottom w:val="nil"/>
              <w:right w:val="nil"/>
            </w:tcBorders>
          </w:tcPr>
          <w:p w14:paraId="5F43B75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3</w:t>
            </w:r>
            <w:r>
              <w:rPr>
                <w:rFonts w:ascii="Times New Roman" w:eastAsia="等线" w:hAnsi="Times New Roman" w:cs="Times New Roman"/>
                <w:color w:val="000000"/>
                <w:szCs w:val="21"/>
              </w:rPr>
              <w:t>56.0</w:t>
            </w:r>
          </w:p>
        </w:tc>
        <w:tc>
          <w:tcPr>
            <w:tcW w:w="714" w:type="pct"/>
            <w:tcBorders>
              <w:top w:val="nil"/>
              <w:left w:val="nil"/>
              <w:bottom w:val="nil"/>
              <w:right w:val="nil"/>
            </w:tcBorders>
          </w:tcPr>
          <w:p w14:paraId="43DDF7E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3</w:t>
            </w:r>
            <w:r>
              <w:rPr>
                <w:rFonts w:ascii="Times New Roman" w:eastAsia="等线" w:hAnsi="Times New Roman" w:cs="Times New Roman"/>
                <w:color w:val="000000"/>
                <w:szCs w:val="21"/>
              </w:rPr>
              <w:t>36.0</w:t>
            </w:r>
          </w:p>
        </w:tc>
        <w:tc>
          <w:tcPr>
            <w:tcW w:w="714" w:type="pct"/>
            <w:tcBorders>
              <w:top w:val="nil"/>
              <w:left w:val="nil"/>
              <w:bottom w:val="nil"/>
              <w:right w:val="nil"/>
            </w:tcBorders>
          </w:tcPr>
          <w:p w14:paraId="357C043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.106</w:t>
            </w:r>
          </w:p>
        </w:tc>
        <w:tc>
          <w:tcPr>
            <w:tcW w:w="714" w:type="pct"/>
            <w:tcBorders>
              <w:top w:val="nil"/>
              <w:left w:val="nil"/>
              <w:bottom w:val="nil"/>
              <w:right w:val="nil"/>
            </w:tcBorders>
          </w:tcPr>
          <w:p w14:paraId="71BAFE7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nil"/>
              <w:right w:val="nil"/>
            </w:tcBorders>
          </w:tcPr>
          <w:p w14:paraId="2DC0C31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w:t>
            </w:r>
            <w:r>
              <w:rPr>
                <w:rFonts w:ascii="Times New Roman" w:eastAsia="等线" w:hAnsi="Times New Roman" w:cs="Times New Roman"/>
                <w:color w:val="000000"/>
                <w:szCs w:val="21"/>
              </w:rPr>
              <w:t>0</w:t>
            </w:r>
          </w:p>
        </w:tc>
      </w:tr>
      <w:tr w:rsidR="00471529" w14:paraId="5CFDC14C" w14:textId="77777777">
        <w:trPr>
          <w:trHeight w:val="340"/>
        </w:trPr>
        <w:tc>
          <w:tcPr>
            <w:tcW w:w="714" w:type="pct"/>
            <w:tcBorders>
              <w:top w:val="nil"/>
              <w:left w:val="nil"/>
              <w:bottom w:val="nil"/>
              <w:right w:val="nil"/>
            </w:tcBorders>
            <w:vAlign w:val="center"/>
          </w:tcPr>
          <w:p w14:paraId="183B5CF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FF-D3</w:t>
            </w:r>
          </w:p>
        </w:tc>
        <w:tc>
          <w:tcPr>
            <w:tcW w:w="714" w:type="pct"/>
            <w:tcBorders>
              <w:top w:val="nil"/>
              <w:left w:val="nil"/>
              <w:bottom w:val="nil"/>
              <w:right w:val="nil"/>
            </w:tcBorders>
          </w:tcPr>
          <w:p w14:paraId="38691DB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Negative</w:t>
            </w:r>
          </w:p>
        </w:tc>
        <w:tc>
          <w:tcPr>
            <w:tcW w:w="714" w:type="pct"/>
            <w:tcBorders>
              <w:top w:val="nil"/>
              <w:left w:val="nil"/>
              <w:bottom w:val="nil"/>
              <w:right w:val="nil"/>
            </w:tcBorders>
          </w:tcPr>
          <w:p w14:paraId="33A57D4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3</w:t>
            </w:r>
            <w:r>
              <w:rPr>
                <w:rFonts w:ascii="Times New Roman" w:eastAsia="等线" w:hAnsi="Times New Roman" w:cs="Times New Roman"/>
                <w:color w:val="000000"/>
                <w:szCs w:val="21"/>
              </w:rPr>
              <w:t>59.0</w:t>
            </w:r>
          </w:p>
        </w:tc>
        <w:tc>
          <w:tcPr>
            <w:tcW w:w="714" w:type="pct"/>
            <w:tcBorders>
              <w:top w:val="nil"/>
              <w:left w:val="nil"/>
              <w:bottom w:val="nil"/>
              <w:right w:val="nil"/>
            </w:tcBorders>
          </w:tcPr>
          <w:p w14:paraId="6EC3BC1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w:t>
            </w:r>
            <w:r>
              <w:rPr>
                <w:rFonts w:ascii="Times New Roman" w:eastAsia="等线" w:hAnsi="Times New Roman" w:cs="Times New Roman"/>
                <w:color w:val="000000"/>
                <w:szCs w:val="21"/>
              </w:rPr>
              <w:t>88.0</w:t>
            </w:r>
          </w:p>
        </w:tc>
        <w:tc>
          <w:tcPr>
            <w:tcW w:w="714" w:type="pct"/>
            <w:tcBorders>
              <w:top w:val="nil"/>
              <w:left w:val="nil"/>
              <w:bottom w:val="nil"/>
              <w:right w:val="nil"/>
            </w:tcBorders>
          </w:tcPr>
          <w:p w14:paraId="6612EFF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.106</w:t>
            </w:r>
          </w:p>
        </w:tc>
        <w:tc>
          <w:tcPr>
            <w:tcW w:w="714" w:type="pct"/>
            <w:tcBorders>
              <w:top w:val="nil"/>
              <w:left w:val="nil"/>
              <w:bottom w:val="nil"/>
              <w:right w:val="nil"/>
            </w:tcBorders>
          </w:tcPr>
          <w:p w14:paraId="7F8D4A5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nil"/>
              <w:right w:val="nil"/>
            </w:tcBorders>
          </w:tcPr>
          <w:p w14:paraId="6A69195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r>
      <w:tr w:rsidR="00471529" w14:paraId="55F188EB" w14:textId="77777777">
        <w:trPr>
          <w:trHeight w:val="340"/>
        </w:trPr>
        <w:tc>
          <w:tcPr>
            <w:tcW w:w="714" w:type="pct"/>
            <w:tcBorders>
              <w:top w:val="nil"/>
              <w:left w:val="nil"/>
              <w:bottom w:val="nil"/>
              <w:right w:val="nil"/>
            </w:tcBorders>
            <w:vAlign w:val="center"/>
          </w:tcPr>
          <w:p w14:paraId="0DED5E4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Pyridoxal</w:t>
            </w:r>
          </w:p>
        </w:tc>
        <w:tc>
          <w:tcPr>
            <w:tcW w:w="714" w:type="pct"/>
            <w:tcBorders>
              <w:top w:val="nil"/>
              <w:left w:val="nil"/>
              <w:bottom w:val="nil"/>
              <w:right w:val="nil"/>
            </w:tcBorders>
          </w:tcPr>
          <w:p w14:paraId="664658D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Positive</w:t>
            </w:r>
          </w:p>
        </w:tc>
        <w:tc>
          <w:tcPr>
            <w:tcW w:w="714" w:type="pct"/>
            <w:tcBorders>
              <w:top w:val="nil"/>
              <w:left w:val="nil"/>
              <w:bottom w:val="nil"/>
              <w:right w:val="nil"/>
            </w:tcBorders>
          </w:tcPr>
          <w:p w14:paraId="33CB9097"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w:t>
            </w:r>
            <w:r>
              <w:rPr>
                <w:rFonts w:ascii="Times New Roman" w:eastAsia="等线" w:hAnsi="Times New Roman" w:cs="Times New Roman"/>
                <w:color w:val="000000"/>
                <w:szCs w:val="21"/>
              </w:rPr>
              <w:t>68.0</w:t>
            </w:r>
          </w:p>
        </w:tc>
        <w:tc>
          <w:tcPr>
            <w:tcW w:w="714" w:type="pct"/>
            <w:tcBorders>
              <w:top w:val="nil"/>
              <w:left w:val="nil"/>
              <w:bottom w:val="nil"/>
              <w:right w:val="nil"/>
            </w:tcBorders>
          </w:tcPr>
          <w:p w14:paraId="2376D23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4.0</w:t>
            </w:r>
          </w:p>
        </w:tc>
        <w:tc>
          <w:tcPr>
            <w:tcW w:w="714" w:type="pct"/>
            <w:tcBorders>
              <w:top w:val="nil"/>
              <w:left w:val="nil"/>
              <w:bottom w:val="nil"/>
              <w:right w:val="nil"/>
            </w:tcBorders>
          </w:tcPr>
          <w:p w14:paraId="206A536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.078</w:t>
            </w:r>
          </w:p>
        </w:tc>
        <w:tc>
          <w:tcPr>
            <w:tcW w:w="714" w:type="pct"/>
            <w:tcBorders>
              <w:top w:val="nil"/>
              <w:left w:val="nil"/>
              <w:bottom w:val="nil"/>
              <w:right w:val="nil"/>
            </w:tcBorders>
          </w:tcPr>
          <w:p w14:paraId="2A0E79B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nil"/>
              <w:right w:val="nil"/>
            </w:tcBorders>
          </w:tcPr>
          <w:p w14:paraId="085F955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r>
      <w:tr w:rsidR="00471529" w14:paraId="734B96E4" w14:textId="77777777">
        <w:trPr>
          <w:trHeight w:val="340"/>
        </w:trPr>
        <w:tc>
          <w:tcPr>
            <w:tcW w:w="714" w:type="pct"/>
            <w:tcBorders>
              <w:top w:val="nil"/>
              <w:left w:val="nil"/>
              <w:bottom w:val="nil"/>
              <w:right w:val="nil"/>
            </w:tcBorders>
            <w:vAlign w:val="center"/>
          </w:tcPr>
          <w:p w14:paraId="2E1E767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Pyridoxal</w:t>
            </w:r>
          </w:p>
        </w:tc>
        <w:tc>
          <w:tcPr>
            <w:tcW w:w="714" w:type="pct"/>
            <w:tcBorders>
              <w:top w:val="nil"/>
              <w:left w:val="nil"/>
              <w:bottom w:val="nil"/>
              <w:right w:val="nil"/>
            </w:tcBorders>
          </w:tcPr>
          <w:p w14:paraId="61B2831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Positive</w:t>
            </w:r>
          </w:p>
        </w:tc>
        <w:tc>
          <w:tcPr>
            <w:tcW w:w="714" w:type="pct"/>
            <w:tcBorders>
              <w:top w:val="nil"/>
              <w:left w:val="nil"/>
              <w:bottom w:val="nil"/>
              <w:right w:val="nil"/>
            </w:tcBorders>
          </w:tcPr>
          <w:p w14:paraId="185B485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w:t>
            </w:r>
            <w:r>
              <w:rPr>
                <w:rFonts w:ascii="Times New Roman" w:eastAsia="等线" w:hAnsi="Times New Roman" w:cs="Times New Roman"/>
                <w:color w:val="000000"/>
                <w:szCs w:val="21"/>
              </w:rPr>
              <w:t>68.0</w:t>
            </w:r>
          </w:p>
        </w:tc>
        <w:tc>
          <w:tcPr>
            <w:tcW w:w="714" w:type="pct"/>
            <w:tcBorders>
              <w:top w:val="nil"/>
              <w:left w:val="nil"/>
              <w:bottom w:val="nil"/>
              <w:right w:val="nil"/>
            </w:tcBorders>
          </w:tcPr>
          <w:p w14:paraId="00F2322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150.0</w:t>
            </w:r>
          </w:p>
        </w:tc>
        <w:tc>
          <w:tcPr>
            <w:tcW w:w="714" w:type="pct"/>
            <w:tcBorders>
              <w:top w:val="nil"/>
              <w:left w:val="nil"/>
              <w:bottom w:val="nil"/>
              <w:right w:val="nil"/>
            </w:tcBorders>
          </w:tcPr>
          <w:p w14:paraId="667ADD2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.078</w:t>
            </w:r>
          </w:p>
        </w:tc>
        <w:tc>
          <w:tcPr>
            <w:tcW w:w="714" w:type="pct"/>
            <w:tcBorders>
              <w:top w:val="nil"/>
              <w:left w:val="nil"/>
              <w:bottom w:val="nil"/>
              <w:right w:val="nil"/>
            </w:tcBorders>
          </w:tcPr>
          <w:p w14:paraId="1282287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nil"/>
              <w:right w:val="nil"/>
            </w:tcBorders>
          </w:tcPr>
          <w:p w14:paraId="2657044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15</w:t>
            </w:r>
          </w:p>
        </w:tc>
      </w:tr>
      <w:tr w:rsidR="00471529" w14:paraId="5FA21E4A" w14:textId="77777777">
        <w:trPr>
          <w:trHeight w:val="340"/>
        </w:trPr>
        <w:tc>
          <w:tcPr>
            <w:tcW w:w="714" w:type="pct"/>
            <w:tcBorders>
              <w:top w:val="nil"/>
              <w:left w:val="nil"/>
              <w:bottom w:val="nil"/>
              <w:right w:val="nil"/>
            </w:tcBorders>
            <w:vAlign w:val="center"/>
          </w:tcPr>
          <w:p w14:paraId="35E8A22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Pyridoxal-D3</w:t>
            </w:r>
          </w:p>
        </w:tc>
        <w:tc>
          <w:tcPr>
            <w:tcW w:w="714" w:type="pct"/>
            <w:tcBorders>
              <w:top w:val="nil"/>
              <w:left w:val="nil"/>
              <w:bottom w:val="nil"/>
              <w:right w:val="nil"/>
            </w:tcBorders>
          </w:tcPr>
          <w:p w14:paraId="38A0F58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Positive</w:t>
            </w:r>
          </w:p>
        </w:tc>
        <w:tc>
          <w:tcPr>
            <w:tcW w:w="714" w:type="pct"/>
            <w:tcBorders>
              <w:top w:val="nil"/>
              <w:left w:val="nil"/>
              <w:bottom w:val="nil"/>
              <w:right w:val="nil"/>
            </w:tcBorders>
          </w:tcPr>
          <w:p w14:paraId="11F8FE1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w:t>
            </w:r>
            <w:r>
              <w:rPr>
                <w:rFonts w:ascii="Times New Roman" w:eastAsia="等线" w:hAnsi="Times New Roman" w:cs="Times New Roman"/>
                <w:color w:val="000000"/>
                <w:szCs w:val="21"/>
              </w:rPr>
              <w:t>71.1</w:t>
            </w:r>
          </w:p>
        </w:tc>
        <w:tc>
          <w:tcPr>
            <w:tcW w:w="714" w:type="pct"/>
            <w:tcBorders>
              <w:top w:val="nil"/>
              <w:left w:val="nil"/>
              <w:bottom w:val="nil"/>
              <w:right w:val="nil"/>
            </w:tcBorders>
          </w:tcPr>
          <w:p w14:paraId="18385FF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7.1</w:t>
            </w:r>
          </w:p>
        </w:tc>
        <w:tc>
          <w:tcPr>
            <w:tcW w:w="714" w:type="pct"/>
            <w:tcBorders>
              <w:top w:val="nil"/>
              <w:left w:val="nil"/>
              <w:bottom w:val="nil"/>
              <w:right w:val="nil"/>
            </w:tcBorders>
          </w:tcPr>
          <w:p w14:paraId="45C7707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.078</w:t>
            </w:r>
          </w:p>
        </w:tc>
        <w:tc>
          <w:tcPr>
            <w:tcW w:w="714" w:type="pct"/>
            <w:tcBorders>
              <w:top w:val="nil"/>
              <w:left w:val="nil"/>
              <w:bottom w:val="nil"/>
              <w:right w:val="nil"/>
            </w:tcBorders>
          </w:tcPr>
          <w:p w14:paraId="0F331D6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nil"/>
              <w:right w:val="nil"/>
            </w:tcBorders>
          </w:tcPr>
          <w:p w14:paraId="36FB3EB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5</w:t>
            </w:r>
          </w:p>
        </w:tc>
      </w:tr>
      <w:tr w:rsidR="00471529" w14:paraId="31704378" w14:textId="77777777">
        <w:trPr>
          <w:trHeight w:val="340"/>
        </w:trPr>
        <w:tc>
          <w:tcPr>
            <w:tcW w:w="714" w:type="pct"/>
            <w:tcBorders>
              <w:top w:val="nil"/>
              <w:left w:val="nil"/>
              <w:bottom w:val="single" w:sz="12" w:space="0" w:color="auto"/>
              <w:right w:val="nil"/>
            </w:tcBorders>
            <w:vAlign w:val="center"/>
          </w:tcPr>
          <w:p w14:paraId="6970E9F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Pyridoxal-D3</w:t>
            </w:r>
          </w:p>
        </w:tc>
        <w:tc>
          <w:tcPr>
            <w:tcW w:w="714" w:type="pct"/>
            <w:tcBorders>
              <w:top w:val="nil"/>
              <w:left w:val="nil"/>
              <w:bottom w:val="single" w:sz="12" w:space="0" w:color="auto"/>
              <w:right w:val="nil"/>
            </w:tcBorders>
          </w:tcPr>
          <w:p w14:paraId="2BCD07A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Positive</w:t>
            </w:r>
          </w:p>
        </w:tc>
        <w:tc>
          <w:tcPr>
            <w:tcW w:w="714" w:type="pct"/>
            <w:tcBorders>
              <w:top w:val="nil"/>
              <w:left w:val="nil"/>
              <w:bottom w:val="single" w:sz="12" w:space="0" w:color="auto"/>
              <w:right w:val="nil"/>
            </w:tcBorders>
          </w:tcPr>
          <w:p w14:paraId="73AB070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w:t>
            </w:r>
            <w:r>
              <w:rPr>
                <w:rFonts w:ascii="Times New Roman" w:eastAsia="等线" w:hAnsi="Times New Roman" w:cs="Times New Roman"/>
                <w:color w:val="000000"/>
                <w:szCs w:val="21"/>
              </w:rPr>
              <w:t>71.1</w:t>
            </w:r>
          </w:p>
        </w:tc>
        <w:tc>
          <w:tcPr>
            <w:tcW w:w="714" w:type="pct"/>
            <w:tcBorders>
              <w:top w:val="nil"/>
              <w:left w:val="nil"/>
              <w:bottom w:val="single" w:sz="12" w:space="0" w:color="auto"/>
              <w:right w:val="nil"/>
            </w:tcBorders>
          </w:tcPr>
          <w:p w14:paraId="0339795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153.1</w:t>
            </w:r>
          </w:p>
        </w:tc>
        <w:tc>
          <w:tcPr>
            <w:tcW w:w="714" w:type="pct"/>
            <w:tcBorders>
              <w:top w:val="nil"/>
              <w:left w:val="nil"/>
              <w:bottom w:val="single" w:sz="12" w:space="0" w:color="auto"/>
              <w:right w:val="nil"/>
            </w:tcBorders>
          </w:tcPr>
          <w:p w14:paraId="4EF040A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0</w:t>
            </w:r>
            <w:r>
              <w:rPr>
                <w:rFonts w:ascii="Times New Roman" w:eastAsia="等线" w:hAnsi="Times New Roman" w:cs="Times New Roman"/>
                <w:color w:val="000000"/>
                <w:szCs w:val="21"/>
              </w:rPr>
              <w:t>.078</w:t>
            </w:r>
          </w:p>
        </w:tc>
        <w:tc>
          <w:tcPr>
            <w:tcW w:w="714" w:type="pct"/>
            <w:tcBorders>
              <w:top w:val="nil"/>
              <w:left w:val="nil"/>
              <w:bottom w:val="single" w:sz="12" w:space="0" w:color="auto"/>
              <w:right w:val="nil"/>
            </w:tcBorders>
          </w:tcPr>
          <w:p w14:paraId="71ECA51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c>
          <w:tcPr>
            <w:tcW w:w="714" w:type="pct"/>
            <w:tcBorders>
              <w:top w:val="nil"/>
              <w:left w:val="nil"/>
              <w:bottom w:val="single" w:sz="12" w:space="0" w:color="auto"/>
              <w:right w:val="nil"/>
            </w:tcBorders>
          </w:tcPr>
          <w:p w14:paraId="1E86B8E7"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2</w:t>
            </w:r>
            <w:r>
              <w:rPr>
                <w:rFonts w:ascii="Times New Roman" w:eastAsia="等线" w:hAnsi="Times New Roman" w:cs="Times New Roman"/>
                <w:color w:val="000000"/>
                <w:szCs w:val="21"/>
              </w:rPr>
              <w:t>0</w:t>
            </w:r>
          </w:p>
        </w:tc>
      </w:tr>
    </w:tbl>
    <w:p w14:paraId="3AD92C5C" w14:textId="77777777" w:rsidR="00471529" w:rsidRDefault="00000000">
      <w:pPr>
        <w:pageBreakBefore/>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S5.</w:t>
      </w:r>
      <w:r>
        <w:rPr>
          <w:rFonts w:ascii="Times New Roman" w:hAnsi="Times New Roman" w:cs="Times New Roman"/>
          <w:sz w:val="24"/>
          <w:szCs w:val="28"/>
        </w:rPr>
        <w:t xml:space="preserve"> The table of secondary metabolites synthesis gene clusters in </w:t>
      </w:r>
      <w:r>
        <w:rPr>
          <w:rFonts w:ascii="Times New Roman" w:eastAsia="等线" w:hAnsi="Times New Roman" w:cs="Times New Roman"/>
          <w:i/>
          <w:iCs/>
          <w:color w:val="000000"/>
          <w:sz w:val="24"/>
          <w:szCs w:val="24"/>
        </w:rPr>
        <w:t>Pseudomonas</w:t>
      </w:r>
      <w:r>
        <w:rPr>
          <w:rFonts w:ascii="Times New Roman" w:eastAsia="等线" w:hAnsi="Times New Roman" w:cs="Times New Roman"/>
          <w:color w:val="000000"/>
          <w:sz w:val="24"/>
          <w:szCs w:val="24"/>
        </w:rPr>
        <w:t>_sp1</w:t>
      </w:r>
      <w:r>
        <w:rPr>
          <w:rFonts w:ascii="Times New Roman" w:hAnsi="Times New Roman" w:cs="Times New Roman"/>
          <w:sz w:val="24"/>
          <w:szCs w:val="28"/>
        </w:rPr>
        <w:t>.</w:t>
      </w:r>
    </w:p>
    <w:tbl>
      <w:tblPr>
        <w:tblW w:w="13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757"/>
        <w:gridCol w:w="1474"/>
        <w:gridCol w:w="1474"/>
        <w:gridCol w:w="1685"/>
        <w:gridCol w:w="1814"/>
        <w:gridCol w:w="1684"/>
        <w:gridCol w:w="1648"/>
      </w:tblGrid>
      <w:tr w:rsidR="00471529" w14:paraId="158584CB" w14:textId="77777777">
        <w:trPr>
          <w:trHeight w:val="454"/>
        </w:trPr>
        <w:tc>
          <w:tcPr>
            <w:tcW w:w="2154" w:type="dxa"/>
            <w:tcBorders>
              <w:top w:val="single" w:sz="12" w:space="0" w:color="auto"/>
              <w:left w:val="nil"/>
              <w:bottom w:val="single" w:sz="8" w:space="0" w:color="auto"/>
              <w:right w:val="nil"/>
            </w:tcBorders>
            <w:vAlign w:val="center"/>
          </w:tcPr>
          <w:p w14:paraId="38879020" w14:textId="77777777" w:rsidR="00471529" w:rsidRDefault="00000000">
            <w:pPr>
              <w:spacing w:line="360" w:lineRule="auto"/>
              <w:jc w:val="center"/>
              <w:rPr>
                <w:rFonts w:ascii="Times New Roman" w:eastAsia="黑体" w:hAnsi="Times New Roman" w:cs="Times New Roman"/>
                <w:szCs w:val="21"/>
              </w:rPr>
            </w:pPr>
            <w:r>
              <w:rPr>
                <w:rFonts w:ascii="Times New Roman" w:eastAsia="黑体" w:hAnsi="Times New Roman" w:cs="Times New Roman"/>
                <w:szCs w:val="21"/>
              </w:rPr>
              <w:t>Bacteria</w:t>
            </w:r>
          </w:p>
        </w:tc>
        <w:tc>
          <w:tcPr>
            <w:tcW w:w="1757" w:type="dxa"/>
            <w:tcBorders>
              <w:top w:val="single" w:sz="12" w:space="0" w:color="auto"/>
              <w:left w:val="nil"/>
              <w:bottom w:val="single" w:sz="8" w:space="0" w:color="auto"/>
              <w:right w:val="nil"/>
            </w:tcBorders>
            <w:vAlign w:val="center"/>
          </w:tcPr>
          <w:p w14:paraId="43B0F92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Type</w:t>
            </w:r>
          </w:p>
        </w:tc>
        <w:tc>
          <w:tcPr>
            <w:tcW w:w="1474" w:type="dxa"/>
            <w:tcBorders>
              <w:top w:val="single" w:sz="12" w:space="0" w:color="auto"/>
              <w:left w:val="nil"/>
              <w:bottom w:val="single" w:sz="8" w:space="0" w:color="auto"/>
              <w:right w:val="nil"/>
            </w:tcBorders>
            <w:vAlign w:val="center"/>
          </w:tcPr>
          <w:p w14:paraId="7752819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Start</w:t>
            </w:r>
          </w:p>
        </w:tc>
        <w:tc>
          <w:tcPr>
            <w:tcW w:w="1474" w:type="dxa"/>
            <w:tcBorders>
              <w:top w:val="single" w:sz="12" w:space="0" w:color="auto"/>
              <w:left w:val="nil"/>
              <w:bottom w:val="single" w:sz="8" w:space="0" w:color="auto"/>
              <w:right w:val="nil"/>
            </w:tcBorders>
            <w:vAlign w:val="center"/>
          </w:tcPr>
          <w:p w14:paraId="334166F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End</w:t>
            </w:r>
          </w:p>
        </w:tc>
        <w:tc>
          <w:tcPr>
            <w:tcW w:w="1685" w:type="dxa"/>
            <w:tcBorders>
              <w:top w:val="single" w:sz="12" w:space="0" w:color="auto"/>
              <w:left w:val="nil"/>
              <w:bottom w:val="single" w:sz="8" w:space="0" w:color="auto"/>
              <w:right w:val="nil"/>
            </w:tcBorders>
            <w:vAlign w:val="center"/>
          </w:tcPr>
          <w:p w14:paraId="6F175902" w14:textId="77777777" w:rsidR="00471529" w:rsidRDefault="00000000">
            <w:pPr>
              <w:spacing w:line="360" w:lineRule="auto"/>
              <w:jc w:val="center"/>
              <w:rPr>
                <w:rFonts w:ascii="Times New Roman" w:hAnsi="Times New Roman" w:cs="Times New Roman"/>
                <w:szCs w:val="21"/>
              </w:rPr>
            </w:pPr>
            <w:proofErr w:type="spellStart"/>
            <w:r>
              <w:rPr>
                <w:rFonts w:ascii="Times New Roman" w:hAnsi="Times New Roman" w:cs="Times New Roman"/>
                <w:szCs w:val="21"/>
              </w:rPr>
              <w:t>MIBiG</w:t>
            </w:r>
            <w:proofErr w:type="spellEnd"/>
            <w:r>
              <w:rPr>
                <w:rFonts w:ascii="Times New Roman" w:hAnsi="Times New Roman" w:cs="Times New Roman"/>
                <w:szCs w:val="21"/>
              </w:rPr>
              <w:t xml:space="preserve"> accession</w:t>
            </w:r>
          </w:p>
        </w:tc>
        <w:tc>
          <w:tcPr>
            <w:tcW w:w="1814" w:type="dxa"/>
            <w:tcBorders>
              <w:top w:val="single" w:sz="12" w:space="0" w:color="auto"/>
              <w:left w:val="nil"/>
              <w:bottom w:val="single" w:sz="8" w:space="0" w:color="auto"/>
              <w:right w:val="nil"/>
            </w:tcBorders>
            <w:vAlign w:val="center"/>
          </w:tcPr>
          <w:p w14:paraId="6DBE8EA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Similar Cluster</w:t>
            </w:r>
          </w:p>
        </w:tc>
        <w:tc>
          <w:tcPr>
            <w:tcW w:w="1684" w:type="dxa"/>
            <w:tcBorders>
              <w:top w:val="single" w:sz="12" w:space="0" w:color="auto"/>
              <w:left w:val="nil"/>
              <w:bottom w:val="single" w:sz="8" w:space="0" w:color="auto"/>
              <w:right w:val="nil"/>
            </w:tcBorders>
            <w:vAlign w:val="center"/>
          </w:tcPr>
          <w:p w14:paraId="42743A8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Similarity (%)</w:t>
            </w:r>
          </w:p>
        </w:tc>
        <w:tc>
          <w:tcPr>
            <w:tcW w:w="1648" w:type="dxa"/>
            <w:tcBorders>
              <w:top w:val="single" w:sz="12" w:space="0" w:color="auto"/>
              <w:left w:val="nil"/>
              <w:bottom w:val="single" w:sz="8" w:space="0" w:color="auto"/>
              <w:right w:val="nil"/>
            </w:tcBorders>
            <w:vAlign w:val="center"/>
          </w:tcPr>
          <w:p w14:paraId="7FF5D8A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Gene No.</w:t>
            </w:r>
          </w:p>
        </w:tc>
      </w:tr>
      <w:tr w:rsidR="00471529" w14:paraId="770494B6" w14:textId="77777777">
        <w:trPr>
          <w:trHeight w:val="340"/>
        </w:trPr>
        <w:tc>
          <w:tcPr>
            <w:tcW w:w="2154" w:type="dxa"/>
            <w:vMerge w:val="restart"/>
            <w:tcBorders>
              <w:top w:val="single" w:sz="8" w:space="0" w:color="auto"/>
              <w:left w:val="nil"/>
              <w:bottom w:val="single" w:sz="8" w:space="0" w:color="000000"/>
              <w:right w:val="nil"/>
            </w:tcBorders>
            <w:vAlign w:val="center"/>
          </w:tcPr>
          <w:p w14:paraId="3E44189E" w14:textId="77777777" w:rsidR="00471529" w:rsidRDefault="00000000">
            <w:pPr>
              <w:spacing w:line="360" w:lineRule="auto"/>
              <w:jc w:val="center"/>
              <w:rPr>
                <w:rFonts w:ascii="Times New Roman" w:eastAsia="等线" w:hAnsi="Times New Roman" w:cs="Times New Roman"/>
                <w:color w:val="000000"/>
                <w:szCs w:val="21"/>
              </w:rPr>
            </w:pPr>
            <w:bookmarkStart w:id="31" w:name="_Hlk179323570"/>
            <w:r>
              <w:rPr>
                <w:rFonts w:ascii="Times New Roman" w:eastAsia="等线" w:hAnsi="Times New Roman" w:cs="Times New Roman"/>
                <w:i/>
                <w:iCs/>
                <w:color w:val="000000"/>
                <w:szCs w:val="21"/>
              </w:rPr>
              <w:t>Pseudomonas</w:t>
            </w:r>
            <w:r>
              <w:rPr>
                <w:rFonts w:ascii="Times New Roman" w:eastAsia="等线" w:hAnsi="Times New Roman" w:cs="Times New Roman"/>
                <w:color w:val="000000"/>
                <w:szCs w:val="21"/>
              </w:rPr>
              <w:t>_sp1</w:t>
            </w:r>
            <w:bookmarkEnd w:id="31"/>
          </w:p>
        </w:tc>
        <w:tc>
          <w:tcPr>
            <w:tcW w:w="1757" w:type="dxa"/>
            <w:tcBorders>
              <w:top w:val="nil"/>
              <w:left w:val="nil"/>
              <w:bottom w:val="nil"/>
              <w:right w:val="nil"/>
            </w:tcBorders>
          </w:tcPr>
          <w:p w14:paraId="55713A1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redox-cofactor</w:t>
            </w:r>
          </w:p>
        </w:tc>
        <w:tc>
          <w:tcPr>
            <w:tcW w:w="1474" w:type="dxa"/>
            <w:tcBorders>
              <w:top w:val="nil"/>
              <w:left w:val="nil"/>
              <w:bottom w:val="nil"/>
              <w:right w:val="nil"/>
            </w:tcBorders>
          </w:tcPr>
          <w:p w14:paraId="73CD81C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404949</w:t>
            </w:r>
          </w:p>
        </w:tc>
        <w:tc>
          <w:tcPr>
            <w:tcW w:w="1474" w:type="dxa"/>
            <w:tcBorders>
              <w:top w:val="nil"/>
              <w:left w:val="nil"/>
              <w:bottom w:val="nil"/>
              <w:right w:val="nil"/>
            </w:tcBorders>
          </w:tcPr>
          <w:p w14:paraId="2DF7B25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427109</w:t>
            </w:r>
          </w:p>
        </w:tc>
        <w:tc>
          <w:tcPr>
            <w:tcW w:w="1685" w:type="dxa"/>
            <w:tcBorders>
              <w:top w:val="nil"/>
              <w:left w:val="nil"/>
              <w:bottom w:val="nil"/>
              <w:right w:val="nil"/>
            </w:tcBorders>
          </w:tcPr>
          <w:p w14:paraId="128081CE"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BGC0001100</w:t>
            </w:r>
          </w:p>
        </w:tc>
        <w:tc>
          <w:tcPr>
            <w:tcW w:w="1814" w:type="dxa"/>
            <w:tcBorders>
              <w:top w:val="nil"/>
              <w:left w:val="nil"/>
              <w:bottom w:val="nil"/>
              <w:right w:val="nil"/>
            </w:tcBorders>
          </w:tcPr>
          <w:p w14:paraId="67006E0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lankacidin C</w:t>
            </w:r>
          </w:p>
        </w:tc>
        <w:tc>
          <w:tcPr>
            <w:tcW w:w="1684" w:type="dxa"/>
            <w:tcBorders>
              <w:top w:val="nil"/>
              <w:left w:val="nil"/>
              <w:bottom w:val="nil"/>
              <w:right w:val="nil"/>
            </w:tcBorders>
          </w:tcPr>
          <w:p w14:paraId="168A43F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13</w:t>
            </w:r>
          </w:p>
        </w:tc>
        <w:tc>
          <w:tcPr>
            <w:tcW w:w="1648" w:type="dxa"/>
            <w:tcBorders>
              <w:top w:val="nil"/>
              <w:left w:val="nil"/>
              <w:bottom w:val="nil"/>
              <w:right w:val="nil"/>
            </w:tcBorders>
          </w:tcPr>
          <w:p w14:paraId="515CFA8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16</w:t>
            </w:r>
          </w:p>
        </w:tc>
      </w:tr>
      <w:tr w:rsidR="00471529" w14:paraId="18026111" w14:textId="77777777">
        <w:trPr>
          <w:trHeight w:val="340"/>
        </w:trPr>
        <w:tc>
          <w:tcPr>
            <w:tcW w:w="2154" w:type="dxa"/>
            <w:vMerge/>
            <w:tcBorders>
              <w:left w:val="nil"/>
              <w:bottom w:val="single" w:sz="8" w:space="0" w:color="000000"/>
              <w:right w:val="nil"/>
            </w:tcBorders>
            <w:vAlign w:val="center"/>
          </w:tcPr>
          <w:p w14:paraId="05CA11BE"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341750CF" w14:textId="77777777" w:rsidR="00471529" w:rsidRDefault="00000000">
            <w:pPr>
              <w:spacing w:line="360" w:lineRule="auto"/>
              <w:jc w:val="center"/>
              <w:rPr>
                <w:rFonts w:ascii="Times New Roman" w:eastAsia="等线" w:hAnsi="Times New Roman" w:cs="Times New Roman"/>
                <w:color w:val="000000"/>
                <w:szCs w:val="21"/>
              </w:rPr>
            </w:pPr>
            <w:proofErr w:type="spellStart"/>
            <w:r>
              <w:rPr>
                <w:rFonts w:ascii="Times New Roman" w:hAnsi="Times New Roman" w:cs="Times New Roman"/>
                <w:szCs w:val="21"/>
              </w:rPr>
              <w:t>RiPP</w:t>
            </w:r>
            <w:proofErr w:type="spellEnd"/>
            <w:r>
              <w:rPr>
                <w:rFonts w:ascii="Times New Roman" w:hAnsi="Times New Roman" w:cs="Times New Roman"/>
                <w:szCs w:val="21"/>
              </w:rPr>
              <w:t>-like</w:t>
            </w:r>
          </w:p>
        </w:tc>
        <w:tc>
          <w:tcPr>
            <w:tcW w:w="1474" w:type="dxa"/>
            <w:tcBorders>
              <w:top w:val="nil"/>
              <w:left w:val="nil"/>
              <w:bottom w:val="nil"/>
              <w:right w:val="nil"/>
            </w:tcBorders>
          </w:tcPr>
          <w:p w14:paraId="7D83E42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1152027</w:t>
            </w:r>
          </w:p>
        </w:tc>
        <w:tc>
          <w:tcPr>
            <w:tcW w:w="1474" w:type="dxa"/>
            <w:tcBorders>
              <w:top w:val="nil"/>
              <w:left w:val="nil"/>
              <w:bottom w:val="nil"/>
              <w:right w:val="nil"/>
            </w:tcBorders>
          </w:tcPr>
          <w:p w14:paraId="47D5570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1162307</w:t>
            </w:r>
          </w:p>
        </w:tc>
        <w:tc>
          <w:tcPr>
            <w:tcW w:w="1685" w:type="dxa"/>
            <w:tcBorders>
              <w:top w:val="nil"/>
              <w:left w:val="nil"/>
              <w:bottom w:val="nil"/>
              <w:right w:val="nil"/>
            </w:tcBorders>
          </w:tcPr>
          <w:p w14:paraId="5E79A3A7"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814" w:type="dxa"/>
            <w:tcBorders>
              <w:top w:val="nil"/>
              <w:left w:val="nil"/>
              <w:bottom w:val="nil"/>
              <w:right w:val="nil"/>
            </w:tcBorders>
          </w:tcPr>
          <w:p w14:paraId="7B88294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84" w:type="dxa"/>
            <w:tcBorders>
              <w:top w:val="nil"/>
              <w:left w:val="nil"/>
              <w:bottom w:val="nil"/>
              <w:right w:val="nil"/>
            </w:tcBorders>
          </w:tcPr>
          <w:p w14:paraId="31A3E94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48" w:type="dxa"/>
            <w:tcBorders>
              <w:top w:val="nil"/>
              <w:left w:val="nil"/>
              <w:bottom w:val="nil"/>
              <w:right w:val="nil"/>
            </w:tcBorders>
          </w:tcPr>
          <w:p w14:paraId="7838041A"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10</w:t>
            </w:r>
          </w:p>
        </w:tc>
      </w:tr>
      <w:tr w:rsidR="00471529" w14:paraId="446A3D1E" w14:textId="77777777">
        <w:trPr>
          <w:trHeight w:val="340"/>
        </w:trPr>
        <w:tc>
          <w:tcPr>
            <w:tcW w:w="2154" w:type="dxa"/>
            <w:vMerge/>
            <w:tcBorders>
              <w:left w:val="nil"/>
              <w:bottom w:val="single" w:sz="8" w:space="0" w:color="000000"/>
              <w:right w:val="nil"/>
            </w:tcBorders>
            <w:vAlign w:val="center"/>
          </w:tcPr>
          <w:p w14:paraId="2E529A53"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31F7312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NRPS</w:t>
            </w:r>
          </w:p>
        </w:tc>
        <w:tc>
          <w:tcPr>
            <w:tcW w:w="1474" w:type="dxa"/>
            <w:tcBorders>
              <w:top w:val="nil"/>
              <w:left w:val="nil"/>
              <w:bottom w:val="nil"/>
              <w:right w:val="nil"/>
            </w:tcBorders>
          </w:tcPr>
          <w:p w14:paraId="732483B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1773714</w:t>
            </w:r>
          </w:p>
        </w:tc>
        <w:tc>
          <w:tcPr>
            <w:tcW w:w="1474" w:type="dxa"/>
            <w:tcBorders>
              <w:top w:val="nil"/>
              <w:left w:val="nil"/>
              <w:bottom w:val="nil"/>
              <w:right w:val="nil"/>
            </w:tcBorders>
          </w:tcPr>
          <w:p w14:paraId="5ADD332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1825799</w:t>
            </w:r>
          </w:p>
        </w:tc>
        <w:tc>
          <w:tcPr>
            <w:tcW w:w="1685" w:type="dxa"/>
            <w:tcBorders>
              <w:top w:val="nil"/>
              <w:left w:val="nil"/>
              <w:bottom w:val="nil"/>
              <w:right w:val="nil"/>
            </w:tcBorders>
          </w:tcPr>
          <w:p w14:paraId="73006A2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BGC0000413</w:t>
            </w:r>
          </w:p>
        </w:tc>
        <w:tc>
          <w:tcPr>
            <w:tcW w:w="1814" w:type="dxa"/>
            <w:tcBorders>
              <w:top w:val="nil"/>
              <w:left w:val="nil"/>
              <w:bottom w:val="nil"/>
              <w:right w:val="nil"/>
            </w:tcBorders>
          </w:tcPr>
          <w:p w14:paraId="71F57E8F" w14:textId="77777777" w:rsidR="00471529" w:rsidRDefault="00000000">
            <w:pPr>
              <w:spacing w:line="360" w:lineRule="auto"/>
              <w:jc w:val="center"/>
              <w:rPr>
                <w:rFonts w:ascii="Times New Roman" w:eastAsia="等线" w:hAnsi="Times New Roman" w:cs="Times New Roman"/>
                <w:color w:val="000000"/>
                <w:szCs w:val="21"/>
              </w:rPr>
            </w:pPr>
            <w:proofErr w:type="spellStart"/>
            <w:r>
              <w:rPr>
                <w:rFonts w:ascii="Times New Roman" w:hAnsi="Times New Roman" w:cs="Times New Roman"/>
                <w:szCs w:val="21"/>
              </w:rPr>
              <w:t>pyoverdin</w:t>
            </w:r>
            <w:proofErr w:type="spellEnd"/>
          </w:p>
        </w:tc>
        <w:tc>
          <w:tcPr>
            <w:tcW w:w="1684" w:type="dxa"/>
            <w:tcBorders>
              <w:top w:val="nil"/>
              <w:left w:val="nil"/>
              <w:bottom w:val="nil"/>
              <w:right w:val="nil"/>
            </w:tcBorders>
          </w:tcPr>
          <w:p w14:paraId="720521DE"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7</w:t>
            </w:r>
          </w:p>
        </w:tc>
        <w:tc>
          <w:tcPr>
            <w:tcW w:w="1648" w:type="dxa"/>
            <w:tcBorders>
              <w:top w:val="nil"/>
              <w:left w:val="nil"/>
              <w:bottom w:val="nil"/>
              <w:right w:val="nil"/>
            </w:tcBorders>
          </w:tcPr>
          <w:p w14:paraId="49F12D7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38</w:t>
            </w:r>
          </w:p>
        </w:tc>
      </w:tr>
      <w:tr w:rsidR="00471529" w14:paraId="1ED6760F" w14:textId="77777777">
        <w:trPr>
          <w:trHeight w:val="340"/>
        </w:trPr>
        <w:tc>
          <w:tcPr>
            <w:tcW w:w="2154" w:type="dxa"/>
            <w:vMerge/>
            <w:tcBorders>
              <w:left w:val="nil"/>
              <w:bottom w:val="single" w:sz="8" w:space="0" w:color="000000"/>
              <w:right w:val="nil"/>
            </w:tcBorders>
            <w:vAlign w:val="center"/>
          </w:tcPr>
          <w:p w14:paraId="3AB790A6"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2F35079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NRPS</w:t>
            </w:r>
          </w:p>
        </w:tc>
        <w:tc>
          <w:tcPr>
            <w:tcW w:w="1474" w:type="dxa"/>
            <w:tcBorders>
              <w:top w:val="nil"/>
              <w:left w:val="nil"/>
              <w:bottom w:val="nil"/>
              <w:right w:val="nil"/>
            </w:tcBorders>
          </w:tcPr>
          <w:p w14:paraId="2071438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1840845</w:t>
            </w:r>
          </w:p>
        </w:tc>
        <w:tc>
          <w:tcPr>
            <w:tcW w:w="1474" w:type="dxa"/>
            <w:tcBorders>
              <w:top w:val="nil"/>
              <w:left w:val="nil"/>
              <w:bottom w:val="nil"/>
              <w:right w:val="nil"/>
            </w:tcBorders>
          </w:tcPr>
          <w:p w14:paraId="3437C4A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1921433</w:t>
            </w:r>
          </w:p>
        </w:tc>
        <w:tc>
          <w:tcPr>
            <w:tcW w:w="1685" w:type="dxa"/>
            <w:tcBorders>
              <w:top w:val="nil"/>
              <w:left w:val="nil"/>
              <w:bottom w:val="nil"/>
              <w:right w:val="nil"/>
            </w:tcBorders>
          </w:tcPr>
          <w:p w14:paraId="5A7FAF6D"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BGC0000413</w:t>
            </w:r>
          </w:p>
        </w:tc>
        <w:tc>
          <w:tcPr>
            <w:tcW w:w="1814" w:type="dxa"/>
            <w:tcBorders>
              <w:top w:val="nil"/>
              <w:left w:val="nil"/>
              <w:bottom w:val="nil"/>
              <w:right w:val="nil"/>
            </w:tcBorders>
          </w:tcPr>
          <w:p w14:paraId="6F79DF5B" w14:textId="77777777" w:rsidR="00471529" w:rsidRDefault="00000000">
            <w:pPr>
              <w:spacing w:line="360" w:lineRule="auto"/>
              <w:jc w:val="center"/>
              <w:rPr>
                <w:rFonts w:ascii="Times New Roman" w:eastAsia="等线" w:hAnsi="Times New Roman" w:cs="Times New Roman"/>
                <w:color w:val="000000"/>
                <w:szCs w:val="21"/>
              </w:rPr>
            </w:pPr>
            <w:proofErr w:type="spellStart"/>
            <w:r>
              <w:rPr>
                <w:rFonts w:ascii="Times New Roman" w:hAnsi="Times New Roman" w:cs="Times New Roman"/>
                <w:szCs w:val="21"/>
              </w:rPr>
              <w:t>pyoverdin</w:t>
            </w:r>
            <w:proofErr w:type="spellEnd"/>
          </w:p>
        </w:tc>
        <w:tc>
          <w:tcPr>
            <w:tcW w:w="1684" w:type="dxa"/>
            <w:tcBorders>
              <w:top w:val="nil"/>
              <w:left w:val="nil"/>
              <w:bottom w:val="nil"/>
              <w:right w:val="nil"/>
            </w:tcBorders>
          </w:tcPr>
          <w:p w14:paraId="317AA27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10</w:t>
            </w:r>
          </w:p>
        </w:tc>
        <w:tc>
          <w:tcPr>
            <w:tcW w:w="1648" w:type="dxa"/>
            <w:tcBorders>
              <w:top w:val="nil"/>
              <w:left w:val="nil"/>
              <w:bottom w:val="nil"/>
              <w:right w:val="nil"/>
            </w:tcBorders>
          </w:tcPr>
          <w:p w14:paraId="48B6909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40</w:t>
            </w:r>
          </w:p>
        </w:tc>
      </w:tr>
      <w:tr w:rsidR="00471529" w14:paraId="6299B0DA" w14:textId="77777777">
        <w:trPr>
          <w:trHeight w:val="340"/>
        </w:trPr>
        <w:tc>
          <w:tcPr>
            <w:tcW w:w="2154" w:type="dxa"/>
            <w:vMerge/>
            <w:tcBorders>
              <w:left w:val="nil"/>
              <w:bottom w:val="single" w:sz="8" w:space="0" w:color="000000"/>
              <w:right w:val="nil"/>
            </w:tcBorders>
            <w:vAlign w:val="center"/>
          </w:tcPr>
          <w:p w14:paraId="247BD892"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3E30189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RRE-containing</w:t>
            </w:r>
          </w:p>
        </w:tc>
        <w:tc>
          <w:tcPr>
            <w:tcW w:w="1474" w:type="dxa"/>
            <w:tcBorders>
              <w:top w:val="nil"/>
              <w:left w:val="nil"/>
              <w:bottom w:val="nil"/>
              <w:right w:val="nil"/>
            </w:tcBorders>
          </w:tcPr>
          <w:p w14:paraId="562BC0CD"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2552370</w:t>
            </w:r>
          </w:p>
        </w:tc>
        <w:tc>
          <w:tcPr>
            <w:tcW w:w="1474" w:type="dxa"/>
            <w:tcBorders>
              <w:top w:val="nil"/>
              <w:left w:val="nil"/>
              <w:bottom w:val="nil"/>
              <w:right w:val="nil"/>
            </w:tcBorders>
          </w:tcPr>
          <w:p w14:paraId="67906CE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2572438</w:t>
            </w:r>
          </w:p>
        </w:tc>
        <w:tc>
          <w:tcPr>
            <w:tcW w:w="1685" w:type="dxa"/>
            <w:tcBorders>
              <w:top w:val="nil"/>
              <w:left w:val="nil"/>
              <w:bottom w:val="nil"/>
              <w:right w:val="nil"/>
            </w:tcBorders>
          </w:tcPr>
          <w:p w14:paraId="2AAF0AD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814" w:type="dxa"/>
            <w:tcBorders>
              <w:top w:val="nil"/>
              <w:left w:val="nil"/>
              <w:bottom w:val="nil"/>
              <w:right w:val="nil"/>
            </w:tcBorders>
          </w:tcPr>
          <w:p w14:paraId="183F14E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84" w:type="dxa"/>
            <w:tcBorders>
              <w:top w:val="nil"/>
              <w:left w:val="nil"/>
              <w:bottom w:val="nil"/>
              <w:right w:val="nil"/>
            </w:tcBorders>
          </w:tcPr>
          <w:p w14:paraId="47108F2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48" w:type="dxa"/>
            <w:tcBorders>
              <w:top w:val="nil"/>
              <w:left w:val="nil"/>
              <w:bottom w:val="nil"/>
              <w:right w:val="nil"/>
            </w:tcBorders>
          </w:tcPr>
          <w:p w14:paraId="61505A0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17</w:t>
            </w:r>
          </w:p>
        </w:tc>
      </w:tr>
      <w:tr w:rsidR="00471529" w14:paraId="0A2E34B2" w14:textId="77777777">
        <w:trPr>
          <w:trHeight w:val="340"/>
        </w:trPr>
        <w:tc>
          <w:tcPr>
            <w:tcW w:w="2154" w:type="dxa"/>
            <w:vMerge/>
            <w:tcBorders>
              <w:left w:val="nil"/>
              <w:bottom w:val="single" w:sz="8" w:space="0" w:color="000000"/>
              <w:right w:val="nil"/>
            </w:tcBorders>
            <w:vAlign w:val="center"/>
          </w:tcPr>
          <w:p w14:paraId="3D2288E4"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70EA69AB" w14:textId="77777777" w:rsidR="00471529" w:rsidRDefault="00000000">
            <w:pPr>
              <w:spacing w:line="360" w:lineRule="auto"/>
              <w:jc w:val="center"/>
              <w:rPr>
                <w:rFonts w:ascii="Times New Roman" w:eastAsia="等线" w:hAnsi="Times New Roman" w:cs="Times New Roman"/>
                <w:color w:val="000000"/>
                <w:szCs w:val="21"/>
              </w:rPr>
            </w:pPr>
            <w:proofErr w:type="spellStart"/>
            <w:r>
              <w:rPr>
                <w:rFonts w:ascii="Times New Roman" w:hAnsi="Times New Roman" w:cs="Times New Roman"/>
                <w:szCs w:val="21"/>
              </w:rPr>
              <w:t>ranthipeptide</w:t>
            </w:r>
            <w:proofErr w:type="spellEnd"/>
          </w:p>
        </w:tc>
        <w:tc>
          <w:tcPr>
            <w:tcW w:w="1474" w:type="dxa"/>
            <w:tcBorders>
              <w:top w:val="nil"/>
              <w:left w:val="nil"/>
              <w:bottom w:val="nil"/>
              <w:right w:val="nil"/>
            </w:tcBorders>
          </w:tcPr>
          <w:p w14:paraId="6BE4B2F7"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3629053</w:t>
            </w:r>
          </w:p>
        </w:tc>
        <w:tc>
          <w:tcPr>
            <w:tcW w:w="1474" w:type="dxa"/>
            <w:tcBorders>
              <w:top w:val="nil"/>
              <w:left w:val="nil"/>
              <w:bottom w:val="nil"/>
              <w:right w:val="nil"/>
            </w:tcBorders>
          </w:tcPr>
          <w:p w14:paraId="3FB292A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3650484</w:t>
            </w:r>
          </w:p>
        </w:tc>
        <w:tc>
          <w:tcPr>
            <w:tcW w:w="1685" w:type="dxa"/>
            <w:tcBorders>
              <w:top w:val="nil"/>
              <w:left w:val="nil"/>
              <w:bottom w:val="nil"/>
              <w:right w:val="nil"/>
            </w:tcBorders>
          </w:tcPr>
          <w:p w14:paraId="40B12AA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BGC0000413</w:t>
            </w:r>
          </w:p>
        </w:tc>
        <w:tc>
          <w:tcPr>
            <w:tcW w:w="1814" w:type="dxa"/>
            <w:tcBorders>
              <w:top w:val="nil"/>
              <w:left w:val="nil"/>
              <w:bottom w:val="nil"/>
              <w:right w:val="nil"/>
            </w:tcBorders>
          </w:tcPr>
          <w:p w14:paraId="67BDE032" w14:textId="77777777" w:rsidR="00471529" w:rsidRDefault="00000000">
            <w:pPr>
              <w:spacing w:line="360" w:lineRule="auto"/>
              <w:jc w:val="center"/>
              <w:rPr>
                <w:rFonts w:ascii="Times New Roman" w:eastAsia="等线" w:hAnsi="Times New Roman" w:cs="Times New Roman"/>
                <w:color w:val="000000"/>
                <w:szCs w:val="21"/>
              </w:rPr>
            </w:pPr>
            <w:proofErr w:type="spellStart"/>
            <w:r>
              <w:rPr>
                <w:rFonts w:ascii="Times New Roman" w:hAnsi="Times New Roman" w:cs="Times New Roman"/>
                <w:szCs w:val="21"/>
              </w:rPr>
              <w:t>pyoverdin</w:t>
            </w:r>
            <w:proofErr w:type="spellEnd"/>
          </w:p>
        </w:tc>
        <w:tc>
          <w:tcPr>
            <w:tcW w:w="1684" w:type="dxa"/>
            <w:tcBorders>
              <w:top w:val="nil"/>
              <w:left w:val="nil"/>
              <w:bottom w:val="nil"/>
              <w:right w:val="nil"/>
            </w:tcBorders>
          </w:tcPr>
          <w:p w14:paraId="7A4EB95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9</w:t>
            </w:r>
          </w:p>
        </w:tc>
        <w:tc>
          <w:tcPr>
            <w:tcW w:w="1648" w:type="dxa"/>
            <w:tcBorders>
              <w:top w:val="nil"/>
              <w:left w:val="nil"/>
              <w:bottom w:val="nil"/>
              <w:right w:val="nil"/>
            </w:tcBorders>
          </w:tcPr>
          <w:p w14:paraId="39298DB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21</w:t>
            </w:r>
          </w:p>
        </w:tc>
      </w:tr>
      <w:tr w:rsidR="00471529" w14:paraId="7749A634" w14:textId="77777777">
        <w:trPr>
          <w:trHeight w:val="340"/>
        </w:trPr>
        <w:tc>
          <w:tcPr>
            <w:tcW w:w="2154" w:type="dxa"/>
            <w:vMerge/>
            <w:tcBorders>
              <w:left w:val="nil"/>
              <w:bottom w:val="single" w:sz="8" w:space="0" w:color="000000"/>
              <w:right w:val="nil"/>
            </w:tcBorders>
            <w:vAlign w:val="center"/>
          </w:tcPr>
          <w:p w14:paraId="29A83F45"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36901328" w14:textId="77777777" w:rsidR="00471529" w:rsidRDefault="00000000">
            <w:pPr>
              <w:spacing w:line="360" w:lineRule="auto"/>
              <w:jc w:val="center"/>
              <w:rPr>
                <w:rFonts w:ascii="Times New Roman" w:eastAsia="等线" w:hAnsi="Times New Roman" w:cs="Times New Roman"/>
                <w:color w:val="000000"/>
                <w:szCs w:val="21"/>
              </w:rPr>
            </w:pPr>
            <w:proofErr w:type="spellStart"/>
            <w:r>
              <w:rPr>
                <w:rFonts w:ascii="Times New Roman" w:hAnsi="Times New Roman" w:cs="Times New Roman"/>
                <w:szCs w:val="21"/>
              </w:rPr>
              <w:t>RiPP</w:t>
            </w:r>
            <w:proofErr w:type="spellEnd"/>
            <w:r>
              <w:rPr>
                <w:rFonts w:ascii="Times New Roman" w:hAnsi="Times New Roman" w:cs="Times New Roman"/>
                <w:szCs w:val="21"/>
              </w:rPr>
              <w:t>-like</w:t>
            </w:r>
          </w:p>
        </w:tc>
        <w:tc>
          <w:tcPr>
            <w:tcW w:w="1474" w:type="dxa"/>
            <w:tcBorders>
              <w:top w:val="nil"/>
              <w:left w:val="nil"/>
              <w:bottom w:val="nil"/>
              <w:right w:val="nil"/>
            </w:tcBorders>
          </w:tcPr>
          <w:p w14:paraId="503BBE3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4247160</w:t>
            </w:r>
          </w:p>
        </w:tc>
        <w:tc>
          <w:tcPr>
            <w:tcW w:w="1474" w:type="dxa"/>
            <w:tcBorders>
              <w:top w:val="nil"/>
              <w:left w:val="nil"/>
              <w:bottom w:val="nil"/>
              <w:right w:val="nil"/>
            </w:tcBorders>
          </w:tcPr>
          <w:p w14:paraId="1EFE532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4257994</w:t>
            </w:r>
          </w:p>
        </w:tc>
        <w:tc>
          <w:tcPr>
            <w:tcW w:w="1685" w:type="dxa"/>
            <w:tcBorders>
              <w:top w:val="nil"/>
              <w:left w:val="nil"/>
              <w:bottom w:val="nil"/>
              <w:right w:val="nil"/>
            </w:tcBorders>
          </w:tcPr>
          <w:p w14:paraId="1DC7BD1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814" w:type="dxa"/>
            <w:tcBorders>
              <w:top w:val="nil"/>
              <w:left w:val="nil"/>
              <w:bottom w:val="nil"/>
              <w:right w:val="nil"/>
            </w:tcBorders>
          </w:tcPr>
          <w:p w14:paraId="12AE7D6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84" w:type="dxa"/>
            <w:tcBorders>
              <w:top w:val="nil"/>
              <w:left w:val="nil"/>
              <w:bottom w:val="nil"/>
              <w:right w:val="nil"/>
            </w:tcBorders>
          </w:tcPr>
          <w:p w14:paraId="4B0E25B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48" w:type="dxa"/>
            <w:tcBorders>
              <w:top w:val="nil"/>
              <w:left w:val="nil"/>
              <w:bottom w:val="nil"/>
              <w:right w:val="nil"/>
            </w:tcBorders>
          </w:tcPr>
          <w:p w14:paraId="78C9F85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9</w:t>
            </w:r>
          </w:p>
        </w:tc>
      </w:tr>
      <w:tr w:rsidR="00471529" w14:paraId="43966AB0" w14:textId="77777777">
        <w:trPr>
          <w:trHeight w:val="340"/>
        </w:trPr>
        <w:tc>
          <w:tcPr>
            <w:tcW w:w="2154" w:type="dxa"/>
            <w:vMerge/>
            <w:tcBorders>
              <w:left w:val="nil"/>
              <w:bottom w:val="single" w:sz="8" w:space="0" w:color="000000"/>
              <w:right w:val="nil"/>
            </w:tcBorders>
            <w:vAlign w:val="center"/>
          </w:tcPr>
          <w:p w14:paraId="5F7A0F80"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68B1900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T1PKS</w:t>
            </w:r>
          </w:p>
        </w:tc>
        <w:tc>
          <w:tcPr>
            <w:tcW w:w="1474" w:type="dxa"/>
            <w:tcBorders>
              <w:top w:val="nil"/>
              <w:left w:val="nil"/>
              <w:bottom w:val="nil"/>
              <w:right w:val="nil"/>
            </w:tcBorders>
          </w:tcPr>
          <w:p w14:paraId="7EEEE69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4851143</w:t>
            </w:r>
          </w:p>
        </w:tc>
        <w:tc>
          <w:tcPr>
            <w:tcW w:w="1474" w:type="dxa"/>
            <w:tcBorders>
              <w:top w:val="nil"/>
              <w:left w:val="nil"/>
              <w:bottom w:val="nil"/>
              <w:right w:val="nil"/>
            </w:tcBorders>
          </w:tcPr>
          <w:p w14:paraId="2E10C90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4898643</w:t>
            </w:r>
          </w:p>
        </w:tc>
        <w:tc>
          <w:tcPr>
            <w:tcW w:w="1685" w:type="dxa"/>
            <w:tcBorders>
              <w:top w:val="nil"/>
              <w:left w:val="nil"/>
              <w:bottom w:val="nil"/>
              <w:right w:val="nil"/>
            </w:tcBorders>
          </w:tcPr>
          <w:p w14:paraId="54FC145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BGC0000773</w:t>
            </w:r>
          </w:p>
        </w:tc>
        <w:tc>
          <w:tcPr>
            <w:tcW w:w="1814" w:type="dxa"/>
            <w:tcBorders>
              <w:top w:val="nil"/>
              <w:left w:val="nil"/>
              <w:bottom w:val="nil"/>
              <w:right w:val="nil"/>
            </w:tcBorders>
          </w:tcPr>
          <w:p w14:paraId="65A5137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lipopolysaccharide</w:t>
            </w:r>
          </w:p>
        </w:tc>
        <w:tc>
          <w:tcPr>
            <w:tcW w:w="1684" w:type="dxa"/>
            <w:tcBorders>
              <w:top w:val="nil"/>
              <w:left w:val="nil"/>
              <w:bottom w:val="nil"/>
              <w:right w:val="nil"/>
            </w:tcBorders>
          </w:tcPr>
          <w:p w14:paraId="08E7949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25</w:t>
            </w:r>
          </w:p>
        </w:tc>
        <w:tc>
          <w:tcPr>
            <w:tcW w:w="1648" w:type="dxa"/>
            <w:tcBorders>
              <w:top w:val="nil"/>
              <w:left w:val="nil"/>
              <w:bottom w:val="nil"/>
              <w:right w:val="nil"/>
            </w:tcBorders>
          </w:tcPr>
          <w:p w14:paraId="373D3E9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33</w:t>
            </w:r>
          </w:p>
        </w:tc>
      </w:tr>
      <w:tr w:rsidR="00471529" w14:paraId="5CFF4EE1" w14:textId="77777777">
        <w:trPr>
          <w:trHeight w:val="340"/>
        </w:trPr>
        <w:tc>
          <w:tcPr>
            <w:tcW w:w="2154" w:type="dxa"/>
            <w:vMerge/>
            <w:tcBorders>
              <w:left w:val="nil"/>
              <w:bottom w:val="single" w:sz="8" w:space="0" w:color="000000"/>
              <w:right w:val="nil"/>
            </w:tcBorders>
            <w:vAlign w:val="center"/>
          </w:tcPr>
          <w:p w14:paraId="7C87C13E"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7F0D698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NAGGN</w:t>
            </w:r>
          </w:p>
        </w:tc>
        <w:tc>
          <w:tcPr>
            <w:tcW w:w="1474" w:type="dxa"/>
            <w:tcBorders>
              <w:top w:val="nil"/>
              <w:left w:val="nil"/>
              <w:bottom w:val="nil"/>
              <w:right w:val="nil"/>
            </w:tcBorders>
          </w:tcPr>
          <w:p w14:paraId="40961937"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4926155</w:t>
            </w:r>
          </w:p>
        </w:tc>
        <w:tc>
          <w:tcPr>
            <w:tcW w:w="1474" w:type="dxa"/>
            <w:tcBorders>
              <w:top w:val="nil"/>
              <w:left w:val="nil"/>
              <w:bottom w:val="nil"/>
              <w:right w:val="nil"/>
            </w:tcBorders>
          </w:tcPr>
          <w:p w14:paraId="59521D3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4941047</w:t>
            </w:r>
          </w:p>
        </w:tc>
        <w:tc>
          <w:tcPr>
            <w:tcW w:w="1685" w:type="dxa"/>
            <w:tcBorders>
              <w:top w:val="nil"/>
              <w:left w:val="nil"/>
              <w:bottom w:val="nil"/>
              <w:right w:val="nil"/>
            </w:tcBorders>
          </w:tcPr>
          <w:p w14:paraId="3E3860D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814" w:type="dxa"/>
            <w:tcBorders>
              <w:top w:val="nil"/>
              <w:left w:val="nil"/>
              <w:bottom w:val="nil"/>
              <w:right w:val="nil"/>
            </w:tcBorders>
          </w:tcPr>
          <w:p w14:paraId="13E8BE80"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84" w:type="dxa"/>
            <w:tcBorders>
              <w:top w:val="nil"/>
              <w:left w:val="nil"/>
              <w:bottom w:val="nil"/>
              <w:right w:val="nil"/>
            </w:tcBorders>
          </w:tcPr>
          <w:p w14:paraId="62E1018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48" w:type="dxa"/>
            <w:tcBorders>
              <w:top w:val="nil"/>
              <w:left w:val="nil"/>
              <w:bottom w:val="nil"/>
              <w:right w:val="nil"/>
            </w:tcBorders>
          </w:tcPr>
          <w:p w14:paraId="6D046764"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12</w:t>
            </w:r>
          </w:p>
        </w:tc>
      </w:tr>
      <w:tr w:rsidR="00471529" w14:paraId="14F1790D" w14:textId="77777777">
        <w:trPr>
          <w:trHeight w:val="340"/>
        </w:trPr>
        <w:tc>
          <w:tcPr>
            <w:tcW w:w="2154" w:type="dxa"/>
            <w:vMerge/>
            <w:tcBorders>
              <w:left w:val="nil"/>
              <w:bottom w:val="single" w:sz="8" w:space="0" w:color="000000"/>
              <w:right w:val="nil"/>
            </w:tcBorders>
            <w:vAlign w:val="center"/>
          </w:tcPr>
          <w:p w14:paraId="4981E8C7"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single" w:sz="8" w:space="0" w:color="000000"/>
              <w:right w:val="nil"/>
            </w:tcBorders>
          </w:tcPr>
          <w:p w14:paraId="17CBE85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thiopeptide</w:t>
            </w:r>
          </w:p>
        </w:tc>
        <w:tc>
          <w:tcPr>
            <w:tcW w:w="1474" w:type="dxa"/>
            <w:tcBorders>
              <w:top w:val="nil"/>
              <w:left w:val="nil"/>
              <w:bottom w:val="single" w:sz="8" w:space="0" w:color="000000"/>
              <w:right w:val="nil"/>
            </w:tcBorders>
          </w:tcPr>
          <w:p w14:paraId="049E425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5730048</w:t>
            </w:r>
          </w:p>
        </w:tc>
        <w:tc>
          <w:tcPr>
            <w:tcW w:w="1474" w:type="dxa"/>
            <w:tcBorders>
              <w:top w:val="nil"/>
              <w:left w:val="nil"/>
              <w:bottom w:val="single" w:sz="8" w:space="0" w:color="000000"/>
              <w:right w:val="nil"/>
            </w:tcBorders>
          </w:tcPr>
          <w:p w14:paraId="466364BC"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5754634</w:t>
            </w:r>
          </w:p>
        </w:tc>
        <w:tc>
          <w:tcPr>
            <w:tcW w:w="1685" w:type="dxa"/>
            <w:tcBorders>
              <w:top w:val="nil"/>
              <w:left w:val="nil"/>
              <w:bottom w:val="single" w:sz="8" w:space="0" w:color="000000"/>
              <w:right w:val="nil"/>
            </w:tcBorders>
          </w:tcPr>
          <w:p w14:paraId="6E1C606D"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814" w:type="dxa"/>
            <w:tcBorders>
              <w:top w:val="nil"/>
              <w:left w:val="nil"/>
              <w:bottom w:val="single" w:sz="8" w:space="0" w:color="000000"/>
              <w:right w:val="nil"/>
            </w:tcBorders>
          </w:tcPr>
          <w:p w14:paraId="51AC378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84" w:type="dxa"/>
            <w:tcBorders>
              <w:top w:val="nil"/>
              <w:left w:val="nil"/>
              <w:bottom w:val="single" w:sz="8" w:space="0" w:color="000000"/>
              <w:right w:val="nil"/>
            </w:tcBorders>
          </w:tcPr>
          <w:p w14:paraId="56DAE852"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w:t>
            </w:r>
          </w:p>
        </w:tc>
        <w:tc>
          <w:tcPr>
            <w:tcW w:w="1648" w:type="dxa"/>
            <w:tcBorders>
              <w:top w:val="nil"/>
              <w:left w:val="nil"/>
              <w:bottom w:val="single" w:sz="8" w:space="0" w:color="000000"/>
              <w:right w:val="nil"/>
            </w:tcBorders>
          </w:tcPr>
          <w:p w14:paraId="270F670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hAnsi="Times New Roman" w:cs="Times New Roman"/>
                <w:szCs w:val="21"/>
              </w:rPr>
              <w:t>25</w:t>
            </w:r>
          </w:p>
        </w:tc>
      </w:tr>
    </w:tbl>
    <w:p w14:paraId="0EBDAFF5" w14:textId="77777777" w:rsidR="00471529" w:rsidRDefault="00000000">
      <w:pPr>
        <w:spacing w:line="360" w:lineRule="auto"/>
        <w:rPr>
          <w:rFonts w:ascii="Times New Roman" w:hAnsi="Times New Roman" w:cs="Times New Roman"/>
        </w:rPr>
      </w:pPr>
      <w:r>
        <w:rPr>
          <w:rFonts w:ascii="Times New Roman" w:hAnsi="Times New Roman" w:cs="Times New Roman"/>
        </w:rPr>
        <w:br w:type="page"/>
      </w:r>
    </w:p>
    <w:p w14:paraId="1E140161" w14:textId="77777777" w:rsidR="00471529" w:rsidRDefault="00000000">
      <w:pPr>
        <w:widowControl/>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S6.</w:t>
      </w:r>
      <w:r>
        <w:rPr>
          <w:rFonts w:ascii="Times New Roman" w:hAnsi="Times New Roman" w:cs="Times New Roman"/>
          <w:sz w:val="24"/>
          <w:szCs w:val="28"/>
        </w:rPr>
        <w:t xml:space="preserve"> The table of secondary metabolites synthesis gene clusters in </w:t>
      </w:r>
      <w:r>
        <w:rPr>
          <w:rFonts w:ascii="Times New Roman" w:eastAsia="等线" w:hAnsi="Times New Roman" w:cs="Times New Roman"/>
          <w:i/>
          <w:iCs/>
          <w:color w:val="000000"/>
          <w:sz w:val="24"/>
          <w:szCs w:val="24"/>
        </w:rPr>
        <w:t>Methylobacterium</w:t>
      </w:r>
      <w:r>
        <w:rPr>
          <w:rFonts w:ascii="Times New Roman" w:eastAsia="等线" w:hAnsi="Times New Roman" w:cs="Times New Roman"/>
          <w:color w:val="000000"/>
          <w:sz w:val="24"/>
          <w:szCs w:val="24"/>
        </w:rPr>
        <w:t>_sp1</w:t>
      </w:r>
      <w:r>
        <w:rPr>
          <w:rFonts w:ascii="Times New Roman" w:hAnsi="Times New Roman" w:cs="Times New Roman"/>
          <w:sz w:val="24"/>
          <w:szCs w:val="28"/>
        </w:rPr>
        <w:t>.</w:t>
      </w:r>
    </w:p>
    <w:tbl>
      <w:tblPr>
        <w:tblW w:w="13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757"/>
        <w:gridCol w:w="1474"/>
        <w:gridCol w:w="1474"/>
        <w:gridCol w:w="1685"/>
        <w:gridCol w:w="1814"/>
        <w:gridCol w:w="1684"/>
        <w:gridCol w:w="1648"/>
      </w:tblGrid>
      <w:tr w:rsidR="00471529" w14:paraId="55323447" w14:textId="77777777">
        <w:trPr>
          <w:trHeight w:val="454"/>
        </w:trPr>
        <w:tc>
          <w:tcPr>
            <w:tcW w:w="2154" w:type="dxa"/>
            <w:tcBorders>
              <w:top w:val="single" w:sz="12" w:space="0" w:color="auto"/>
              <w:left w:val="nil"/>
              <w:bottom w:val="single" w:sz="8" w:space="0" w:color="auto"/>
              <w:right w:val="nil"/>
            </w:tcBorders>
            <w:vAlign w:val="center"/>
          </w:tcPr>
          <w:p w14:paraId="0085A2A2" w14:textId="77777777" w:rsidR="00471529" w:rsidRDefault="00000000">
            <w:pPr>
              <w:spacing w:line="360" w:lineRule="auto"/>
              <w:jc w:val="center"/>
              <w:rPr>
                <w:rFonts w:ascii="Times New Roman" w:eastAsia="黑体" w:hAnsi="Times New Roman" w:cs="Times New Roman"/>
                <w:szCs w:val="21"/>
              </w:rPr>
            </w:pPr>
            <w:r>
              <w:rPr>
                <w:rFonts w:ascii="Times New Roman" w:eastAsia="黑体" w:hAnsi="Times New Roman" w:cs="Times New Roman"/>
                <w:szCs w:val="21"/>
              </w:rPr>
              <w:t>Bacteria</w:t>
            </w:r>
          </w:p>
        </w:tc>
        <w:tc>
          <w:tcPr>
            <w:tcW w:w="1757" w:type="dxa"/>
            <w:tcBorders>
              <w:top w:val="single" w:sz="12" w:space="0" w:color="auto"/>
              <w:left w:val="nil"/>
              <w:bottom w:val="single" w:sz="8" w:space="0" w:color="auto"/>
              <w:right w:val="nil"/>
            </w:tcBorders>
            <w:vAlign w:val="center"/>
          </w:tcPr>
          <w:p w14:paraId="21BCE3C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Type</w:t>
            </w:r>
          </w:p>
        </w:tc>
        <w:tc>
          <w:tcPr>
            <w:tcW w:w="1474" w:type="dxa"/>
            <w:tcBorders>
              <w:top w:val="single" w:sz="12" w:space="0" w:color="auto"/>
              <w:left w:val="nil"/>
              <w:bottom w:val="single" w:sz="8" w:space="0" w:color="auto"/>
              <w:right w:val="nil"/>
            </w:tcBorders>
            <w:vAlign w:val="center"/>
          </w:tcPr>
          <w:p w14:paraId="667A918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Start</w:t>
            </w:r>
          </w:p>
        </w:tc>
        <w:tc>
          <w:tcPr>
            <w:tcW w:w="1474" w:type="dxa"/>
            <w:tcBorders>
              <w:top w:val="single" w:sz="12" w:space="0" w:color="auto"/>
              <w:left w:val="nil"/>
              <w:bottom w:val="single" w:sz="8" w:space="0" w:color="auto"/>
              <w:right w:val="nil"/>
            </w:tcBorders>
            <w:vAlign w:val="center"/>
          </w:tcPr>
          <w:p w14:paraId="072E87C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End</w:t>
            </w:r>
          </w:p>
        </w:tc>
        <w:tc>
          <w:tcPr>
            <w:tcW w:w="1685" w:type="dxa"/>
            <w:tcBorders>
              <w:top w:val="single" w:sz="12" w:space="0" w:color="auto"/>
              <w:left w:val="nil"/>
              <w:bottom w:val="single" w:sz="8" w:space="0" w:color="auto"/>
              <w:right w:val="nil"/>
            </w:tcBorders>
            <w:vAlign w:val="center"/>
          </w:tcPr>
          <w:p w14:paraId="1F1CC733" w14:textId="77777777" w:rsidR="00471529" w:rsidRDefault="00000000">
            <w:pPr>
              <w:spacing w:line="360" w:lineRule="auto"/>
              <w:jc w:val="center"/>
              <w:rPr>
                <w:rFonts w:ascii="Times New Roman" w:hAnsi="Times New Roman" w:cs="Times New Roman"/>
                <w:szCs w:val="21"/>
              </w:rPr>
            </w:pPr>
            <w:proofErr w:type="spellStart"/>
            <w:r>
              <w:rPr>
                <w:rFonts w:ascii="Times New Roman" w:hAnsi="Times New Roman" w:cs="Times New Roman"/>
                <w:szCs w:val="21"/>
              </w:rPr>
              <w:t>MIBiG</w:t>
            </w:r>
            <w:proofErr w:type="spellEnd"/>
            <w:r>
              <w:rPr>
                <w:rFonts w:ascii="Times New Roman" w:hAnsi="Times New Roman" w:cs="Times New Roman"/>
                <w:szCs w:val="21"/>
              </w:rPr>
              <w:t xml:space="preserve"> accession</w:t>
            </w:r>
          </w:p>
        </w:tc>
        <w:tc>
          <w:tcPr>
            <w:tcW w:w="1814" w:type="dxa"/>
            <w:tcBorders>
              <w:top w:val="single" w:sz="12" w:space="0" w:color="auto"/>
              <w:left w:val="nil"/>
              <w:bottom w:val="single" w:sz="8" w:space="0" w:color="auto"/>
              <w:right w:val="nil"/>
            </w:tcBorders>
            <w:vAlign w:val="center"/>
          </w:tcPr>
          <w:p w14:paraId="2E12AF7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Similar Cluster</w:t>
            </w:r>
          </w:p>
        </w:tc>
        <w:tc>
          <w:tcPr>
            <w:tcW w:w="1684" w:type="dxa"/>
            <w:tcBorders>
              <w:top w:val="single" w:sz="12" w:space="0" w:color="auto"/>
              <w:left w:val="nil"/>
              <w:bottom w:val="single" w:sz="8" w:space="0" w:color="auto"/>
              <w:right w:val="nil"/>
            </w:tcBorders>
            <w:vAlign w:val="center"/>
          </w:tcPr>
          <w:p w14:paraId="1DE1599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Similarity (%)</w:t>
            </w:r>
          </w:p>
        </w:tc>
        <w:tc>
          <w:tcPr>
            <w:tcW w:w="1648" w:type="dxa"/>
            <w:tcBorders>
              <w:top w:val="single" w:sz="12" w:space="0" w:color="auto"/>
              <w:left w:val="nil"/>
              <w:bottom w:val="single" w:sz="8" w:space="0" w:color="auto"/>
              <w:right w:val="nil"/>
            </w:tcBorders>
            <w:vAlign w:val="center"/>
          </w:tcPr>
          <w:p w14:paraId="6935EF8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Gene No.</w:t>
            </w:r>
          </w:p>
        </w:tc>
      </w:tr>
      <w:tr w:rsidR="00471529" w14:paraId="45766ABF" w14:textId="77777777">
        <w:trPr>
          <w:trHeight w:val="340"/>
        </w:trPr>
        <w:tc>
          <w:tcPr>
            <w:tcW w:w="2154" w:type="dxa"/>
            <w:vMerge w:val="restart"/>
            <w:tcBorders>
              <w:top w:val="single" w:sz="8" w:space="0" w:color="auto"/>
              <w:left w:val="nil"/>
              <w:bottom w:val="single" w:sz="12" w:space="0" w:color="auto"/>
              <w:right w:val="nil"/>
            </w:tcBorders>
            <w:vAlign w:val="center"/>
          </w:tcPr>
          <w:p w14:paraId="020C70C6"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i/>
                <w:iCs/>
                <w:color w:val="000000"/>
                <w:szCs w:val="21"/>
              </w:rPr>
              <w:t>Methylobacterium</w:t>
            </w:r>
            <w:r>
              <w:rPr>
                <w:rFonts w:ascii="Times New Roman" w:eastAsia="等线" w:hAnsi="Times New Roman" w:cs="Times New Roman"/>
                <w:color w:val="000000"/>
                <w:szCs w:val="21"/>
              </w:rPr>
              <w:t>_sp1</w:t>
            </w:r>
          </w:p>
        </w:tc>
        <w:tc>
          <w:tcPr>
            <w:tcW w:w="1757" w:type="dxa"/>
            <w:tcBorders>
              <w:top w:val="single" w:sz="8" w:space="0" w:color="000000"/>
              <w:left w:val="nil"/>
              <w:bottom w:val="nil"/>
              <w:right w:val="nil"/>
            </w:tcBorders>
          </w:tcPr>
          <w:p w14:paraId="324EFB6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terpene</w:t>
            </w:r>
          </w:p>
        </w:tc>
        <w:tc>
          <w:tcPr>
            <w:tcW w:w="1474" w:type="dxa"/>
            <w:tcBorders>
              <w:top w:val="single" w:sz="8" w:space="0" w:color="000000"/>
              <w:left w:val="nil"/>
              <w:bottom w:val="nil"/>
              <w:right w:val="nil"/>
            </w:tcBorders>
          </w:tcPr>
          <w:p w14:paraId="1B0F5CF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653153</w:t>
            </w:r>
          </w:p>
        </w:tc>
        <w:tc>
          <w:tcPr>
            <w:tcW w:w="1474" w:type="dxa"/>
            <w:tcBorders>
              <w:top w:val="single" w:sz="8" w:space="0" w:color="000000"/>
              <w:left w:val="nil"/>
              <w:bottom w:val="nil"/>
              <w:right w:val="nil"/>
            </w:tcBorders>
          </w:tcPr>
          <w:p w14:paraId="376F13B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674227</w:t>
            </w:r>
          </w:p>
        </w:tc>
        <w:tc>
          <w:tcPr>
            <w:tcW w:w="1685" w:type="dxa"/>
            <w:tcBorders>
              <w:top w:val="single" w:sz="8" w:space="0" w:color="000000"/>
              <w:left w:val="nil"/>
              <w:bottom w:val="nil"/>
              <w:right w:val="nil"/>
            </w:tcBorders>
          </w:tcPr>
          <w:p w14:paraId="3B549AC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BGC0000647</w:t>
            </w:r>
          </w:p>
        </w:tc>
        <w:tc>
          <w:tcPr>
            <w:tcW w:w="1814" w:type="dxa"/>
            <w:tcBorders>
              <w:top w:val="single" w:sz="8" w:space="0" w:color="000000"/>
              <w:left w:val="nil"/>
              <w:bottom w:val="nil"/>
              <w:right w:val="nil"/>
            </w:tcBorders>
          </w:tcPr>
          <w:p w14:paraId="37C3178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carotenoid</w:t>
            </w:r>
          </w:p>
        </w:tc>
        <w:tc>
          <w:tcPr>
            <w:tcW w:w="1684" w:type="dxa"/>
            <w:tcBorders>
              <w:top w:val="single" w:sz="8" w:space="0" w:color="000000"/>
              <w:left w:val="nil"/>
              <w:bottom w:val="nil"/>
              <w:right w:val="nil"/>
            </w:tcBorders>
          </w:tcPr>
          <w:p w14:paraId="5269FE8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100</w:t>
            </w:r>
          </w:p>
        </w:tc>
        <w:tc>
          <w:tcPr>
            <w:tcW w:w="1648" w:type="dxa"/>
            <w:tcBorders>
              <w:top w:val="single" w:sz="8" w:space="0" w:color="000000"/>
              <w:left w:val="nil"/>
              <w:bottom w:val="nil"/>
              <w:right w:val="nil"/>
            </w:tcBorders>
          </w:tcPr>
          <w:p w14:paraId="4755E67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21</w:t>
            </w:r>
          </w:p>
        </w:tc>
      </w:tr>
      <w:tr w:rsidR="00471529" w14:paraId="1F469C80" w14:textId="77777777">
        <w:trPr>
          <w:trHeight w:val="340"/>
        </w:trPr>
        <w:tc>
          <w:tcPr>
            <w:tcW w:w="2154" w:type="dxa"/>
            <w:vMerge/>
            <w:tcBorders>
              <w:left w:val="nil"/>
              <w:bottom w:val="single" w:sz="12" w:space="0" w:color="auto"/>
              <w:right w:val="nil"/>
            </w:tcBorders>
            <w:vAlign w:val="center"/>
          </w:tcPr>
          <w:p w14:paraId="6AE9F83A"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2CE4B6E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NRPS</w:t>
            </w:r>
          </w:p>
        </w:tc>
        <w:tc>
          <w:tcPr>
            <w:tcW w:w="1474" w:type="dxa"/>
            <w:tcBorders>
              <w:top w:val="nil"/>
              <w:left w:val="nil"/>
              <w:bottom w:val="nil"/>
              <w:right w:val="nil"/>
            </w:tcBorders>
          </w:tcPr>
          <w:p w14:paraId="5D4A13E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244799</w:t>
            </w:r>
          </w:p>
        </w:tc>
        <w:tc>
          <w:tcPr>
            <w:tcW w:w="1474" w:type="dxa"/>
            <w:tcBorders>
              <w:top w:val="nil"/>
              <w:left w:val="nil"/>
              <w:bottom w:val="nil"/>
              <w:right w:val="nil"/>
            </w:tcBorders>
          </w:tcPr>
          <w:p w14:paraId="7DEBAB5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288336</w:t>
            </w:r>
          </w:p>
        </w:tc>
        <w:tc>
          <w:tcPr>
            <w:tcW w:w="1685" w:type="dxa"/>
            <w:tcBorders>
              <w:top w:val="nil"/>
              <w:left w:val="nil"/>
              <w:bottom w:val="nil"/>
              <w:right w:val="nil"/>
            </w:tcBorders>
          </w:tcPr>
          <w:p w14:paraId="5519EC1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5E824DE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47F4395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7F4899F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33</w:t>
            </w:r>
          </w:p>
        </w:tc>
      </w:tr>
      <w:tr w:rsidR="00471529" w14:paraId="32B447C6" w14:textId="77777777">
        <w:trPr>
          <w:trHeight w:val="340"/>
        </w:trPr>
        <w:tc>
          <w:tcPr>
            <w:tcW w:w="2154" w:type="dxa"/>
            <w:vMerge/>
            <w:tcBorders>
              <w:left w:val="nil"/>
              <w:bottom w:val="single" w:sz="12" w:space="0" w:color="auto"/>
              <w:right w:val="nil"/>
            </w:tcBorders>
            <w:vAlign w:val="center"/>
          </w:tcPr>
          <w:p w14:paraId="72EEAE58"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49A349A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hserlactone</w:t>
            </w:r>
          </w:p>
        </w:tc>
        <w:tc>
          <w:tcPr>
            <w:tcW w:w="1474" w:type="dxa"/>
            <w:tcBorders>
              <w:top w:val="nil"/>
              <w:left w:val="nil"/>
              <w:bottom w:val="nil"/>
              <w:right w:val="nil"/>
            </w:tcBorders>
          </w:tcPr>
          <w:p w14:paraId="184C491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399924</w:t>
            </w:r>
          </w:p>
        </w:tc>
        <w:tc>
          <w:tcPr>
            <w:tcW w:w="1474" w:type="dxa"/>
            <w:tcBorders>
              <w:top w:val="nil"/>
              <w:left w:val="nil"/>
              <w:bottom w:val="nil"/>
              <w:right w:val="nil"/>
            </w:tcBorders>
          </w:tcPr>
          <w:p w14:paraId="419C68D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420560</w:t>
            </w:r>
          </w:p>
        </w:tc>
        <w:tc>
          <w:tcPr>
            <w:tcW w:w="1685" w:type="dxa"/>
            <w:tcBorders>
              <w:top w:val="nil"/>
              <w:left w:val="nil"/>
              <w:bottom w:val="nil"/>
              <w:right w:val="nil"/>
            </w:tcBorders>
          </w:tcPr>
          <w:p w14:paraId="286E10F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218E857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73A1F71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27924D8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16</w:t>
            </w:r>
          </w:p>
        </w:tc>
      </w:tr>
      <w:tr w:rsidR="00471529" w14:paraId="6ADE730A" w14:textId="77777777">
        <w:trPr>
          <w:trHeight w:val="340"/>
        </w:trPr>
        <w:tc>
          <w:tcPr>
            <w:tcW w:w="2154" w:type="dxa"/>
            <w:vMerge/>
            <w:tcBorders>
              <w:left w:val="nil"/>
              <w:bottom w:val="single" w:sz="12" w:space="0" w:color="auto"/>
              <w:right w:val="nil"/>
            </w:tcBorders>
            <w:vAlign w:val="center"/>
          </w:tcPr>
          <w:p w14:paraId="49323EB6"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279CA66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terpene</w:t>
            </w:r>
          </w:p>
        </w:tc>
        <w:tc>
          <w:tcPr>
            <w:tcW w:w="1474" w:type="dxa"/>
            <w:tcBorders>
              <w:top w:val="nil"/>
              <w:left w:val="nil"/>
              <w:bottom w:val="nil"/>
              <w:right w:val="nil"/>
            </w:tcBorders>
          </w:tcPr>
          <w:p w14:paraId="3FA8B8E6"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70339</w:t>
            </w:r>
          </w:p>
        </w:tc>
        <w:tc>
          <w:tcPr>
            <w:tcW w:w="1474" w:type="dxa"/>
            <w:tcBorders>
              <w:top w:val="nil"/>
              <w:left w:val="nil"/>
              <w:bottom w:val="nil"/>
              <w:right w:val="nil"/>
            </w:tcBorders>
          </w:tcPr>
          <w:p w14:paraId="46CA369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91236</w:t>
            </w:r>
          </w:p>
        </w:tc>
        <w:tc>
          <w:tcPr>
            <w:tcW w:w="1685" w:type="dxa"/>
            <w:tcBorders>
              <w:top w:val="nil"/>
              <w:left w:val="nil"/>
              <w:bottom w:val="nil"/>
              <w:right w:val="nil"/>
            </w:tcBorders>
          </w:tcPr>
          <w:p w14:paraId="569CC29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56E26AE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472D164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27BBCE1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20</w:t>
            </w:r>
          </w:p>
        </w:tc>
      </w:tr>
      <w:tr w:rsidR="00471529" w14:paraId="46A4D875" w14:textId="77777777">
        <w:trPr>
          <w:trHeight w:val="340"/>
        </w:trPr>
        <w:tc>
          <w:tcPr>
            <w:tcW w:w="2154" w:type="dxa"/>
            <w:vMerge/>
            <w:tcBorders>
              <w:left w:val="nil"/>
              <w:bottom w:val="single" w:sz="12" w:space="0" w:color="auto"/>
              <w:right w:val="nil"/>
            </w:tcBorders>
            <w:vAlign w:val="center"/>
          </w:tcPr>
          <w:p w14:paraId="72F03E4A"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0592A03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NAPAA</w:t>
            </w:r>
          </w:p>
        </w:tc>
        <w:tc>
          <w:tcPr>
            <w:tcW w:w="1474" w:type="dxa"/>
            <w:tcBorders>
              <w:top w:val="nil"/>
              <w:left w:val="nil"/>
              <w:bottom w:val="nil"/>
              <w:right w:val="nil"/>
            </w:tcBorders>
          </w:tcPr>
          <w:p w14:paraId="6519E14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376671</w:t>
            </w:r>
          </w:p>
        </w:tc>
        <w:tc>
          <w:tcPr>
            <w:tcW w:w="1474" w:type="dxa"/>
            <w:tcBorders>
              <w:top w:val="nil"/>
              <w:left w:val="nil"/>
              <w:bottom w:val="nil"/>
              <w:right w:val="nil"/>
            </w:tcBorders>
          </w:tcPr>
          <w:p w14:paraId="2CE5606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410871</w:t>
            </w:r>
          </w:p>
        </w:tc>
        <w:tc>
          <w:tcPr>
            <w:tcW w:w="1685" w:type="dxa"/>
            <w:tcBorders>
              <w:top w:val="nil"/>
              <w:left w:val="nil"/>
              <w:bottom w:val="nil"/>
              <w:right w:val="nil"/>
            </w:tcBorders>
          </w:tcPr>
          <w:p w14:paraId="76B10F6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01AA0D5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73CF5BF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7507C88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32</w:t>
            </w:r>
          </w:p>
        </w:tc>
      </w:tr>
      <w:tr w:rsidR="00471529" w14:paraId="3A3D93C7" w14:textId="77777777">
        <w:trPr>
          <w:trHeight w:val="340"/>
        </w:trPr>
        <w:tc>
          <w:tcPr>
            <w:tcW w:w="2154" w:type="dxa"/>
            <w:vMerge/>
            <w:tcBorders>
              <w:left w:val="nil"/>
              <w:bottom w:val="single" w:sz="12" w:space="0" w:color="auto"/>
              <w:right w:val="nil"/>
            </w:tcBorders>
            <w:vAlign w:val="center"/>
          </w:tcPr>
          <w:p w14:paraId="3D10CC42"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4878CBF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T1PKS</w:t>
            </w:r>
          </w:p>
        </w:tc>
        <w:tc>
          <w:tcPr>
            <w:tcW w:w="1474" w:type="dxa"/>
            <w:tcBorders>
              <w:top w:val="nil"/>
              <w:left w:val="nil"/>
              <w:bottom w:val="nil"/>
              <w:right w:val="nil"/>
            </w:tcBorders>
          </w:tcPr>
          <w:p w14:paraId="5D35308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227368</w:t>
            </w:r>
          </w:p>
        </w:tc>
        <w:tc>
          <w:tcPr>
            <w:tcW w:w="1474" w:type="dxa"/>
            <w:tcBorders>
              <w:top w:val="nil"/>
              <w:left w:val="nil"/>
              <w:bottom w:val="nil"/>
              <w:right w:val="nil"/>
            </w:tcBorders>
          </w:tcPr>
          <w:p w14:paraId="5C93593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264748</w:t>
            </w:r>
          </w:p>
        </w:tc>
        <w:tc>
          <w:tcPr>
            <w:tcW w:w="1685" w:type="dxa"/>
            <w:tcBorders>
              <w:top w:val="nil"/>
              <w:left w:val="nil"/>
              <w:bottom w:val="nil"/>
              <w:right w:val="nil"/>
            </w:tcBorders>
          </w:tcPr>
          <w:p w14:paraId="1BD1CF2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5B05961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005ABDC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3430411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28</w:t>
            </w:r>
          </w:p>
        </w:tc>
      </w:tr>
      <w:tr w:rsidR="00471529" w14:paraId="0E61C603" w14:textId="77777777">
        <w:trPr>
          <w:trHeight w:val="340"/>
        </w:trPr>
        <w:tc>
          <w:tcPr>
            <w:tcW w:w="2154" w:type="dxa"/>
            <w:vMerge/>
            <w:tcBorders>
              <w:left w:val="nil"/>
              <w:bottom w:val="single" w:sz="12" w:space="0" w:color="auto"/>
              <w:right w:val="nil"/>
            </w:tcBorders>
            <w:vAlign w:val="center"/>
          </w:tcPr>
          <w:p w14:paraId="675B16A7"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2C80EAF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redox-cofactor</w:t>
            </w:r>
          </w:p>
        </w:tc>
        <w:tc>
          <w:tcPr>
            <w:tcW w:w="1474" w:type="dxa"/>
            <w:tcBorders>
              <w:top w:val="nil"/>
              <w:left w:val="nil"/>
              <w:bottom w:val="nil"/>
              <w:right w:val="nil"/>
            </w:tcBorders>
          </w:tcPr>
          <w:p w14:paraId="68C21D6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131252</w:t>
            </w:r>
          </w:p>
        </w:tc>
        <w:tc>
          <w:tcPr>
            <w:tcW w:w="1474" w:type="dxa"/>
            <w:tcBorders>
              <w:top w:val="nil"/>
              <w:left w:val="nil"/>
              <w:bottom w:val="nil"/>
              <w:right w:val="nil"/>
            </w:tcBorders>
          </w:tcPr>
          <w:p w14:paraId="79EFE4C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153492</w:t>
            </w:r>
          </w:p>
        </w:tc>
        <w:tc>
          <w:tcPr>
            <w:tcW w:w="1685" w:type="dxa"/>
            <w:tcBorders>
              <w:top w:val="nil"/>
              <w:left w:val="nil"/>
              <w:bottom w:val="nil"/>
              <w:right w:val="nil"/>
            </w:tcBorders>
          </w:tcPr>
          <w:p w14:paraId="032925C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5C9BEC3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64C28D9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16BDE75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23</w:t>
            </w:r>
          </w:p>
        </w:tc>
      </w:tr>
      <w:tr w:rsidR="00471529" w14:paraId="7F6A3EFC" w14:textId="77777777">
        <w:trPr>
          <w:trHeight w:val="340"/>
        </w:trPr>
        <w:tc>
          <w:tcPr>
            <w:tcW w:w="2154" w:type="dxa"/>
            <w:vMerge/>
            <w:tcBorders>
              <w:left w:val="nil"/>
              <w:bottom w:val="single" w:sz="12" w:space="0" w:color="auto"/>
              <w:right w:val="nil"/>
            </w:tcBorders>
            <w:vAlign w:val="center"/>
          </w:tcPr>
          <w:p w14:paraId="57F611CB"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single" w:sz="12" w:space="0" w:color="auto"/>
              <w:right w:val="nil"/>
            </w:tcBorders>
          </w:tcPr>
          <w:p w14:paraId="1615752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siderophore</w:t>
            </w:r>
          </w:p>
        </w:tc>
        <w:tc>
          <w:tcPr>
            <w:tcW w:w="1474" w:type="dxa"/>
            <w:tcBorders>
              <w:top w:val="nil"/>
              <w:left w:val="nil"/>
              <w:bottom w:val="single" w:sz="12" w:space="0" w:color="auto"/>
              <w:right w:val="nil"/>
            </w:tcBorders>
          </w:tcPr>
          <w:p w14:paraId="503B71C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30619</w:t>
            </w:r>
          </w:p>
        </w:tc>
        <w:tc>
          <w:tcPr>
            <w:tcW w:w="1474" w:type="dxa"/>
            <w:tcBorders>
              <w:top w:val="nil"/>
              <w:left w:val="nil"/>
              <w:bottom w:val="single" w:sz="12" w:space="0" w:color="auto"/>
              <w:right w:val="nil"/>
            </w:tcBorders>
          </w:tcPr>
          <w:p w14:paraId="138852E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45228</w:t>
            </w:r>
          </w:p>
        </w:tc>
        <w:tc>
          <w:tcPr>
            <w:tcW w:w="1685" w:type="dxa"/>
            <w:tcBorders>
              <w:top w:val="nil"/>
              <w:left w:val="nil"/>
              <w:bottom w:val="single" w:sz="12" w:space="0" w:color="auto"/>
              <w:right w:val="nil"/>
            </w:tcBorders>
          </w:tcPr>
          <w:p w14:paraId="6FE24F6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single" w:sz="12" w:space="0" w:color="auto"/>
              <w:right w:val="nil"/>
            </w:tcBorders>
          </w:tcPr>
          <w:p w14:paraId="580DCFB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single" w:sz="12" w:space="0" w:color="auto"/>
              <w:right w:val="nil"/>
            </w:tcBorders>
          </w:tcPr>
          <w:p w14:paraId="24E614C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single" w:sz="12" w:space="0" w:color="auto"/>
              <w:right w:val="nil"/>
            </w:tcBorders>
          </w:tcPr>
          <w:p w14:paraId="29B77E0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10</w:t>
            </w:r>
          </w:p>
        </w:tc>
      </w:tr>
    </w:tbl>
    <w:p w14:paraId="29FF3A17" w14:textId="77777777" w:rsidR="00471529" w:rsidRDefault="00000000">
      <w:pPr>
        <w:spacing w:line="360" w:lineRule="auto"/>
        <w:rPr>
          <w:rFonts w:ascii="Times New Roman" w:hAnsi="Times New Roman" w:cs="Times New Roman"/>
        </w:rPr>
      </w:pPr>
      <w:r>
        <w:rPr>
          <w:rFonts w:ascii="Times New Roman" w:hAnsi="Times New Roman" w:cs="Times New Roman"/>
        </w:rPr>
        <w:br w:type="page"/>
      </w:r>
    </w:p>
    <w:p w14:paraId="3F64579A" w14:textId="77777777" w:rsidR="00471529" w:rsidRDefault="00000000">
      <w:pPr>
        <w:widowControl/>
        <w:spacing w:line="360" w:lineRule="auto"/>
        <w:jc w:val="left"/>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S7.</w:t>
      </w:r>
      <w:r>
        <w:rPr>
          <w:rFonts w:ascii="Times New Roman" w:hAnsi="Times New Roman" w:cs="Times New Roman"/>
          <w:sz w:val="24"/>
          <w:szCs w:val="28"/>
        </w:rPr>
        <w:t xml:space="preserve"> The table of secondary metabolites synthesis gene clusters in </w:t>
      </w:r>
      <w:r>
        <w:rPr>
          <w:rFonts w:ascii="Times New Roman" w:eastAsia="等线" w:hAnsi="Times New Roman" w:cs="Times New Roman"/>
          <w:i/>
          <w:iCs/>
          <w:color w:val="000000"/>
          <w:sz w:val="24"/>
          <w:szCs w:val="24"/>
        </w:rPr>
        <w:t>Allorhizobium</w:t>
      </w:r>
      <w:r>
        <w:rPr>
          <w:rFonts w:ascii="Times New Roman" w:eastAsia="等线" w:hAnsi="Times New Roman" w:cs="Times New Roman"/>
          <w:color w:val="000000"/>
          <w:sz w:val="24"/>
          <w:szCs w:val="24"/>
        </w:rPr>
        <w:t>_sp1</w:t>
      </w:r>
      <w:r>
        <w:rPr>
          <w:rFonts w:ascii="Times New Roman" w:hAnsi="Times New Roman" w:cs="Times New Roman"/>
          <w:sz w:val="24"/>
          <w:szCs w:val="28"/>
        </w:rPr>
        <w:t>.</w:t>
      </w:r>
    </w:p>
    <w:tbl>
      <w:tblPr>
        <w:tblW w:w="13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757"/>
        <w:gridCol w:w="1474"/>
        <w:gridCol w:w="1474"/>
        <w:gridCol w:w="1685"/>
        <w:gridCol w:w="1814"/>
        <w:gridCol w:w="1684"/>
        <w:gridCol w:w="1648"/>
      </w:tblGrid>
      <w:tr w:rsidR="00471529" w14:paraId="3A25B941" w14:textId="77777777">
        <w:trPr>
          <w:trHeight w:val="454"/>
        </w:trPr>
        <w:tc>
          <w:tcPr>
            <w:tcW w:w="2154" w:type="dxa"/>
            <w:tcBorders>
              <w:top w:val="single" w:sz="12" w:space="0" w:color="auto"/>
              <w:left w:val="nil"/>
              <w:bottom w:val="single" w:sz="8" w:space="0" w:color="auto"/>
              <w:right w:val="nil"/>
            </w:tcBorders>
            <w:vAlign w:val="center"/>
          </w:tcPr>
          <w:p w14:paraId="07818138" w14:textId="77777777" w:rsidR="00471529" w:rsidRDefault="00000000">
            <w:pPr>
              <w:spacing w:line="360" w:lineRule="auto"/>
              <w:jc w:val="center"/>
              <w:rPr>
                <w:rFonts w:ascii="Times New Roman" w:eastAsia="黑体" w:hAnsi="Times New Roman" w:cs="Times New Roman"/>
                <w:szCs w:val="21"/>
              </w:rPr>
            </w:pPr>
            <w:r>
              <w:rPr>
                <w:rFonts w:ascii="Times New Roman" w:eastAsia="黑体" w:hAnsi="Times New Roman" w:cs="Times New Roman"/>
                <w:szCs w:val="21"/>
              </w:rPr>
              <w:t>Bacteria</w:t>
            </w:r>
          </w:p>
        </w:tc>
        <w:tc>
          <w:tcPr>
            <w:tcW w:w="1757" w:type="dxa"/>
            <w:tcBorders>
              <w:top w:val="single" w:sz="12" w:space="0" w:color="auto"/>
              <w:left w:val="nil"/>
              <w:bottom w:val="single" w:sz="8" w:space="0" w:color="auto"/>
              <w:right w:val="nil"/>
            </w:tcBorders>
            <w:vAlign w:val="center"/>
          </w:tcPr>
          <w:p w14:paraId="0E4705C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Type</w:t>
            </w:r>
          </w:p>
        </w:tc>
        <w:tc>
          <w:tcPr>
            <w:tcW w:w="1474" w:type="dxa"/>
            <w:tcBorders>
              <w:top w:val="single" w:sz="12" w:space="0" w:color="auto"/>
              <w:left w:val="nil"/>
              <w:bottom w:val="single" w:sz="8" w:space="0" w:color="auto"/>
              <w:right w:val="nil"/>
            </w:tcBorders>
            <w:vAlign w:val="center"/>
          </w:tcPr>
          <w:p w14:paraId="55B490B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Start</w:t>
            </w:r>
          </w:p>
        </w:tc>
        <w:tc>
          <w:tcPr>
            <w:tcW w:w="1474" w:type="dxa"/>
            <w:tcBorders>
              <w:top w:val="single" w:sz="12" w:space="0" w:color="auto"/>
              <w:left w:val="nil"/>
              <w:bottom w:val="single" w:sz="8" w:space="0" w:color="auto"/>
              <w:right w:val="nil"/>
            </w:tcBorders>
            <w:vAlign w:val="center"/>
          </w:tcPr>
          <w:p w14:paraId="0B214B0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End</w:t>
            </w:r>
          </w:p>
        </w:tc>
        <w:tc>
          <w:tcPr>
            <w:tcW w:w="1685" w:type="dxa"/>
            <w:tcBorders>
              <w:top w:val="single" w:sz="12" w:space="0" w:color="auto"/>
              <w:left w:val="nil"/>
              <w:bottom w:val="single" w:sz="8" w:space="0" w:color="auto"/>
              <w:right w:val="nil"/>
            </w:tcBorders>
            <w:vAlign w:val="center"/>
          </w:tcPr>
          <w:p w14:paraId="1748E188" w14:textId="77777777" w:rsidR="00471529" w:rsidRDefault="00000000">
            <w:pPr>
              <w:spacing w:line="360" w:lineRule="auto"/>
              <w:jc w:val="center"/>
              <w:rPr>
                <w:rFonts w:ascii="Times New Roman" w:hAnsi="Times New Roman" w:cs="Times New Roman"/>
                <w:szCs w:val="21"/>
              </w:rPr>
            </w:pPr>
            <w:proofErr w:type="spellStart"/>
            <w:r>
              <w:rPr>
                <w:rFonts w:ascii="Times New Roman" w:hAnsi="Times New Roman" w:cs="Times New Roman"/>
                <w:szCs w:val="21"/>
              </w:rPr>
              <w:t>MIBiG</w:t>
            </w:r>
            <w:proofErr w:type="spellEnd"/>
            <w:r>
              <w:rPr>
                <w:rFonts w:ascii="Times New Roman" w:hAnsi="Times New Roman" w:cs="Times New Roman"/>
                <w:szCs w:val="21"/>
              </w:rPr>
              <w:t xml:space="preserve"> accession</w:t>
            </w:r>
          </w:p>
        </w:tc>
        <w:tc>
          <w:tcPr>
            <w:tcW w:w="1814" w:type="dxa"/>
            <w:tcBorders>
              <w:top w:val="single" w:sz="12" w:space="0" w:color="auto"/>
              <w:left w:val="nil"/>
              <w:bottom w:val="single" w:sz="8" w:space="0" w:color="auto"/>
              <w:right w:val="nil"/>
            </w:tcBorders>
            <w:vAlign w:val="center"/>
          </w:tcPr>
          <w:p w14:paraId="6200CD8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Similar Cluster</w:t>
            </w:r>
          </w:p>
        </w:tc>
        <w:tc>
          <w:tcPr>
            <w:tcW w:w="1684" w:type="dxa"/>
            <w:tcBorders>
              <w:top w:val="single" w:sz="12" w:space="0" w:color="auto"/>
              <w:left w:val="nil"/>
              <w:bottom w:val="single" w:sz="8" w:space="0" w:color="auto"/>
              <w:right w:val="nil"/>
            </w:tcBorders>
            <w:vAlign w:val="center"/>
          </w:tcPr>
          <w:p w14:paraId="53D9E446"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Similarity (%)</w:t>
            </w:r>
          </w:p>
        </w:tc>
        <w:tc>
          <w:tcPr>
            <w:tcW w:w="1648" w:type="dxa"/>
            <w:tcBorders>
              <w:top w:val="single" w:sz="12" w:space="0" w:color="auto"/>
              <w:left w:val="nil"/>
              <w:bottom w:val="single" w:sz="8" w:space="0" w:color="auto"/>
              <w:right w:val="nil"/>
            </w:tcBorders>
            <w:vAlign w:val="center"/>
          </w:tcPr>
          <w:p w14:paraId="691733A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Gene No.</w:t>
            </w:r>
          </w:p>
        </w:tc>
      </w:tr>
      <w:tr w:rsidR="00471529" w14:paraId="1FA579D4" w14:textId="77777777">
        <w:trPr>
          <w:trHeight w:val="340"/>
        </w:trPr>
        <w:tc>
          <w:tcPr>
            <w:tcW w:w="2154" w:type="dxa"/>
            <w:vMerge w:val="restart"/>
            <w:tcBorders>
              <w:top w:val="single" w:sz="8" w:space="0" w:color="000000"/>
              <w:left w:val="nil"/>
              <w:right w:val="nil"/>
            </w:tcBorders>
            <w:vAlign w:val="center"/>
          </w:tcPr>
          <w:p w14:paraId="5440CACE"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i/>
                <w:iCs/>
                <w:color w:val="000000"/>
                <w:szCs w:val="21"/>
              </w:rPr>
              <w:t>Allorhizobium</w:t>
            </w:r>
            <w:r>
              <w:rPr>
                <w:rFonts w:ascii="Times New Roman" w:eastAsia="等线" w:hAnsi="Times New Roman" w:cs="Times New Roman"/>
                <w:color w:val="000000"/>
                <w:szCs w:val="21"/>
              </w:rPr>
              <w:t>_sp1</w:t>
            </w:r>
          </w:p>
        </w:tc>
        <w:tc>
          <w:tcPr>
            <w:tcW w:w="1757" w:type="dxa"/>
            <w:tcBorders>
              <w:top w:val="single" w:sz="8" w:space="0" w:color="000000"/>
              <w:left w:val="nil"/>
              <w:bottom w:val="nil"/>
              <w:right w:val="nil"/>
            </w:tcBorders>
          </w:tcPr>
          <w:p w14:paraId="54B112A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NAGGN</w:t>
            </w:r>
          </w:p>
        </w:tc>
        <w:tc>
          <w:tcPr>
            <w:tcW w:w="1474" w:type="dxa"/>
            <w:tcBorders>
              <w:top w:val="single" w:sz="8" w:space="0" w:color="000000"/>
              <w:left w:val="nil"/>
              <w:bottom w:val="nil"/>
              <w:right w:val="nil"/>
            </w:tcBorders>
          </w:tcPr>
          <w:p w14:paraId="28259E5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891462</w:t>
            </w:r>
          </w:p>
        </w:tc>
        <w:tc>
          <w:tcPr>
            <w:tcW w:w="1474" w:type="dxa"/>
            <w:tcBorders>
              <w:top w:val="single" w:sz="8" w:space="0" w:color="000000"/>
              <w:left w:val="nil"/>
              <w:bottom w:val="nil"/>
              <w:right w:val="nil"/>
            </w:tcBorders>
          </w:tcPr>
          <w:p w14:paraId="4638F56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910279</w:t>
            </w:r>
          </w:p>
        </w:tc>
        <w:tc>
          <w:tcPr>
            <w:tcW w:w="1685" w:type="dxa"/>
            <w:tcBorders>
              <w:top w:val="single" w:sz="8" w:space="0" w:color="000000"/>
              <w:left w:val="nil"/>
              <w:bottom w:val="nil"/>
              <w:right w:val="nil"/>
            </w:tcBorders>
          </w:tcPr>
          <w:p w14:paraId="122B634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single" w:sz="8" w:space="0" w:color="000000"/>
              <w:left w:val="nil"/>
              <w:bottom w:val="nil"/>
              <w:right w:val="nil"/>
            </w:tcBorders>
          </w:tcPr>
          <w:p w14:paraId="258CAC7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single" w:sz="8" w:space="0" w:color="000000"/>
              <w:left w:val="nil"/>
              <w:bottom w:val="nil"/>
              <w:right w:val="nil"/>
            </w:tcBorders>
          </w:tcPr>
          <w:p w14:paraId="20C0BC2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single" w:sz="8" w:space="0" w:color="000000"/>
              <w:left w:val="nil"/>
              <w:bottom w:val="nil"/>
              <w:right w:val="nil"/>
            </w:tcBorders>
          </w:tcPr>
          <w:p w14:paraId="1CFFE29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16</w:t>
            </w:r>
          </w:p>
        </w:tc>
      </w:tr>
      <w:tr w:rsidR="00471529" w14:paraId="3C7B2565" w14:textId="77777777">
        <w:trPr>
          <w:trHeight w:val="340"/>
        </w:trPr>
        <w:tc>
          <w:tcPr>
            <w:tcW w:w="2154" w:type="dxa"/>
            <w:vMerge/>
            <w:tcBorders>
              <w:left w:val="nil"/>
              <w:right w:val="nil"/>
            </w:tcBorders>
            <w:vAlign w:val="center"/>
          </w:tcPr>
          <w:p w14:paraId="2A3F76DC"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5FBF9C4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T1PKS</w:t>
            </w:r>
          </w:p>
        </w:tc>
        <w:tc>
          <w:tcPr>
            <w:tcW w:w="1474" w:type="dxa"/>
            <w:tcBorders>
              <w:top w:val="nil"/>
              <w:left w:val="nil"/>
              <w:bottom w:val="nil"/>
              <w:right w:val="nil"/>
            </w:tcBorders>
          </w:tcPr>
          <w:p w14:paraId="54DB3F2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w:t>
            </w:r>
          </w:p>
        </w:tc>
        <w:tc>
          <w:tcPr>
            <w:tcW w:w="1474" w:type="dxa"/>
            <w:tcBorders>
              <w:top w:val="nil"/>
              <w:left w:val="nil"/>
              <w:bottom w:val="nil"/>
              <w:right w:val="nil"/>
            </w:tcBorders>
          </w:tcPr>
          <w:p w14:paraId="7A11F867"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47662</w:t>
            </w:r>
          </w:p>
        </w:tc>
        <w:tc>
          <w:tcPr>
            <w:tcW w:w="1685" w:type="dxa"/>
            <w:tcBorders>
              <w:top w:val="nil"/>
              <w:left w:val="nil"/>
              <w:bottom w:val="nil"/>
              <w:right w:val="nil"/>
            </w:tcBorders>
          </w:tcPr>
          <w:p w14:paraId="1E738DB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520F85F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3892ECD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77957A2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34</w:t>
            </w:r>
          </w:p>
        </w:tc>
      </w:tr>
      <w:tr w:rsidR="00471529" w14:paraId="2D5244FE" w14:textId="77777777">
        <w:trPr>
          <w:trHeight w:val="340"/>
        </w:trPr>
        <w:tc>
          <w:tcPr>
            <w:tcW w:w="2154" w:type="dxa"/>
            <w:vMerge/>
            <w:tcBorders>
              <w:left w:val="nil"/>
              <w:right w:val="nil"/>
            </w:tcBorders>
            <w:vAlign w:val="center"/>
          </w:tcPr>
          <w:p w14:paraId="5B5672A0"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1E784349" w14:textId="77777777" w:rsidR="00471529" w:rsidRDefault="00000000">
            <w:pPr>
              <w:spacing w:line="360" w:lineRule="auto"/>
              <w:jc w:val="center"/>
              <w:rPr>
                <w:rFonts w:ascii="Times New Roman" w:hAnsi="Times New Roman" w:cs="Times New Roman"/>
                <w:szCs w:val="21"/>
              </w:rPr>
            </w:pPr>
            <w:proofErr w:type="spellStart"/>
            <w:r>
              <w:rPr>
                <w:rFonts w:ascii="Times New Roman" w:hAnsi="Times New Roman" w:cs="Times New Roman"/>
                <w:szCs w:val="21"/>
              </w:rPr>
              <w:t>RiPP</w:t>
            </w:r>
            <w:proofErr w:type="spellEnd"/>
            <w:r>
              <w:rPr>
                <w:rFonts w:ascii="Times New Roman" w:hAnsi="Times New Roman" w:cs="Times New Roman"/>
                <w:szCs w:val="21"/>
              </w:rPr>
              <w:t>-like</w:t>
            </w:r>
          </w:p>
        </w:tc>
        <w:tc>
          <w:tcPr>
            <w:tcW w:w="1474" w:type="dxa"/>
            <w:tcBorders>
              <w:top w:val="nil"/>
              <w:left w:val="nil"/>
              <w:bottom w:val="nil"/>
              <w:right w:val="nil"/>
            </w:tcBorders>
          </w:tcPr>
          <w:p w14:paraId="06BA153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367578</w:t>
            </w:r>
          </w:p>
        </w:tc>
        <w:tc>
          <w:tcPr>
            <w:tcW w:w="1474" w:type="dxa"/>
            <w:tcBorders>
              <w:top w:val="nil"/>
              <w:left w:val="nil"/>
              <w:bottom w:val="nil"/>
              <w:right w:val="nil"/>
            </w:tcBorders>
          </w:tcPr>
          <w:p w14:paraId="2BCCED0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378499</w:t>
            </w:r>
          </w:p>
        </w:tc>
        <w:tc>
          <w:tcPr>
            <w:tcW w:w="1685" w:type="dxa"/>
            <w:tcBorders>
              <w:top w:val="nil"/>
              <w:left w:val="nil"/>
              <w:bottom w:val="nil"/>
              <w:right w:val="nil"/>
            </w:tcBorders>
          </w:tcPr>
          <w:p w14:paraId="6FAEA7D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1A69018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496D452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0003D01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8</w:t>
            </w:r>
          </w:p>
        </w:tc>
      </w:tr>
      <w:tr w:rsidR="00471529" w14:paraId="18AF9B17" w14:textId="77777777">
        <w:trPr>
          <w:trHeight w:val="340"/>
        </w:trPr>
        <w:tc>
          <w:tcPr>
            <w:tcW w:w="2154" w:type="dxa"/>
            <w:vMerge/>
            <w:tcBorders>
              <w:left w:val="nil"/>
              <w:right w:val="nil"/>
            </w:tcBorders>
            <w:vAlign w:val="center"/>
          </w:tcPr>
          <w:p w14:paraId="482D80D1"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14B3B09A" w14:textId="77777777" w:rsidR="00471529" w:rsidRDefault="00000000">
            <w:pPr>
              <w:spacing w:line="360" w:lineRule="auto"/>
              <w:jc w:val="center"/>
              <w:rPr>
                <w:rFonts w:ascii="Times New Roman" w:hAnsi="Times New Roman" w:cs="Times New Roman"/>
                <w:szCs w:val="21"/>
              </w:rPr>
            </w:pPr>
            <w:proofErr w:type="spellStart"/>
            <w:r>
              <w:rPr>
                <w:rFonts w:ascii="Times New Roman" w:hAnsi="Times New Roman" w:cs="Times New Roman"/>
                <w:szCs w:val="21"/>
              </w:rPr>
              <w:t>acyl_amino_acids</w:t>
            </w:r>
            <w:proofErr w:type="spellEnd"/>
          </w:p>
        </w:tc>
        <w:tc>
          <w:tcPr>
            <w:tcW w:w="1474" w:type="dxa"/>
            <w:tcBorders>
              <w:top w:val="nil"/>
              <w:left w:val="nil"/>
              <w:bottom w:val="nil"/>
              <w:right w:val="nil"/>
            </w:tcBorders>
          </w:tcPr>
          <w:p w14:paraId="4C8AB77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385187</w:t>
            </w:r>
          </w:p>
        </w:tc>
        <w:tc>
          <w:tcPr>
            <w:tcW w:w="1474" w:type="dxa"/>
            <w:tcBorders>
              <w:top w:val="nil"/>
              <w:left w:val="nil"/>
              <w:bottom w:val="nil"/>
              <w:right w:val="nil"/>
            </w:tcBorders>
          </w:tcPr>
          <w:p w14:paraId="00AE5BC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445907</w:t>
            </w:r>
          </w:p>
        </w:tc>
        <w:tc>
          <w:tcPr>
            <w:tcW w:w="1685" w:type="dxa"/>
            <w:tcBorders>
              <w:top w:val="nil"/>
              <w:left w:val="nil"/>
              <w:bottom w:val="nil"/>
              <w:right w:val="nil"/>
            </w:tcBorders>
          </w:tcPr>
          <w:p w14:paraId="3C03B69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757F80E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378164B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7A01232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55</w:t>
            </w:r>
          </w:p>
        </w:tc>
      </w:tr>
      <w:tr w:rsidR="00471529" w14:paraId="0F1C505C" w14:textId="77777777">
        <w:trPr>
          <w:trHeight w:val="340"/>
        </w:trPr>
        <w:tc>
          <w:tcPr>
            <w:tcW w:w="2154" w:type="dxa"/>
            <w:vMerge/>
            <w:tcBorders>
              <w:left w:val="nil"/>
              <w:right w:val="nil"/>
            </w:tcBorders>
            <w:vAlign w:val="center"/>
          </w:tcPr>
          <w:p w14:paraId="23DD931B"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06612CC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terpene</w:t>
            </w:r>
          </w:p>
        </w:tc>
        <w:tc>
          <w:tcPr>
            <w:tcW w:w="1474" w:type="dxa"/>
            <w:tcBorders>
              <w:top w:val="nil"/>
              <w:left w:val="nil"/>
              <w:bottom w:val="nil"/>
              <w:right w:val="nil"/>
            </w:tcBorders>
          </w:tcPr>
          <w:p w14:paraId="5900A4F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152816</w:t>
            </w:r>
          </w:p>
        </w:tc>
        <w:tc>
          <w:tcPr>
            <w:tcW w:w="1474" w:type="dxa"/>
            <w:tcBorders>
              <w:top w:val="nil"/>
              <w:left w:val="nil"/>
              <w:bottom w:val="nil"/>
              <w:right w:val="nil"/>
            </w:tcBorders>
          </w:tcPr>
          <w:p w14:paraId="08C47DA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173986</w:t>
            </w:r>
          </w:p>
        </w:tc>
        <w:tc>
          <w:tcPr>
            <w:tcW w:w="1685" w:type="dxa"/>
            <w:tcBorders>
              <w:top w:val="nil"/>
              <w:left w:val="nil"/>
              <w:bottom w:val="nil"/>
              <w:right w:val="nil"/>
            </w:tcBorders>
          </w:tcPr>
          <w:p w14:paraId="751644A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72552065"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46C8BF9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1E6B22A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17</w:t>
            </w:r>
          </w:p>
        </w:tc>
      </w:tr>
      <w:tr w:rsidR="00471529" w14:paraId="0722EC5F" w14:textId="77777777">
        <w:trPr>
          <w:trHeight w:val="340"/>
        </w:trPr>
        <w:tc>
          <w:tcPr>
            <w:tcW w:w="2154" w:type="dxa"/>
            <w:vMerge/>
            <w:tcBorders>
              <w:left w:val="nil"/>
              <w:right w:val="nil"/>
            </w:tcBorders>
            <w:vAlign w:val="center"/>
          </w:tcPr>
          <w:p w14:paraId="4C43930B"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576CDA9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hserlactone</w:t>
            </w:r>
          </w:p>
        </w:tc>
        <w:tc>
          <w:tcPr>
            <w:tcW w:w="1474" w:type="dxa"/>
            <w:tcBorders>
              <w:top w:val="nil"/>
              <w:left w:val="nil"/>
              <w:bottom w:val="nil"/>
              <w:right w:val="nil"/>
            </w:tcBorders>
          </w:tcPr>
          <w:p w14:paraId="060BE67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171734</w:t>
            </w:r>
          </w:p>
        </w:tc>
        <w:tc>
          <w:tcPr>
            <w:tcW w:w="1474" w:type="dxa"/>
            <w:tcBorders>
              <w:top w:val="nil"/>
              <w:left w:val="nil"/>
              <w:bottom w:val="nil"/>
              <w:right w:val="nil"/>
            </w:tcBorders>
          </w:tcPr>
          <w:p w14:paraId="11965CB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192436</w:t>
            </w:r>
          </w:p>
        </w:tc>
        <w:tc>
          <w:tcPr>
            <w:tcW w:w="1685" w:type="dxa"/>
            <w:tcBorders>
              <w:top w:val="nil"/>
              <w:left w:val="nil"/>
              <w:bottom w:val="nil"/>
              <w:right w:val="nil"/>
            </w:tcBorders>
          </w:tcPr>
          <w:p w14:paraId="506FDCB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6E73BC4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690A375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47FB1A0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25</w:t>
            </w:r>
          </w:p>
        </w:tc>
      </w:tr>
      <w:tr w:rsidR="00471529" w14:paraId="1ACA2B78" w14:textId="77777777">
        <w:trPr>
          <w:trHeight w:val="340"/>
        </w:trPr>
        <w:tc>
          <w:tcPr>
            <w:tcW w:w="2154" w:type="dxa"/>
            <w:vMerge/>
            <w:tcBorders>
              <w:left w:val="nil"/>
              <w:right w:val="nil"/>
            </w:tcBorders>
            <w:vAlign w:val="center"/>
          </w:tcPr>
          <w:p w14:paraId="61D299DA"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676539E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terpene</w:t>
            </w:r>
          </w:p>
        </w:tc>
        <w:tc>
          <w:tcPr>
            <w:tcW w:w="1474" w:type="dxa"/>
            <w:tcBorders>
              <w:top w:val="nil"/>
              <w:left w:val="nil"/>
              <w:bottom w:val="nil"/>
              <w:right w:val="nil"/>
            </w:tcBorders>
          </w:tcPr>
          <w:p w14:paraId="316A45F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193585</w:t>
            </w:r>
          </w:p>
        </w:tc>
        <w:tc>
          <w:tcPr>
            <w:tcW w:w="1474" w:type="dxa"/>
            <w:tcBorders>
              <w:top w:val="nil"/>
              <w:left w:val="nil"/>
              <w:bottom w:val="nil"/>
              <w:right w:val="nil"/>
            </w:tcBorders>
          </w:tcPr>
          <w:p w14:paraId="550B6E7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214440</w:t>
            </w:r>
          </w:p>
        </w:tc>
        <w:tc>
          <w:tcPr>
            <w:tcW w:w="1685" w:type="dxa"/>
            <w:tcBorders>
              <w:top w:val="nil"/>
              <w:left w:val="nil"/>
              <w:bottom w:val="nil"/>
              <w:right w:val="nil"/>
            </w:tcBorders>
          </w:tcPr>
          <w:p w14:paraId="3299EBF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55FDBAD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01F6BE9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71F9E4C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20</w:t>
            </w:r>
          </w:p>
        </w:tc>
      </w:tr>
      <w:tr w:rsidR="00471529" w14:paraId="0CCED218" w14:textId="77777777">
        <w:trPr>
          <w:trHeight w:val="340"/>
        </w:trPr>
        <w:tc>
          <w:tcPr>
            <w:tcW w:w="2154" w:type="dxa"/>
            <w:vMerge/>
            <w:tcBorders>
              <w:left w:val="nil"/>
              <w:right w:val="nil"/>
            </w:tcBorders>
            <w:vAlign w:val="center"/>
          </w:tcPr>
          <w:p w14:paraId="58F2532A"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636D516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hserlactone</w:t>
            </w:r>
          </w:p>
        </w:tc>
        <w:tc>
          <w:tcPr>
            <w:tcW w:w="1474" w:type="dxa"/>
            <w:tcBorders>
              <w:top w:val="nil"/>
              <w:left w:val="nil"/>
              <w:bottom w:val="nil"/>
              <w:right w:val="nil"/>
            </w:tcBorders>
          </w:tcPr>
          <w:p w14:paraId="73D9439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59565</w:t>
            </w:r>
          </w:p>
        </w:tc>
        <w:tc>
          <w:tcPr>
            <w:tcW w:w="1474" w:type="dxa"/>
            <w:tcBorders>
              <w:top w:val="nil"/>
              <w:left w:val="nil"/>
              <w:bottom w:val="nil"/>
              <w:right w:val="nil"/>
            </w:tcBorders>
          </w:tcPr>
          <w:p w14:paraId="71021FBD"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80207</w:t>
            </w:r>
          </w:p>
        </w:tc>
        <w:tc>
          <w:tcPr>
            <w:tcW w:w="1685" w:type="dxa"/>
            <w:tcBorders>
              <w:top w:val="nil"/>
              <w:left w:val="nil"/>
              <w:bottom w:val="nil"/>
              <w:right w:val="nil"/>
            </w:tcBorders>
          </w:tcPr>
          <w:p w14:paraId="79887E7B"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04693963"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53CB327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355B5B6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16</w:t>
            </w:r>
          </w:p>
        </w:tc>
      </w:tr>
      <w:tr w:rsidR="00471529" w14:paraId="5EC21A13" w14:textId="77777777">
        <w:trPr>
          <w:trHeight w:val="340"/>
        </w:trPr>
        <w:tc>
          <w:tcPr>
            <w:tcW w:w="2154" w:type="dxa"/>
            <w:vMerge/>
            <w:tcBorders>
              <w:left w:val="nil"/>
              <w:right w:val="nil"/>
            </w:tcBorders>
            <w:vAlign w:val="center"/>
          </w:tcPr>
          <w:p w14:paraId="755E9B5D"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nil"/>
              <w:right w:val="nil"/>
            </w:tcBorders>
          </w:tcPr>
          <w:p w14:paraId="497B24E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hserlactone</w:t>
            </w:r>
          </w:p>
        </w:tc>
        <w:tc>
          <w:tcPr>
            <w:tcW w:w="1474" w:type="dxa"/>
            <w:tcBorders>
              <w:top w:val="nil"/>
              <w:left w:val="nil"/>
              <w:bottom w:val="nil"/>
              <w:right w:val="nil"/>
            </w:tcBorders>
          </w:tcPr>
          <w:p w14:paraId="1443EEA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14302</w:t>
            </w:r>
          </w:p>
        </w:tc>
        <w:tc>
          <w:tcPr>
            <w:tcW w:w="1474" w:type="dxa"/>
            <w:tcBorders>
              <w:top w:val="nil"/>
              <w:left w:val="nil"/>
              <w:bottom w:val="nil"/>
              <w:right w:val="nil"/>
            </w:tcBorders>
          </w:tcPr>
          <w:p w14:paraId="0D27B871"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32903</w:t>
            </w:r>
          </w:p>
        </w:tc>
        <w:tc>
          <w:tcPr>
            <w:tcW w:w="1685" w:type="dxa"/>
            <w:tcBorders>
              <w:top w:val="nil"/>
              <w:left w:val="nil"/>
              <w:bottom w:val="nil"/>
              <w:right w:val="nil"/>
            </w:tcBorders>
          </w:tcPr>
          <w:p w14:paraId="47DB81D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nil"/>
              <w:right w:val="nil"/>
            </w:tcBorders>
          </w:tcPr>
          <w:p w14:paraId="4B12120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nil"/>
              <w:right w:val="nil"/>
            </w:tcBorders>
          </w:tcPr>
          <w:p w14:paraId="0F4AF529"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nil"/>
              <w:right w:val="nil"/>
            </w:tcBorders>
          </w:tcPr>
          <w:p w14:paraId="49ABCC1C"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18</w:t>
            </w:r>
          </w:p>
        </w:tc>
      </w:tr>
      <w:tr w:rsidR="00471529" w14:paraId="1261D589" w14:textId="77777777">
        <w:trPr>
          <w:trHeight w:val="340"/>
        </w:trPr>
        <w:tc>
          <w:tcPr>
            <w:tcW w:w="2154" w:type="dxa"/>
            <w:vMerge/>
            <w:tcBorders>
              <w:left w:val="nil"/>
              <w:bottom w:val="single" w:sz="12" w:space="0" w:color="000000"/>
              <w:right w:val="nil"/>
            </w:tcBorders>
            <w:vAlign w:val="center"/>
          </w:tcPr>
          <w:p w14:paraId="576F24D1" w14:textId="77777777" w:rsidR="00471529" w:rsidRDefault="00471529">
            <w:pPr>
              <w:spacing w:line="360" w:lineRule="auto"/>
              <w:jc w:val="center"/>
              <w:rPr>
                <w:rFonts w:ascii="Times New Roman" w:eastAsia="等线" w:hAnsi="Times New Roman" w:cs="Times New Roman"/>
                <w:color w:val="000000"/>
                <w:szCs w:val="21"/>
              </w:rPr>
            </w:pPr>
          </w:p>
        </w:tc>
        <w:tc>
          <w:tcPr>
            <w:tcW w:w="1757" w:type="dxa"/>
            <w:tcBorders>
              <w:top w:val="nil"/>
              <w:left w:val="nil"/>
              <w:bottom w:val="single" w:sz="12" w:space="0" w:color="000000"/>
              <w:right w:val="nil"/>
            </w:tcBorders>
          </w:tcPr>
          <w:p w14:paraId="5DE43E9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hserlactone</w:t>
            </w:r>
          </w:p>
        </w:tc>
        <w:tc>
          <w:tcPr>
            <w:tcW w:w="1474" w:type="dxa"/>
            <w:tcBorders>
              <w:top w:val="nil"/>
              <w:left w:val="nil"/>
              <w:bottom w:val="single" w:sz="12" w:space="0" w:color="000000"/>
              <w:right w:val="nil"/>
            </w:tcBorders>
          </w:tcPr>
          <w:p w14:paraId="184115F2"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14451</w:t>
            </w:r>
          </w:p>
        </w:tc>
        <w:tc>
          <w:tcPr>
            <w:tcW w:w="1474" w:type="dxa"/>
            <w:tcBorders>
              <w:top w:val="nil"/>
              <w:left w:val="nil"/>
              <w:bottom w:val="single" w:sz="12" w:space="0" w:color="000000"/>
              <w:right w:val="nil"/>
            </w:tcBorders>
          </w:tcPr>
          <w:p w14:paraId="13F3B38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32043</w:t>
            </w:r>
          </w:p>
        </w:tc>
        <w:tc>
          <w:tcPr>
            <w:tcW w:w="1685" w:type="dxa"/>
            <w:tcBorders>
              <w:top w:val="nil"/>
              <w:left w:val="nil"/>
              <w:bottom w:val="single" w:sz="12" w:space="0" w:color="000000"/>
              <w:right w:val="nil"/>
            </w:tcBorders>
          </w:tcPr>
          <w:p w14:paraId="073A973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814" w:type="dxa"/>
            <w:tcBorders>
              <w:top w:val="nil"/>
              <w:left w:val="nil"/>
              <w:bottom w:val="single" w:sz="12" w:space="0" w:color="000000"/>
              <w:right w:val="nil"/>
            </w:tcBorders>
          </w:tcPr>
          <w:p w14:paraId="6DC6C3C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84" w:type="dxa"/>
            <w:tcBorders>
              <w:top w:val="nil"/>
              <w:left w:val="nil"/>
              <w:bottom w:val="single" w:sz="12" w:space="0" w:color="000000"/>
              <w:right w:val="nil"/>
            </w:tcBorders>
          </w:tcPr>
          <w:p w14:paraId="7D52BEF4"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w:t>
            </w:r>
          </w:p>
        </w:tc>
        <w:tc>
          <w:tcPr>
            <w:tcW w:w="1648" w:type="dxa"/>
            <w:tcBorders>
              <w:top w:val="nil"/>
              <w:left w:val="nil"/>
              <w:bottom w:val="single" w:sz="12" w:space="0" w:color="000000"/>
              <w:right w:val="nil"/>
            </w:tcBorders>
          </w:tcPr>
          <w:p w14:paraId="6A748010"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20</w:t>
            </w:r>
          </w:p>
        </w:tc>
      </w:tr>
    </w:tbl>
    <w:p w14:paraId="4E499593" w14:textId="77777777" w:rsidR="00471529" w:rsidRDefault="00471529">
      <w:pPr>
        <w:spacing w:line="360" w:lineRule="auto"/>
        <w:rPr>
          <w:rFonts w:ascii="Times New Roman" w:hAnsi="Times New Roman" w:cs="Times New Roman"/>
        </w:rPr>
        <w:sectPr w:rsidR="00471529">
          <w:pgSz w:w="16838" w:h="11906" w:orient="landscape"/>
          <w:pgMar w:top="1800" w:right="1440" w:bottom="1800" w:left="1440" w:header="851" w:footer="992" w:gutter="0"/>
          <w:lnNumType w:countBy="1" w:restart="continuous"/>
          <w:cols w:space="425"/>
          <w:docGrid w:type="lines" w:linePitch="312"/>
        </w:sectPr>
      </w:pPr>
    </w:p>
    <w:p w14:paraId="77FC1A11" w14:textId="77777777" w:rsidR="00471529" w:rsidRDefault="00000000">
      <w:pPr>
        <w:spacing w:line="360" w:lineRule="auto"/>
        <w:rPr>
          <w:rFonts w:ascii="Times New Roman" w:hAnsi="Times New Roman" w:cs="Times New Roman"/>
          <w:sz w:val="24"/>
          <w:szCs w:val="28"/>
        </w:rPr>
      </w:pPr>
      <w:r>
        <w:rPr>
          <w:rFonts w:ascii="Times New Roman" w:hAnsi="Times New Roman" w:cs="Times New Roman" w:hint="eastAsia"/>
          <w:b/>
          <w:bCs/>
          <w:sz w:val="24"/>
          <w:szCs w:val="28"/>
        </w:rPr>
        <w:lastRenderedPageBreak/>
        <w:t>T</w:t>
      </w:r>
      <w:r>
        <w:rPr>
          <w:rFonts w:ascii="Times New Roman" w:hAnsi="Times New Roman" w:cs="Times New Roman"/>
          <w:b/>
          <w:bCs/>
          <w:sz w:val="24"/>
          <w:szCs w:val="28"/>
        </w:rPr>
        <w:t>able S8.</w:t>
      </w:r>
      <w:r>
        <w:rPr>
          <w:rFonts w:ascii="Times New Roman" w:hAnsi="Times New Roman" w:cs="Times New Roman"/>
          <w:sz w:val="24"/>
          <w:szCs w:val="28"/>
        </w:rPr>
        <w:t xml:space="preserve"> The minimum inhibitory concentration (MIC) of three phycospheric bacteria isolates</w:t>
      </w:r>
      <w:r>
        <w:rPr>
          <w:rFonts w:ascii="Times New Roman" w:hAnsi="Times New Roman" w:cs="Times New Roman" w:hint="eastAsia"/>
          <w:sz w:val="24"/>
          <w:szCs w:val="28"/>
        </w:rPr>
        <w:t>.</w:t>
      </w:r>
      <w:r>
        <w:rPr>
          <w:rFonts w:ascii="Times New Roman" w:hAnsi="Times New Roman" w:cs="Times New Roman"/>
          <w:sz w:val="24"/>
          <w:szCs w:val="28"/>
        </w:rPr>
        <w:t xml:space="preserve"> (Unit: mg/L)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076"/>
        <w:gridCol w:w="2077"/>
        <w:gridCol w:w="2077"/>
      </w:tblGrid>
      <w:tr w:rsidR="00471529" w14:paraId="36806C65" w14:textId="77777777">
        <w:trPr>
          <w:trHeight w:val="454"/>
        </w:trPr>
        <w:tc>
          <w:tcPr>
            <w:tcW w:w="1250" w:type="pct"/>
            <w:tcBorders>
              <w:top w:val="single" w:sz="12" w:space="0" w:color="000000"/>
              <w:left w:val="nil"/>
              <w:bottom w:val="single" w:sz="8" w:space="0" w:color="auto"/>
              <w:right w:val="nil"/>
            </w:tcBorders>
            <w:vAlign w:val="center"/>
          </w:tcPr>
          <w:p w14:paraId="1D80ED12" w14:textId="77777777" w:rsidR="00471529" w:rsidRDefault="00000000">
            <w:pPr>
              <w:spacing w:line="360" w:lineRule="auto"/>
              <w:jc w:val="center"/>
              <w:rPr>
                <w:rFonts w:ascii="Times New Roman" w:eastAsia="黑体" w:hAnsi="Times New Roman" w:cs="Times New Roman"/>
                <w:szCs w:val="21"/>
              </w:rPr>
            </w:pPr>
            <w:r>
              <w:rPr>
                <w:rFonts w:ascii="Times New Roman" w:eastAsia="黑体" w:hAnsi="Times New Roman" w:cs="Times New Roman"/>
                <w:szCs w:val="21"/>
              </w:rPr>
              <w:t>Bacteria</w:t>
            </w:r>
          </w:p>
        </w:tc>
        <w:tc>
          <w:tcPr>
            <w:tcW w:w="1250" w:type="pct"/>
            <w:tcBorders>
              <w:top w:val="single" w:sz="12" w:space="0" w:color="000000"/>
              <w:left w:val="nil"/>
              <w:bottom w:val="single" w:sz="8" w:space="0" w:color="auto"/>
              <w:right w:val="nil"/>
            </w:tcBorders>
            <w:vAlign w:val="center"/>
          </w:tcPr>
          <w:p w14:paraId="76139EC8"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i/>
                <w:iCs/>
                <w:szCs w:val="21"/>
              </w:rPr>
              <w:t>Pseudomonas</w:t>
            </w:r>
            <w:r>
              <w:rPr>
                <w:rFonts w:ascii="Times New Roman" w:hAnsi="Times New Roman" w:cs="Times New Roman"/>
                <w:szCs w:val="21"/>
              </w:rPr>
              <w:t>_sp1</w:t>
            </w:r>
          </w:p>
        </w:tc>
        <w:tc>
          <w:tcPr>
            <w:tcW w:w="1250" w:type="pct"/>
            <w:tcBorders>
              <w:top w:val="single" w:sz="12" w:space="0" w:color="000000"/>
              <w:left w:val="nil"/>
              <w:bottom w:val="single" w:sz="8" w:space="0" w:color="auto"/>
              <w:right w:val="nil"/>
            </w:tcBorders>
            <w:vAlign w:val="center"/>
          </w:tcPr>
          <w:p w14:paraId="69BF574A"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i/>
                <w:iCs/>
                <w:szCs w:val="21"/>
              </w:rPr>
              <w:t>Allorhizobium</w:t>
            </w:r>
            <w:r>
              <w:rPr>
                <w:rFonts w:ascii="Times New Roman" w:hAnsi="Times New Roman" w:cs="Times New Roman"/>
                <w:szCs w:val="21"/>
              </w:rPr>
              <w:t>_sp1</w:t>
            </w:r>
          </w:p>
        </w:tc>
        <w:tc>
          <w:tcPr>
            <w:tcW w:w="1250" w:type="pct"/>
            <w:tcBorders>
              <w:top w:val="single" w:sz="12" w:space="0" w:color="000000"/>
              <w:left w:val="nil"/>
              <w:bottom w:val="single" w:sz="8" w:space="0" w:color="auto"/>
              <w:right w:val="nil"/>
            </w:tcBorders>
            <w:vAlign w:val="center"/>
          </w:tcPr>
          <w:p w14:paraId="6C849CCE" w14:textId="77777777" w:rsidR="00471529" w:rsidRDefault="00000000">
            <w:pPr>
              <w:spacing w:line="360" w:lineRule="auto"/>
              <w:jc w:val="center"/>
              <w:rPr>
                <w:rFonts w:ascii="Times New Roman" w:hAnsi="Times New Roman" w:cs="Times New Roman"/>
                <w:szCs w:val="21"/>
              </w:rPr>
            </w:pPr>
            <w:bookmarkStart w:id="32" w:name="OLE_LINK7"/>
            <w:r>
              <w:rPr>
                <w:rFonts w:ascii="Times New Roman" w:hAnsi="Times New Roman" w:cs="Times New Roman"/>
                <w:i/>
                <w:iCs/>
                <w:szCs w:val="21"/>
              </w:rPr>
              <w:t>Methylobacteium</w:t>
            </w:r>
            <w:r>
              <w:rPr>
                <w:rFonts w:ascii="Times New Roman" w:hAnsi="Times New Roman" w:cs="Times New Roman"/>
                <w:szCs w:val="21"/>
              </w:rPr>
              <w:t>_sp1</w:t>
            </w:r>
            <w:bookmarkEnd w:id="32"/>
          </w:p>
        </w:tc>
      </w:tr>
      <w:tr w:rsidR="00471529" w14:paraId="01B1A334" w14:textId="77777777">
        <w:trPr>
          <w:trHeight w:val="340"/>
        </w:trPr>
        <w:tc>
          <w:tcPr>
            <w:tcW w:w="1250" w:type="pct"/>
            <w:tcBorders>
              <w:top w:val="single" w:sz="8" w:space="0" w:color="auto"/>
              <w:left w:val="nil"/>
              <w:bottom w:val="single" w:sz="12" w:space="0" w:color="000000"/>
              <w:right w:val="nil"/>
            </w:tcBorders>
            <w:vAlign w:val="center"/>
          </w:tcPr>
          <w:p w14:paraId="77CB255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MIC</w:t>
            </w:r>
          </w:p>
        </w:tc>
        <w:tc>
          <w:tcPr>
            <w:tcW w:w="1250" w:type="pct"/>
            <w:tcBorders>
              <w:top w:val="single" w:sz="8" w:space="0" w:color="auto"/>
              <w:left w:val="nil"/>
              <w:bottom w:val="single" w:sz="12" w:space="0" w:color="000000"/>
              <w:right w:val="nil"/>
            </w:tcBorders>
            <w:vAlign w:val="center"/>
          </w:tcPr>
          <w:p w14:paraId="4764AC2F"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color w:val="000000"/>
                <w:szCs w:val="21"/>
              </w:rPr>
              <w:t>&gt;256</w:t>
            </w:r>
          </w:p>
        </w:tc>
        <w:tc>
          <w:tcPr>
            <w:tcW w:w="1250" w:type="pct"/>
            <w:tcBorders>
              <w:top w:val="single" w:sz="8" w:space="0" w:color="auto"/>
              <w:left w:val="nil"/>
              <w:bottom w:val="single" w:sz="12" w:space="0" w:color="000000"/>
              <w:right w:val="nil"/>
            </w:tcBorders>
            <w:vAlign w:val="center"/>
          </w:tcPr>
          <w:p w14:paraId="7C2E73C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16</w:t>
            </w:r>
          </w:p>
        </w:tc>
        <w:tc>
          <w:tcPr>
            <w:tcW w:w="1250" w:type="pct"/>
            <w:tcBorders>
              <w:top w:val="single" w:sz="8" w:space="0" w:color="auto"/>
              <w:left w:val="nil"/>
              <w:bottom w:val="single" w:sz="12" w:space="0" w:color="000000"/>
              <w:right w:val="nil"/>
            </w:tcBorders>
            <w:vAlign w:val="center"/>
          </w:tcPr>
          <w:p w14:paraId="1D1D221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8</w:t>
            </w:r>
          </w:p>
        </w:tc>
      </w:tr>
    </w:tbl>
    <w:p w14:paraId="16CEA303" w14:textId="77777777" w:rsidR="00471529" w:rsidRDefault="00471529">
      <w:pPr>
        <w:widowControl/>
        <w:spacing w:line="360" w:lineRule="auto"/>
        <w:jc w:val="left"/>
        <w:rPr>
          <w:rFonts w:ascii="Times New Roman" w:hAnsi="Times New Roman" w:cs="Times New Roman"/>
          <w:b/>
          <w:bCs/>
          <w:sz w:val="24"/>
          <w:szCs w:val="28"/>
        </w:rPr>
      </w:pPr>
    </w:p>
    <w:p w14:paraId="10506883" w14:textId="77777777" w:rsidR="00471529" w:rsidRDefault="00000000">
      <w:pPr>
        <w:widowControl/>
        <w:spacing w:line="360" w:lineRule="auto"/>
        <w:jc w:val="left"/>
        <w:rPr>
          <w:rFonts w:ascii="Times New Roman" w:hAnsi="Times New Roman" w:cs="Times New Roman"/>
          <w:sz w:val="24"/>
          <w:szCs w:val="28"/>
        </w:rPr>
      </w:pPr>
      <w:bookmarkStart w:id="33" w:name="OLE_LINK5"/>
      <w:r>
        <w:rPr>
          <w:rFonts w:ascii="Times New Roman" w:hAnsi="Times New Roman" w:cs="Times New Roman" w:hint="eastAsia"/>
          <w:b/>
          <w:bCs/>
          <w:sz w:val="24"/>
          <w:szCs w:val="28"/>
        </w:rPr>
        <w:t>T</w:t>
      </w:r>
      <w:r>
        <w:rPr>
          <w:rFonts w:ascii="Times New Roman" w:hAnsi="Times New Roman" w:cs="Times New Roman"/>
          <w:b/>
          <w:bCs/>
          <w:sz w:val="24"/>
          <w:szCs w:val="28"/>
        </w:rPr>
        <w:t>able S9.</w:t>
      </w:r>
      <w:r>
        <w:rPr>
          <w:rFonts w:ascii="Times New Roman" w:hAnsi="Times New Roman" w:cs="Times New Roman"/>
          <w:sz w:val="24"/>
          <w:szCs w:val="28"/>
        </w:rPr>
        <w:t xml:space="preserve"> The concentration of FF in the medium of each group in the co-culture experiment of </w:t>
      </w:r>
      <w:r>
        <w:rPr>
          <w:rFonts w:ascii="Times New Roman" w:hAnsi="Times New Roman" w:cs="Times New Roman"/>
          <w:i/>
          <w:iCs/>
          <w:sz w:val="24"/>
          <w:szCs w:val="28"/>
        </w:rPr>
        <w:t>Pseudomonas</w:t>
      </w:r>
      <w:r>
        <w:rPr>
          <w:rFonts w:ascii="Times New Roman" w:hAnsi="Times New Roman" w:cs="Times New Roman"/>
          <w:sz w:val="24"/>
          <w:szCs w:val="28"/>
        </w:rPr>
        <w:t xml:space="preserve">_sp1 and axenic </w:t>
      </w:r>
      <w:r>
        <w:rPr>
          <w:rFonts w:ascii="Times New Roman" w:hAnsi="Times New Roman" w:cs="Times New Roman"/>
          <w:i/>
          <w:iCs/>
          <w:sz w:val="24"/>
          <w:szCs w:val="28"/>
        </w:rPr>
        <w:t>A. pyrenoidosa</w:t>
      </w:r>
      <w:r>
        <w:rPr>
          <w:rFonts w:ascii="Times New Roman" w:hAnsi="Times New Roman" w:cs="Times New Roman" w:hint="eastAsia"/>
          <w:sz w:val="24"/>
          <w:szCs w:val="28"/>
        </w:rPr>
        <w:t>.</w:t>
      </w:r>
      <w:bookmarkEnd w:id="33"/>
      <w:r>
        <w:rPr>
          <w:rFonts w:ascii="Times New Roman" w:hAnsi="Times New Roman" w:cs="Times New Roman"/>
          <w:sz w:val="24"/>
          <w:szCs w:val="28"/>
        </w:rPr>
        <w:t xml:space="preserve"> (means ± SD, unit: mg/L)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3"/>
        <w:gridCol w:w="2608"/>
        <w:gridCol w:w="2985"/>
      </w:tblGrid>
      <w:tr w:rsidR="00471529" w14:paraId="167ACAF2" w14:textId="77777777">
        <w:trPr>
          <w:trHeight w:val="454"/>
          <w:jc w:val="center"/>
        </w:trPr>
        <w:tc>
          <w:tcPr>
            <w:tcW w:w="1633" w:type="pct"/>
            <w:tcBorders>
              <w:top w:val="single" w:sz="12" w:space="0" w:color="auto"/>
              <w:left w:val="nil"/>
              <w:bottom w:val="single" w:sz="8" w:space="0" w:color="auto"/>
              <w:right w:val="nil"/>
            </w:tcBorders>
            <w:vAlign w:val="center"/>
          </w:tcPr>
          <w:p w14:paraId="77C61977" w14:textId="77777777" w:rsidR="00471529" w:rsidRDefault="00000000">
            <w:pPr>
              <w:spacing w:line="360" w:lineRule="auto"/>
              <w:jc w:val="center"/>
              <w:rPr>
                <w:rFonts w:ascii="Times New Roman" w:eastAsia="黑体" w:hAnsi="Times New Roman" w:cs="Times New Roman"/>
                <w:szCs w:val="21"/>
              </w:rPr>
            </w:pPr>
            <w:r>
              <w:rPr>
                <w:rFonts w:ascii="Times New Roman" w:eastAsia="黑体" w:hAnsi="Times New Roman" w:cs="Times New Roman"/>
                <w:szCs w:val="21"/>
              </w:rPr>
              <w:t>Group</w:t>
            </w:r>
          </w:p>
        </w:tc>
        <w:tc>
          <w:tcPr>
            <w:tcW w:w="1570" w:type="pct"/>
            <w:tcBorders>
              <w:top w:val="single" w:sz="12" w:space="0" w:color="auto"/>
              <w:left w:val="nil"/>
              <w:bottom w:val="single" w:sz="8" w:space="0" w:color="auto"/>
              <w:right w:val="nil"/>
            </w:tcBorders>
            <w:vAlign w:val="center"/>
          </w:tcPr>
          <w:p w14:paraId="05CBED0F"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Day 1</w:t>
            </w:r>
          </w:p>
        </w:tc>
        <w:tc>
          <w:tcPr>
            <w:tcW w:w="1797" w:type="pct"/>
            <w:tcBorders>
              <w:top w:val="single" w:sz="12" w:space="0" w:color="auto"/>
              <w:left w:val="nil"/>
              <w:bottom w:val="single" w:sz="8" w:space="0" w:color="auto"/>
              <w:right w:val="nil"/>
            </w:tcBorders>
            <w:vAlign w:val="center"/>
          </w:tcPr>
          <w:p w14:paraId="7B52119E" w14:textId="77777777" w:rsidR="00471529" w:rsidRDefault="00000000">
            <w:pPr>
              <w:spacing w:line="360" w:lineRule="auto"/>
              <w:jc w:val="center"/>
              <w:rPr>
                <w:rFonts w:ascii="Times New Roman" w:hAnsi="Times New Roman" w:cs="Times New Roman"/>
                <w:szCs w:val="21"/>
              </w:rPr>
            </w:pPr>
            <w:r>
              <w:rPr>
                <w:rFonts w:ascii="Times New Roman" w:hAnsi="Times New Roman" w:cs="Times New Roman"/>
                <w:szCs w:val="21"/>
              </w:rPr>
              <w:t>Day 13</w:t>
            </w:r>
          </w:p>
        </w:tc>
      </w:tr>
      <w:tr w:rsidR="00471529" w14:paraId="16234874" w14:textId="77777777">
        <w:trPr>
          <w:trHeight w:val="340"/>
          <w:jc w:val="center"/>
        </w:trPr>
        <w:tc>
          <w:tcPr>
            <w:tcW w:w="1633" w:type="pct"/>
            <w:tcBorders>
              <w:top w:val="nil"/>
              <w:left w:val="nil"/>
              <w:bottom w:val="nil"/>
              <w:right w:val="nil"/>
            </w:tcBorders>
            <w:vAlign w:val="center"/>
          </w:tcPr>
          <w:p w14:paraId="7FC852C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C</w:t>
            </w:r>
            <w:r>
              <w:rPr>
                <w:rFonts w:ascii="Times New Roman" w:eastAsia="等线" w:hAnsi="Times New Roman" w:cs="Times New Roman"/>
                <w:color w:val="000000"/>
                <w:szCs w:val="21"/>
              </w:rPr>
              <w:t>F</w:t>
            </w:r>
          </w:p>
        </w:tc>
        <w:tc>
          <w:tcPr>
            <w:tcW w:w="1570" w:type="pct"/>
            <w:tcBorders>
              <w:top w:val="nil"/>
              <w:left w:val="nil"/>
              <w:bottom w:val="nil"/>
              <w:right w:val="nil"/>
            </w:tcBorders>
            <w:vAlign w:val="center"/>
          </w:tcPr>
          <w:p w14:paraId="431D2E61"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w:t>
            </w:r>
            <w:r>
              <w:rPr>
                <w:rFonts w:ascii="Times New Roman" w:eastAsia="等线" w:hAnsi="Times New Roman" w:cs="Times New Roman"/>
                <w:color w:val="000000"/>
                <w:szCs w:val="21"/>
              </w:rPr>
              <w:t>.21</w:t>
            </w:r>
            <w:r>
              <w:rPr>
                <w:rFonts w:ascii="Times New Roman" w:eastAsia="等线" w:hAnsi="Times New Roman" w:cs="Times New Roman" w:hint="eastAsia"/>
                <w:color w:val="000000"/>
                <w:szCs w:val="21"/>
              </w:rPr>
              <w:t>±</w:t>
            </w:r>
            <w:r>
              <w:rPr>
                <w:rFonts w:ascii="Times New Roman" w:eastAsia="等线" w:hAnsi="Times New Roman" w:cs="Times New Roman" w:hint="eastAsia"/>
                <w:color w:val="000000"/>
                <w:szCs w:val="21"/>
              </w:rPr>
              <w:t>0.23</w:t>
            </w:r>
          </w:p>
        </w:tc>
        <w:tc>
          <w:tcPr>
            <w:tcW w:w="1797" w:type="pct"/>
            <w:tcBorders>
              <w:top w:val="nil"/>
              <w:left w:val="nil"/>
              <w:bottom w:val="nil"/>
              <w:right w:val="nil"/>
            </w:tcBorders>
            <w:vAlign w:val="center"/>
          </w:tcPr>
          <w:p w14:paraId="51892A2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9.67</w:t>
            </w:r>
            <w:r>
              <w:rPr>
                <w:rFonts w:ascii="Times New Roman" w:eastAsia="等线" w:hAnsi="Times New Roman" w:cs="Times New Roman" w:hint="eastAsia"/>
                <w:color w:val="000000"/>
                <w:szCs w:val="21"/>
              </w:rPr>
              <w:t>±</w:t>
            </w:r>
            <w:r>
              <w:rPr>
                <w:rFonts w:ascii="Times New Roman" w:eastAsia="等线" w:hAnsi="Times New Roman" w:cs="Times New Roman" w:hint="eastAsia"/>
                <w:color w:val="000000"/>
                <w:szCs w:val="21"/>
              </w:rPr>
              <w:t>0.49</w:t>
            </w:r>
          </w:p>
        </w:tc>
      </w:tr>
      <w:tr w:rsidR="00471529" w14:paraId="225E7331" w14:textId="77777777">
        <w:trPr>
          <w:trHeight w:val="340"/>
          <w:jc w:val="center"/>
        </w:trPr>
        <w:tc>
          <w:tcPr>
            <w:tcW w:w="1633" w:type="pct"/>
            <w:tcBorders>
              <w:top w:val="nil"/>
              <w:left w:val="nil"/>
              <w:bottom w:val="nil"/>
              <w:right w:val="nil"/>
            </w:tcBorders>
            <w:vAlign w:val="center"/>
          </w:tcPr>
          <w:p w14:paraId="629F50A5"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C</w:t>
            </w:r>
            <w:r>
              <w:rPr>
                <w:rFonts w:ascii="Times New Roman" w:eastAsia="等线" w:hAnsi="Times New Roman" w:cs="Times New Roman"/>
                <w:color w:val="000000"/>
                <w:szCs w:val="21"/>
              </w:rPr>
              <w:t>BF</w:t>
            </w:r>
          </w:p>
        </w:tc>
        <w:tc>
          <w:tcPr>
            <w:tcW w:w="1570" w:type="pct"/>
            <w:tcBorders>
              <w:top w:val="nil"/>
              <w:left w:val="nil"/>
              <w:bottom w:val="nil"/>
              <w:right w:val="nil"/>
            </w:tcBorders>
            <w:vAlign w:val="center"/>
          </w:tcPr>
          <w:p w14:paraId="14E5C739"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9.03</w:t>
            </w:r>
            <w:r>
              <w:rPr>
                <w:rFonts w:ascii="Times New Roman" w:eastAsia="等线" w:hAnsi="Times New Roman" w:cs="Times New Roman" w:hint="eastAsia"/>
                <w:color w:val="000000"/>
                <w:szCs w:val="21"/>
              </w:rPr>
              <w:t>±</w:t>
            </w:r>
            <w:r>
              <w:rPr>
                <w:rFonts w:ascii="Times New Roman" w:eastAsia="等线" w:hAnsi="Times New Roman" w:cs="Times New Roman" w:hint="eastAsia"/>
                <w:color w:val="000000"/>
                <w:szCs w:val="21"/>
              </w:rPr>
              <w:t>0.18</w:t>
            </w:r>
          </w:p>
        </w:tc>
        <w:tc>
          <w:tcPr>
            <w:tcW w:w="1797" w:type="pct"/>
            <w:tcBorders>
              <w:top w:val="nil"/>
              <w:left w:val="nil"/>
              <w:bottom w:val="nil"/>
              <w:right w:val="nil"/>
            </w:tcBorders>
            <w:vAlign w:val="center"/>
          </w:tcPr>
          <w:p w14:paraId="4E18A42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10.01</w:t>
            </w:r>
            <w:r>
              <w:rPr>
                <w:rFonts w:ascii="Times New Roman" w:eastAsia="等线" w:hAnsi="Times New Roman" w:cs="Times New Roman" w:hint="eastAsia"/>
                <w:color w:val="000000"/>
                <w:szCs w:val="21"/>
              </w:rPr>
              <w:t>±</w:t>
            </w:r>
            <w:r>
              <w:rPr>
                <w:rFonts w:ascii="Times New Roman" w:eastAsia="等线" w:hAnsi="Times New Roman" w:cs="Times New Roman" w:hint="eastAsia"/>
                <w:color w:val="000000"/>
                <w:szCs w:val="21"/>
              </w:rPr>
              <w:t>0.64</w:t>
            </w:r>
          </w:p>
        </w:tc>
      </w:tr>
      <w:tr w:rsidR="00471529" w14:paraId="2B918FE9" w14:textId="77777777">
        <w:trPr>
          <w:trHeight w:val="340"/>
          <w:jc w:val="center"/>
        </w:trPr>
        <w:tc>
          <w:tcPr>
            <w:tcW w:w="1633" w:type="pct"/>
            <w:tcBorders>
              <w:top w:val="nil"/>
              <w:left w:val="nil"/>
              <w:bottom w:val="single" w:sz="12" w:space="0" w:color="000000"/>
              <w:right w:val="nil"/>
            </w:tcBorders>
            <w:vAlign w:val="center"/>
          </w:tcPr>
          <w:p w14:paraId="1C75DE6B"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C</w:t>
            </w:r>
            <w:r>
              <w:rPr>
                <w:rFonts w:ascii="Times New Roman" w:eastAsia="等线" w:hAnsi="Times New Roman" w:cs="Times New Roman"/>
                <w:color w:val="000000"/>
                <w:szCs w:val="21"/>
              </w:rPr>
              <w:t>BFP</w:t>
            </w:r>
          </w:p>
        </w:tc>
        <w:tc>
          <w:tcPr>
            <w:tcW w:w="1570" w:type="pct"/>
            <w:tcBorders>
              <w:top w:val="nil"/>
              <w:left w:val="nil"/>
              <w:bottom w:val="single" w:sz="12" w:space="0" w:color="000000"/>
              <w:right w:val="nil"/>
            </w:tcBorders>
            <w:vAlign w:val="center"/>
          </w:tcPr>
          <w:p w14:paraId="70E26A83"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9.26</w:t>
            </w:r>
            <w:r>
              <w:rPr>
                <w:rFonts w:ascii="Times New Roman" w:eastAsia="等线" w:hAnsi="Times New Roman" w:cs="Times New Roman" w:hint="eastAsia"/>
                <w:color w:val="000000"/>
                <w:szCs w:val="21"/>
              </w:rPr>
              <w:t>±</w:t>
            </w:r>
            <w:r>
              <w:rPr>
                <w:rFonts w:ascii="Times New Roman" w:eastAsia="等线" w:hAnsi="Times New Roman" w:cs="Times New Roman" w:hint="eastAsia"/>
                <w:color w:val="000000"/>
                <w:szCs w:val="21"/>
              </w:rPr>
              <w:t>0.11</w:t>
            </w:r>
          </w:p>
        </w:tc>
        <w:tc>
          <w:tcPr>
            <w:tcW w:w="1797" w:type="pct"/>
            <w:tcBorders>
              <w:top w:val="nil"/>
              <w:left w:val="nil"/>
              <w:bottom w:val="single" w:sz="12" w:space="0" w:color="000000"/>
              <w:right w:val="nil"/>
            </w:tcBorders>
            <w:vAlign w:val="center"/>
          </w:tcPr>
          <w:p w14:paraId="391D13E8" w14:textId="77777777" w:rsidR="00471529" w:rsidRDefault="00000000">
            <w:pPr>
              <w:spacing w:line="360" w:lineRule="auto"/>
              <w:jc w:val="center"/>
              <w:rPr>
                <w:rFonts w:ascii="Times New Roman" w:eastAsia="等线" w:hAnsi="Times New Roman" w:cs="Times New Roman"/>
                <w:color w:val="000000"/>
                <w:szCs w:val="21"/>
              </w:rPr>
            </w:pPr>
            <w:r>
              <w:rPr>
                <w:rFonts w:ascii="Times New Roman" w:eastAsia="等线" w:hAnsi="Times New Roman" w:cs="Times New Roman" w:hint="eastAsia"/>
                <w:color w:val="000000"/>
                <w:szCs w:val="21"/>
              </w:rPr>
              <w:t>10.02</w:t>
            </w:r>
            <w:r>
              <w:rPr>
                <w:rFonts w:ascii="Times New Roman" w:eastAsia="等线" w:hAnsi="Times New Roman" w:cs="Times New Roman" w:hint="eastAsia"/>
                <w:color w:val="000000"/>
                <w:szCs w:val="21"/>
              </w:rPr>
              <w:t>±</w:t>
            </w:r>
            <w:r>
              <w:rPr>
                <w:rFonts w:ascii="Times New Roman" w:eastAsia="等线" w:hAnsi="Times New Roman" w:cs="Times New Roman" w:hint="eastAsia"/>
                <w:color w:val="000000"/>
                <w:szCs w:val="21"/>
              </w:rPr>
              <w:t>0.13</w:t>
            </w:r>
          </w:p>
        </w:tc>
      </w:tr>
    </w:tbl>
    <w:p w14:paraId="0A4AB550" w14:textId="77777777" w:rsidR="00471529" w:rsidRDefault="00471529">
      <w:pPr>
        <w:widowControl/>
        <w:spacing w:line="360" w:lineRule="auto"/>
        <w:jc w:val="left"/>
        <w:rPr>
          <w:rFonts w:ascii="Times New Roman" w:hAnsi="Times New Roman" w:cs="Times New Roman"/>
          <w:b/>
          <w:bCs/>
          <w:sz w:val="24"/>
          <w:szCs w:val="28"/>
        </w:rPr>
      </w:pPr>
    </w:p>
    <w:p w14:paraId="6F1A8577" w14:textId="77777777" w:rsidR="00471529" w:rsidRDefault="00000000">
      <w:pPr>
        <w:widowControl/>
        <w:spacing w:line="360" w:lineRule="auto"/>
        <w:jc w:val="left"/>
        <w:rPr>
          <w:rFonts w:ascii="Times New Roman" w:hAnsi="Times New Roman" w:cs="Times New Roman"/>
          <w:b/>
          <w:bCs/>
          <w:sz w:val="24"/>
          <w:szCs w:val="28"/>
        </w:rPr>
      </w:pPr>
      <w:r>
        <w:rPr>
          <w:rFonts w:ascii="Times New Roman" w:hAnsi="Times New Roman" w:cs="Times New Roman" w:hint="eastAsia"/>
          <w:b/>
          <w:bCs/>
          <w:sz w:val="24"/>
          <w:szCs w:val="28"/>
        </w:rPr>
        <w:t xml:space="preserve">Table S10 </w:t>
      </w:r>
      <w:r>
        <w:rPr>
          <w:rFonts w:ascii="Times New Roman" w:hAnsi="Times New Roman" w:cs="Times New Roman" w:hint="eastAsia"/>
          <w:sz w:val="24"/>
          <w:szCs w:val="28"/>
        </w:rPr>
        <w:t>Groups for</w:t>
      </w:r>
      <w:r>
        <w:rPr>
          <w:rFonts w:ascii="Times New Roman" w:hAnsi="Times New Roman" w:cs="Times New Roman" w:hint="eastAsia"/>
          <w:b/>
          <w:bCs/>
          <w:sz w:val="24"/>
          <w:szCs w:val="28"/>
        </w:rPr>
        <w:t xml:space="preserve"> </w:t>
      </w:r>
      <w:r>
        <w:rPr>
          <w:rFonts w:ascii="Times New Roman" w:hAnsi="Times New Roman" w:cs="Times New Roman" w:hint="eastAsia"/>
          <w:sz w:val="24"/>
          <w:szCs w:val="28"/>
        </w:rPr>
        <w:t>pyridoxal addition experiments</w:t>
      </w:r>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0"/>
        <w:gridCol w:w="1878"/>
        <w:gridCol w:w="1780"/>
        <w:gridCol w:w="1624"/>
        <w:gridCol w:w="1634"/>
      </w:tblGrid>
      <w:tr w:rsidR="00471529" w14:paraId="59E9E7CE" w14:textId="77777777">
        <w:tc>
          <w:tcPr>
            <w:tcW w:w="1413" w:type="dxa"/>
            <w:tcBorders>
              <w:top w:val="single" w:sz="12" w:space="0" w:color="auto"/>
              <w:bottom w:val="single" w:sz="8" w:space="0" w:color="auto"/>
            </w:tcBorders>
          </w:tcPr>
          <w:p w14:paraId="677F2A67"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Group</w:t>
            </w:r>
          </w:p>
        </w:tc>
        <w:tc>
          <w:tcPr>
            <w:tcW w:w="1905" w:type="dxa"/>
            <w:tcBorders>
              <w:top w:val="single" w:sz="12" w:space="0" w:color="auto"/>
              <w:bottom w:val="single" w:sz="8" w:space="0" w:color="auto"/>
            </w:tcBorders>
          </w:tcPr>
          <w:p w14:paraId="148A9B25" w14:textId="77777777" w:rsidR="00471529" w:rsidRDefault="00000000">
            <w:pPr>
              <w:widowControl/>
              <w:jc w:val="center"/>
              <w:rPr>
                <w:rFonts w:ascii="Times New Roman" w:hAnsi="Times New Roman" w:cs="Times New Roman"/>
              </w:rPr>
            </w:pPr>
            <w:r>
              <w:rPr>
                <w:rFonts w:ascii="Times New Roman" w:hAnsi="Times New Roman" w:cs="Times New Roman"/>
              </w:rPr>
              <w:t xml:space="preserve">Axenic </w:t>
            </w:r>
            <w:r>
              <w:rPr>
                <w:rFonts w:ascii="Times New Roman" w:hAnsi="Times New Roman" w:cs="Times New Roman"/>
                <w:i/>
                <w:iCs/>
              </w:rPr>
              <w:t>A. pyrenoidosa</w:t>
            </w:r>
          </w:p>
        </w:tc>
        <w:tc>
          <w:tcPr>
            <w:tcW w:w="1659" w:type="dxa"/>
            <w:tcBorders>
              <w:top w:val="single" w:sz="12" w:space="0" w:color="auto"/>
              <w:bottom w:val="single" w:sz="8" w:space="0" w:color="auto"/>
            </w:tcBorders>
          </w:tcPr>
          <w:p w14:paraId="246E993C"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i/>
                <w:iCs/>
                <w:szCs w:val="21"/>
              </w:rPr>
              <w:t>Pseudomonas</w:t>
            </w:r>
            <w:r>
              <w:rPr>
                <w:rFonts w:ascii="Times New Roman" w:hAnsi="Times New Roman" w:cs="Times New Roman"/>
                <w:szCs w:val="21"/>
              </w:rPr>
              <w:t>_sp1</w:t>
            </w:r>
          </w:p>
        </w:tc>
        <w:tc>
          <w:tcPr>
            <w:tcW w:w="1659" w:type="dxa"/>
            <w:tcBorders>
              <w:top w:val="single" w:sz="12" w:space="0" w:color="auto"/>
              <w:bottom w:val="single" w:sz="8" w:space="0" w:color="auto"/>
            </w:tcBorders>
          </w:tcPr>
          <w:p w14:paraId="41F94E84"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szCs w:val="21"/>
              </w:rPr>
              <w:t>FF (mg/L)</w:t>
            </w:r>
          </w:p>
        </w:tc>
        <w:tc>
          <w:tcPr>
            <w:tcW w:w="1660" w:type="dxa"/>
            <w:tcBorders>
              <w:top w:val="single" w:sz="12" w:space="0" w:color="auto"/>
              <w:bottom w:val="single" w:sz="8" w:space="0" w:color="auto"/>
            </w:tcBorders>
          </w:tcPr>
          <w:p w14:paraId="1445EEE1"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szCs w:val="21"/>
              </w:rPr>
              <w:t>Pyridoxal (</w:t>
            </w:r>
            <w:proofErr w:type="spellStart"/>
            <w:r>
              <w:rPr>
                <w:rFonts w:ascii="Times New Roman" w:hAnsi="Times New Roman" w:cs="Times New Roman"/>
                <w:szCs w:val="21"/>
              </w:rPr>
              <w:t>μg</w:t>
            </w:r>
            <w:proofErr w:type="spellEnd"/>
            <w:r>
              <w:rPr>
                <w:rFonts w:ascii="Times New Roman" w:hAnsi="Times New Roman" w:cs="Times New Roman"/>
                <w:szCs w:val="21"/>
              </w:rPr>
              <w:t>/L)</w:t>
            </w:r>
          </w:p>
        </w:tc>
      </w:tr>
      <w:tr w:rsidR="00471529" w14:paraId="22A8146A" w14:textId="77777777">
        <w:tc>
          <w:tcPr>
            <w:tcW w:w="1413" w:type="dxa"/>
            <w:tcBorders>
              <w:top w:val="single" w:sz="8" w:space="0" w:color="auto"/>
              <w:bottom w:val="nil"/>
            </w:tcBorders>
          </w:tcPr>
          <w:p w14:paraId="7D6EC145"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w:t>
            </w:r>
          </w:p>
        </w:tc>
        <w:tc>
          <w:tcPr>
            <w:tcW w:w="1905" w:type="dxa"/>
            <w:tcBorders>
              <w:top w:val="single" w:sz="8" w:space="0" w:color="auto"/>
              <w:bottom w:val="nil"/>
            </w:tcBorders>
          </w:tcPr>
          <w:p w14:paraId="1CF96270"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single" w:sz="8" w:space="0" w:color="auto"/>
              <w:bottom w:val="nil"/>
            </w:tcBorders>
          </w:tcPr>
          <w:p w14:paraId="26422B98"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hint="eastAsia"/>
                <w:szCs w:val="21"/>
              </w:rPr>
              <w:t>--</w:t>
            </w:r>
          </w:p>
        </w:tc>
        <w:tc>
          <w:tcPr>
            <w:tcW w:w="1659" w:type="dxa"/>
            <w:tcBorders>
              <w:top w:val="single" w:sz="8" w:space="0" w:color="auto"/>
              <w:bottom w:val="nil"/>
            </w:tcBorders>
          </w:tcPr>
          <w:p w14:paraId="538F35F1"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hint="eastAsia"/>
                <w:szCs w:val="21"/>
              </w:rPr>
              <w:t>0</w:t>
            </w:r>
          </w:p>
        </w:tc>
        <w:tc>
          <w:tcPr>
            <w:tcW w:w="1660" w:type="dxa"/>
            <w:tcBorders>
              <w:top w:val="single" w:sz="8" w:space="0" w:color="auto"/>
              <w:bottom w:val="nil"/>
            </w:tcBorders>
          </w:tcPr>
          <w:p w14:paraId="38154295"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hint="eastAsia"/>
                <w:szCs w:val="21"/>
              </w:rPr>
              <w:t>0</w:t>
            </w:r>
          </w:p>
        </w:tc>
      </w:tr>
      <w:tr w:rsidR="00471529" w14:paraId="04AEF10C" w14:textId="77777777">
        <w:tc>
          <w:tcPr>
            <w:tcW w:w="1413" w:type="dxa"/>
            <w:tcBorders>
              <w:top w:val="nil"/>
              <w:bottom w:val="nil"/>
            </w:tcBorders>
          </w:tcPr>
          <w:p w14:paraId="2523E886"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CF</w:t>
            </w:r>
          </w:p>
        </w:tc>
        <w:tc>
          <w:tcPr>
            <w:tcW w:w="1905" w:type="dxa"/>
            <w:tcBorders>
              <w:top w:val="nil"/>
              <w:bottom w:val="nil"/>
            </w:tcBorders>
          </w:tcPr>
          <w:p w14:paraId="6D9C1121"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1749FE86"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hint="eastAsia"/>
                <w:szCs w:val="21"/>
              </w:rPr>
              <w:t>--</w:t>
            </w:r>
          </w:p>
        </w:tc>
        <w:tc>
          <w:tcPr>
            <w:tcW w:w="1659" w:type="dxa"/>
            <w:tcBorders>
              <w:top w:val="nil"/>
              <w:bottom w:val="nil"/>
            </w:tcBorders>
          </w:tcPr>
          <w:p w14:paraId="0CB624F0"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hint="eastAsia"/>
                <w:szCs w:val="21"/>
              </w:rPr>
              <w:t>10</w:t>
            </w:r>
          </w:p>
        </w:tc>
        <w:tc>
          <w:tcPr>
            <w:tcW w:w="1660" w:type="dxa"/>
            <w:tcBorders>
              <w:top w:val="nil"/>
              <w:bottom w:val="nil"/>
            </w:tcBorders>
          </w:tcPr>
          <w:p w14:paraId="42B3BEE3" w14:textId="77777777" w:rsidR="00471529" w:rsidRDefault="00000000">
            <w:pPr>
              <w:widowControl/>
              <w:spacing w:line="360" w:lineRule="auto"/>
              <w:jc w:val="center"/>
              <w:rPr>
                <w:rFonts w:ascii="Times New Roman" w:hAnsi="Times New Roman" w:cs="Times New Roman"/>
                <w:szCs w:val="21"/>
              </w:rPr>
            </w:pPr>
            <w:r>
              <w:rPr>
                <w:rFonts w:ascii="Times New Roman" w:hAnsi="Times New Roman" w:cs="Times New Roman" w:hint="eastAsia"/>
                <w:szCs w:val="21"/>
              </w:rPr>
              <w:t>0</w:t>
            </w:r>
          </w:p>
        </w:tc>
      </w:tr>
      <w:tr w:rsidR="00471529" w14:paraId="3AB44E1F" w14:textId="77777777">
        <w:tc>
          <w:tcPr>
            <w:tcW w:w="1413" w:type="dxa"/>
            <w:tcBorders>
              <w:top w:val="nil"/>
              <w:bottom w:val="nil"/>
            </w:tcBorders>
          </w:tcPr>
          <w:p w14:paraId="46620006"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CF-5VB6</w:t>
            </w:r>
          </w:p>
        </w:tc>
        <w:tc>
          <w:tcPr>
            <w:tcW w:w="1905" w:type="dxa"/>
            <w:tcBorders>
              <w:top w:val="nil"/>
              <w:bottom w:val="nil"/>
            </w:tcBorders>
          </w:tcPr>
          <w:p w14:paraId="38A7B588"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14EBE399"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3887191C"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c>
          <w:tcPr>
            <w:tcW w:w="1660" w:type="dxa"/>
            <w:tcBorders>
              <w:top w:val="nil"/>
              <w:bottom w:val="nil"/>
            </w:tcBorders>
          </w:tcPr>
          <w:p w14:paraId="31DB0750"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5</w:t>
            </w:r>
          </w:p>
        </w:tc>
      </w:tr>
      <w:tr w:rsidR="00471529" w14:paraId="7A991F06" w14:textId="77777777">
        <w:tc>
          <w:tcPr>
            <w:tcW w:w="1413" w:type="dxa"/>
            <w:tcBorders>
              <w:top w:val="nil"/>
              <w:bottom w:val="nil"/>
            </w:tcBorders>
          </w:tcPr>
          <w:p w14:paraId="3225CEBC"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CF-10VB6</w:t>
            </w:r>
          </w:p>
        </w:tc>
        <w:tc>
          <w:tcPr>
            <w:tcW w:w="1905" w:type="dxa"/>
            <w:tcBorders>
              <w:top w:val="nil"/>
              <w:bottom w:val="nil"/>
            </w:tcBorders>
          </w:tcPr>
          <w:p w14:paraId="6F78C31B"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06E1E796"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237E13E0"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c>
          <w:tcPr>
            <w:tcW w:w="1660" w:type="dxa"/>
            <w:tcBorders>
              <w:top w:val="nil"/>
              <w:bottom w:val="nil"/>
            </w:tcBorders>
          </w:tcPr>
          <w:p w14:paraId="36CD3C90"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r>
      <w:tr w:rsidR="00471529" w14:paraId="3F818212" w14:textId="77777777">
        <w:tc>
          <w:tcPr>
            <w:tcW w:w="1413" w:type="dxa"/>
            <w:tcBorders>
              <w:top w:val="nil"/>
              <w:bottom w:val="nil"/>
            </w:tcBorders>
          </w:tcPr>
          <w:p w14:paraId="5F482AA7"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CB</w:t>
            </w:r>
          </w:p>
        </w:tc>
        <w:tc>
          <w:tcPr>
            <w:tcW w:w="1905" w:type="dxa"/>
            <w:tcBorders>
              <w:top w:val="nil"/>
              <w:bottom w:val="nil"/>
            </w:tcBorders>
          </w:tcPr>
          <w:p w14:paraId="6E994413"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08D56CF7"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7EC1EE1C"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0</w:t>
            </w:r>
          </w:p>
        </w:tc>
        <w:tc>
          <w:tcPr>
            <w:tcW w:w="1660" w:type="dxa"/>
            <w:tcBorders>
              <w:top w:val="nil"/>
              <w:bottom w:val="nil"/>
            </w:tcBorders>
          </w:tcPr>
          <w:p w14:paraId="70D892B8"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0</w:t>
            </w:r>
          </w:p>
        </w:tc>
      </w:tr>
      <w:tr w:rsidR="00471529" w14:paraId="098929B9" w14:textId="77777777">
        <w:tc>
          <w:tcPr>
            <w:tcW w:w="1413" w:type="dxa"/>
            <w:tcBorders>
              <w:top w:val="nil"/>
              <w:bottom w:val="nil"/>
            </w:tcBorders>
          </w:tcPr>
          <w:p w14:paraId="6667D5A9"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CBF</w:t>
            </w:r>
          </w:p>
        </w:tc>
        <w:tc>
          <w:tcPr>
            <w:tcW w:w="1905" w:type="dxa"/>
            <w:tcBorders>
              <w:top w:val="nil"/>
              <w:bottom w:val="nil"/>
            </w:tcBorders>
          </w:tcPr>
          <w:p w14:paraId="387CAE87"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22404DBB"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17F2CCDD"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c>
          <w:tcPr>
            <w:tcW w:w="1660" w:type="dxa"/>
            <w:tcBorders>
              <w:top w:val="nil"/>
              <w:bottom w:val="nil"/>
            </w:tcBorders>
          </w:tcPr>
          <w:p w14:paraId="58A9EA2A"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0</w:t>
            </w:r>
          </w:p>
        </w:tc>
      </w:tr>
      <w:tr w:rsidR="00471529" w14:paraId="19CF6F18" w14:textId="77777777">
        <w:tc>
          <w:tcPr>
            <w:tcW w:w="1413" w:type="dxa"/>
            <w:tcBorders>
              <w:top w:val="nil"/>
              <w:bottom w:val="nil"/>
            </w:tcBorders>
          </w:tcPr>
          <w:p w14:paraId="6E12573A"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CBF-5VB6</w:t>
            </w:r>
          </w:p>
        </w:tc>
        <w:tc>
          <w:tcPr>
            <w:tcW w:w="1905" w:type="dxa"/>
            <w:tcBorders>
              <w:top w:val="nil"/>
              <w:bottom w:val="nil"/>
            </w:tcBorders>
          </w:tcPr>
          <w:p w14:paraId="50A92EAD"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05707E30"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nil"/>
            </w:tcBorders>
          </w:tcPr>
          <w:p w14:paraId="47A5BB06"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c>
          <w:tcPr>
            <w:tcW w:w="1660" w:type="dxa"/>
            <w:tcBorders>
              <w:top w:val="nil"/>
              <w:bottom w:val="nil"/>
            </w:tcBorders>
          </w:tcPr>
          <w:p w14:paraId="3C04A8E0"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5</w:t>
            </w:r>
          </w:p>
        </w:tc>
      </w:tr>
      <w:tr w:rsidR="00471529" w14:paraId="7CCFB01E" w14:textId="77777777">
        <w:tc>
          <w:tcPr>
            <w:tcW w:w="1413" w:type="dxa"/>
            <w:tcBorders>
              <w:top w:val="nil"/>
              <w:bottom w:val="single" w:sz="12" w:space="0" w:color="auto"/>
            </w:tcBorders>
          </w:tcPr>
          <w:p w14:paraId="45E5BDC4"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CBF-10VB6</w:t>
            </w:r>
          </w:p>
        </w:tc>
        <w:tc>
          <w:tcPr>
            <w:tcW w:w="1905" w:type="dxa"/>
            <w:tcBorders>
              <w:top w:val="nil"/>
              <w:bottom w:val="single" w:sz="12" w:space="0" w:color="auto"/>
            </w:tcBorders>
          </w:tcPr>
          <w:p w14:paraId="19ADDE13"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single" w:sz="12" w:space="0" w:color="auto"/>
            </w:tcBorders>
          </w:tcPr>
          <w:p w14:paraId="3E2D3886"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w:t>
            </w:r>
          </w:p>
        </w:tc>
        <w:tc>
          <w:tcPr>
            <w:tcW w:w="1659" w:type="dxa"/>
            <w:tcBorders>
              <w:top w:val="nil"/>
              <w:bottom w:val="single" w:sz="12" w:space="0" w:color="auto"/>
            </w:tcBorders>
          </w:tcPr>
          <w:p w14:paraId="67DE3A4E"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c>
          <w:tcPr>
            <w:tcW w:w="1660" w:type="dxa"/>
            <w:tcBorders>
              <w:top w:val="nil"/>
              <w:bottom w:val="single" w:sz="12" w:space="0" w:color="auto"/>
            </w:tcBorders>
          </w:tcPr>
          <w:p w14:paraId="536FA311" w14:textId="77777777" w:rsidR="00471529" w:rsidRDefault="00000000">
            <w:pPr>
              <w:widowControl/>
              <w:spacing w:line="360" w:lineRule="auto"/>
              <w:jc w:val="center"/>
              <w:rPr>
                <w:rFonts w:ascii="Times New Roman" w:hAnsi="Times New Roman" w:cs="Times New Roman"/>
              </w:rPr>
            </w:pPr>
            <w:r>
              <w:rPr>
                <w:rFonts w:ascii="Times New Roman" w:hAnsi="Times New Roman" w:cs="Times New Roman" w:hint="eastAsia"/>
              </w:rPr>
              <w:t>10</w:t>
            </w:r>
          </w:p>
        </w:tc>
      </w:tr>
    </w:tbl>
    <w:p w14:paraId="46A47326" w14:textId="03C57A0B" w:rsidR="00471529" w:rsidRDefault="00471529">
      <w:pPr>
        <w:widowControl/>
        <w:spacing w:line="360" w:lineRule="auto"/>
        <w:jc w:val="left"/>
        <w:rPr>
          <w:rFonts w:ascii="Times New Roman" w:hAnsi="Times New Roman" w:cs="Times New Roman"/>
          <w:sz w:val="24"/>
          <w:szCs w:val="28"/>
        </w:rPr>
      </w:pPr>
    </w:p>
    <w:sectPr w:rsidR="0047152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1DD88" w14:textId="77777777" w:rsidR="001415F4" w:rsidRDefault="001415F4" w:rsidP="00E025E5">
      <w:pPr>
        <w:rPr>
          <w:rFonts w:hint="eastAsia"/>
        </w:rPr>
      </w:pPr>
      <w:r>
        <w:separator/>
      </w:r>
    </w:p>
  </w:endnote>
  <w:endnote w:type="continuationSeparator" w:id="0">
    <w:p w14:paraId="48B2F747" w14:textId="77777777" w:rsidR="001415F4" w:rsidRDefault="001415F4" w:rsidP="00E025E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64AFC" w14:textId="77777777" w:rsidR="001415F4" w:rsidRDefault="001415F4" w:rsidP="00E025E5">
      <w:pPr>
        <w:rPr>
          <w:rFonts w:hint="eastAsia"/>
        </w:rPr>
      </w:pPr>
      <w:r>
        <w:separator/>
      </w:r>
    </w:p>
  </w:footnote>
  <w:footnote w:type="continuationSeparator" w:id="0">
    <w:p w14:paraId="2AB9D825" w14:textId="77777777" w:rsidR="001415F4" w:rsidRDefault="001415F4" w:rsidP="00E025E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hideGrammaticalErrors/>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ztjS0sDQ2N7W0sDBT0lEKTi0uzszPAykwNKkFABnZs2QtAAAA"/>
    <w:docVar w:name="EN.InstantFormat" w:val="&lt;ENInstantFormat&gt;&lt;Enabled&gt;1&lt;/Enabled&gt;&lt;ScanUnformatted&gt;1&lt;/ScanUnformatted&gt;&lt;ScanChanges&gt;1&lt;/ScanChanges&gt;&lt;Suspended&gt;0&lt;/Suspended&gt;&lt;/ENInstantFormat&gt;"/>
    <w:docVar w:name="EN.Layout" w:val="&lt;ENLayout&gt;&lt;Style&gt;BMC Microbiology&lt;/Style&gt;&lt;LeftDelim&gt;{&lt;/LeftDelim&gt;&lt;RightDelim&gt;}&lt;/RightDelim&gt;&lt;FontName&gt;Times New Roman&lt;/FontName&gt;&lt;FontSize&gt;12&lt;/FontSize&gt;&lt;ReflistTitle&gt;&lt;/ReflistTitle&gt;&lt;StartingRefnum&gt;1&lt;/StartingRefnum&gt;&lt;FirstLineIndent&gt;0&lt;/FirstLineIndent&gt;&lt;HangingIndent&gt;311&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Libraries&gt;"/>
  </w:docVars>
  <w:rsids>
    <w:rsidRoot w:val="007577ED"/>
    <w:rsid w:val="00000A69"/>
    <w:rsid w:val="00001C88"/>
    <w:rsid w:val="00002F87"/>
    <w:rsid w:val="00004248"/>
    <w:rsid w:val="0000558E"/>
    <w:rsid w:val="00005852"/>
    <w:rsid w:val="000070F0"/>
    <w:rsid w:val="00010AED"/>
    <w:rsid w:val="00011B57"/>
    <w:rsid w:val="00011F76"/>
    <w:rsid w:val="00016B95"/>
    <w:rsid w:val="00023C3F"/>
    <w:rsid w:val="00026987"/>
    <w:rsid w:val="00030800"/>
    <w:rsid w:val="00030BF6"/>
    <w:rsid w:val="00031B55"/>
    <w:rsid w:val="0003349F"/>
    <w:rsid w:val="000369C8"/>
    <w:rsid w:val="000408C0"/>
    <w:rsid w:val="000419D7"/>
    <w:rsid w:val="00043C71"/>
    <w:rsid w:val="000444AA"/>
    <w:rsid w:val="00045C70"/>
    <w:rsid w:val="0004611E"/>
    <w:rsid w:val="00047FC9"/>
    <w:rsid w:val="00053169"/>
    <w:rsid w:val="00054BA1"/>
    <w:rsid w:val="00063953"/>
    <w:rsid w:val="000655C6"/>
    <w:rsid w:val="00065B13"/>
    <w:rsid w:val="00070B39"/>
    <w:rsid w:val="00073C4A"/>
    <w:rsid w:val="00075292"/>
    <w:rsid w:val="000752F5"/>
    <w:rsid w:val="00075D19"/>
    <w:rsid w:val="00075E6E"/>
    <w:rsid w:val="00077F99"/>
    <w:rsid w:val="000869F0"/>
    <w:rsid w:val="00091E10"/>
    <w:rsid w:val="000960C5"/>
    <w:rsid w:val="00096E7F"/>
    <w:rsid w:val="000A1D2F"/>
    <w:rsid w:val="000B3FF4"/>
    <w:rsid w:val="000B52B7"/>
    <w:rsid w:val="000B5946"/>
    <w:rsid w:val="000B64B2"/>
    <w:rsid w:val="000B6E31"/>
    <w:rsid w:val="000C6EB1"/>
    <w:rsid w:val="000D4289"/>
    <w:rsid w:val="000D5D13"/>
    <w:rsid w:val="000E056A"/>
    <w:rsid w:val="000F1507"/>
    <w:rsid w:val="000F787A"/>
    <w:rsid w:val="0010234B"/>
    <w:rsid w:val="00104393"/>
    <w:rsid w:val="001044D7"/>
    <w:rsid w:val="001046EA"/>
    <w:rsid w:val="0011286A"/>
    <w:rsid w:val="0011479C"/>
    <w:rsid w:val="00121F37"/>
    <w:rsid w:val="00121FA0"/>
    <w:rsid w:val="001220D4"/>
    <w:rsid w:val="00122158"/>
    <w:rsid w:val="00122DF9"/>
    <w:rsid w:val="00124B86"/>
    <w:rsid w:val="001270D6"/>
    <w:rsid w:val="00132047"/>
    <w:rsid w:val="001359BA"/>
    <w:rsid w:val="001415F4"/>
    <w:rsid w:val="0014368D"/>
    <w:rsid w:val="00144294"/>
    <w:rsid w:val="00152B47"/>
    <w:rsid w:val="00156E40"/>
    <w:rsid w:val="00164C8B"/>
    <w:rsid w:val="00166819"/>
    <w:rsid w:val="00170304"/>
    <w:rsid w:val="00170CD8"/>
    <w:rsid w:val="00174580"/>
    <w:rsid w:val="001813BA"/>
    <w:rsid w:val="00182282"/>
    <w:rsid w:val="00183103"/>
    <w:rsid w:val="0018355E"/>
    <w:rsid w:val="00183794"/>
    <w:rsid w:val="00185E59"/>
    <w:rsid w:val="00192BA1"/>
    <w:rsid w:val="00195D4B"/>
    <w:rsid w:val="001A02F1"/>
    <w:rsid w:val="001A3F68"/>
    <w:rsid w:val="001A4C0F"/>
    <w:rsid w:val="001A6122"/>
    <w:rsid w:val="001A7483"/>
    <w:rsid w:val="001B288E"/>
    <w:rsid w:val="001B3CF0"/>
    <w:rsid w:val="001D085E"/>
    <w:rsid w:val="001D0912"/>
    <w:rsid w:val="001D4EE8"/>
    <w:rsid w:val="001E0F19"/>
    <w:rsid w:val="001F029E"/>
    <w:rsid w:val="001F1A85"/>
    <w:rsid w:val="001F2347"/>
    <w:rsid w:val="001F33BC"/>
    <w:rsid w:val="001F5171"/>
    <w:rsid w:val="001F5DFA"/>
    <w:rsid w:val="00200278"/>
    <w:rsid w:val="0020287D"/>
    <w:rsid w:val="00206EB8"/>
    <w:rsid w:val="00217B71"/>
    <w:rsid w:val="00221A4B"/>
    <w:rsid w:val="00221B70"/>
    <w:rsid w:val="0022628C"/>
    <w:rsid w:val="00232D39"/>
    <w:rsid w:val="0023381C"/>
    <w:rsid w:val="00242A70"/>
    <w:rsid w:val="002450A9"/>
    <w:rsid w:val="00246DA3"/>
    <w:rsid w:val="002477F6"/>
    <w:rsid w:val="00251140"/>
    <w:rsid w:val="00251F91"/>
    <w:rsid w:val="00252DE0"/>
    <w:rsid w:val="002531E1"/>
    <w:rsid w:val="00254062"/>
    <w:rsid w:val="0025422B"/>
    <w:rsid w:val="00254AD5"/>
    <w:rsid w:val="002615B2"/>
    <w:rsid w:val="00270C3D"/>
    <w:rsid w:val="0027575B"/>
    <w:rsid w:val="00280E87"/>
    <w:rsid w:val="00286D0B"/>
    <w:rsid w:val="00290027"/>
    <w:rsid w:val="002919E1"/>
    <w:rsid w:val="00296023"/>
    <w:rsid w:val="002A3D69"/>
    <w:rsid w:val="002B3AFA"/>
    <w:rsid w:val="002C1612"/>
    <w:rsid w:val="002C4000"/>
    <w:rsid w:val="002C76D0"/>
    <w:rsid w:val="002D17FD"/>
    <w:rsid w:val="002D1DE5"/>
    <w:rsid w:val="002D3CC1"/>
    <w:rsid w:val="002D617D"/>
    <w:rsid w:val="002D6674"/>
    <w:rsid w:val="002E30AD"/>
    <w:rsid w:val="002E4D83"/>
    <w:rsid w:val="002F11C8"/>
    <w:rsid w:val="002F4894"/>
    <w:rsid w:val="002F5E20"/>
    <w:rsid w:val="003000F5"/>
    <w:rsid w:val="0030103A"/>
    <w:rsid w:val="003027FE"/>
    <w:rsid w:val="00306FE5"/>
    <w:rsid w:val="003103EF"/>
    <w:rsid w:val="00310D83"/>
    <w:rsid w:val="003140E0"/>
    <w:rsid w:val="00320D42"/>
    <w:rsid w:val="00324120"/>
    <w:rsid w:val="00324232"/>
    <w:rsid w:val="00327509"/>
    <w:rsid w:val="00331A3C"/>
    <w:rsid w:val="003320C6"/>
    <w:rsid w:val="00332BD7"/>
    <w:rsid w:val="003347E9"/>
    <w:rsid w:val="00337B65"/>
    <w:rsid w:val="00337E80"/>
    <w:rsid w:val="00337FA7"/>
    <w:rsid w:val="00341ABD"/>
    <w:rsid w:val="00356195"/>
    <w:rsid w:val="00365E5C"/>
    <w:rsid w:val="00367CF6"/>
    <w:rsid w:val="00370016"/>
    <w:rsid w:val="003723B6"/>
    <w:rsid w:val="00372982"/>
    <w:rsid w:val="00376D29"/>
    <w:rsid w:val="00377028"/>
    <w:rsid w:val="003776D3"/>
    <w:rsid w:val="0038148E"/>
    <w:rsid w:val="0038213C"/>
    <w:rsid w:val="003873AD"/>
    <w:rsid w:val="003875C1"/>
    <w:rsid w:val="00391CE2"/>
    <w:rsid w:val="00394D8A"/>
    <w:rsid w:val="003A60E5"/>
    <w:rsid w:val="003A7387"/>
    <w:rsid w:val="003C461A"/>
    <w:rsid w:val="003D3358"/>
    <w:rsid w:val="003E7870"/>
    <w:rsid w:val="003F2BE1"/>
    <w:rsid w:val="003F6C12"/>
    <w:rsid w:val="00401259"/>
    <w:rsid w:val="00401CC5"/>
    <w:rsid w:val="00407426"/>
    <w:rsid w:val="004100CA"/>
    <w:rsid w:val="004125A0"/>
    <w:rsid w:val="004135A3"/>
    <w:rsid w:val="00413EC2"/>
    <w:rsid w:val="0041538C"/>
    <w:rsid w:val="00416245"/>
    <w:rsid w:val="004171E2"/>
    <w:rsid w:val="00423072"/>
    <w:rsid w:val="00430817"/>
    <w:rsid w:val="00431A80"/>
    <w:rsid w:val="00432C28"/>
    <w:rsid w:val="00434C41"/>
    <w:rsid w:val="0043501D"/>
    <w:rsid w:val="004359D4"/>
    <w:rsid w:val="00442161"/>
    <w:rsid w:val="004429C9"/>
    <w:rsid w:val="004533C8"/>
    <w:rsid w:val="00455714"/>
    <w:rsid w:val="00455750"/>
    <w:rsid w:val="0046093D"/>
    <w:rsid w:val="004652B0"/>
    <w:rsid w:val="00471529"/>
    <w:rsid w:val="00474703"/>
    <w:rsid w:val="004749D6"/>
    <w:rsid w:val="00475D18"/>
    <w:rsid w:val="004805F9"/>
    <w:rsid w:val="0048067D"/>
    <w:rsid w:val="00482400"/>
    <w:rsid w:val="004829CA"/>
    <w:rsid w:val="004837D0"/>
    <w:rsid w:val="00484353"/>
    <w:rsid w:val="00485495"/>
    <w:rsid w:val="004874E2"/>
    <w:rsid w:val="00493035"/>
    <w:rsid w:val="00495AF3"/>
    <w:rsid w:val="004A0DEE"/>
    <w:rsid w:val="004A5243"/>
    <w:rsid w:val="004A5646"/>
    <w:rsid w:val="004A59E2"/>
    <w:rsid w:val="004A63E7"/>
    <w:rsid w:val="004A6D37"/>
    <w:rsid w:val="004B2212"/>
    <w:rsid w:val="004B27CC"/>
    <w:rsid w:val="004B2FFC"/>
    <w:rsid w:val="004B50AF"/>
    <w:rsid w:val="004C4B47"/>
    <w:rsid w:val="004D16D3"/>
    <w:rsid w:val="004D7CC2"/>
    <w:rsid w:val="004E370E"/>
    <w:rsid w:val="004E5081"/>
    <w:rsid w:val="004E66C7"/>
    <w:rsid w:val="004E706D"/>
    <w:rsid w:val="004F2DE6"/>
    <w:rsid w:val="00503353"/>
    <w:rsid w:val="00505359"/>
    <w:rsid w:val="00510112"/>
    <w:rsid w:val="005115BD"/>
    <w:rsid w:val="00513AC6"/>
    <w:rsid w:val="005144D8"/>
    <w:rsid w:val="00515B95"/>
    <w:rsid w:val="00517131"/>
    <w:rsid w:val="00520089"/>
    <w:rsid w:val="00522D38"/>
    <w:rsid w:val="00523784"/>
    <w:rsid w:val="00527F44"/>
    <w:rsid w:val="0054117A"/>
    <w:rsid w:val="00541D37"/>
    <w:rsid w:val="00544E85"/>
    <w:rsid w:val="00545AA5"/>
    <w:rsid w:val="00546E30"/>
    <w:rsid w:val="005548CE"/>
    <w:rsid w:val="005549E1"/>
    <w:rsid w:val="00556577"/>
    <w:rsid w:val="00556D97"/>
    <w:rsid w:val="005579DB"/>
    <w:rsid w:val="0056135D"/>
    <w:rsid w:val="005632F9"/>
    <w:rsid w:val="00563CA1"/>
    <w:rsid w:val="00564602"/>
    <w:rsid w:val="005659DF"/>
    <w:rsid w:val="005732BD"/>
    <w:rsid w:val="00577713"/>
    <w:rsid w:val="00583579"/>
    <w:rsid w:val="00585457"/>
    <w:rsid w:val="00586C34"/>
    <w:rsid w:val="00594721"/>
    <w:rsid w:val="00594A47"/>
    <w:rsid w:val="00595487"/>
    <w:rsid w:val="0059595D"/>
    <w:rsid w:val="005A29A2"/>
    <w:rsid w:val="005A421F"/>
    <w:rsid w:val="005A69F5"/>
    <w:rsid w:val="005B05DC"/>
    <w:rsid w:val="005B2F20"/>
    <w:rsid w:val="005B5949"/>
    <w:rsid w:val="005C0B4D"/>
    <w:rsid w:val="005C4514"/>
    <w:rsid w:val="005C5012"/>
    <w:rsid w:val="005D061F"/>
    <w:rsid w:val="005D07CA"/>
    <w:rsid w:val="005D09A9"/>
    <w:rsid w:val="005D5602"/>
    <w:rsid w:val="005D7C05"/>
    <w:rsid w:val="005E10C9"/>
    <w:rsid w:val="005E335D"/>
    <w:rsid w:val="005E6503"/>
    <w:rsid w:val="005E7339"/>
    <w:rsid w:val="005F0010"/>
    <w:rsid w:val="005F0956"/>
    <w:rsid w:val="00604503"/>
    <w:rsid w:val="006077D7"/>
    <w:rsid w:val="0060793E"/>
    <w:rsid w:val="006124D4"/>
    <w:rsid w:val="0061501A"/>
    <w:rsid w:val="00620FBF"/>
    <w:rsid w:val="006234D8"/>
    <w:rsid w:val="00623BFE"/>
    <w:rsid w:val="0062513E"/>
    <w:rsid w:val="00625399"/>
    <w:rsid w:val="00625614"/>
    <w:rsid w:val="006260C8"/>
    <w:rsid w:val="00626545"/>
    <w:rsid w:val="00631465"/>
    <w:rsid w:val="0066137E"/>
    <w:rsid w:val="00663F9F"/>
    <w:rsid w:val="00664351"/>
    <w:rsid w:val="00673717"/>
    <w:rsid w:val="006764BC"/>
    <w:rsid w:val="00677510"/>
    <w:rsid w:val="00680D13"/>
    <w:rsid w:val="00683002"/>
    <w:rsid w:val="006874E5"/>
    <w:rsid w:val="00687C18"/>
    <w:rsid w:val="00693259"/>
    <w:rsid w:val="0069450B"/>
    <w:rsid w:val="00694D3E"/>
    <w:rsid w:val="00695DF3"/>
    <w:rsid w:val="006A01A4"/>
    <w:rsid w:val="006B0407"/>
    <w:rsid w:val="006B1DFF"/>
    <w:rsid w:val="006B36EF"/>
    <w:rsid w:val="006B3BA1"/>
    <w:rsid w:val="006C269A"/>
    <w:rsid w:val="006C2941"/>
    <w:rsid w:val="006C48A3"/>
    <w:rsid w:val="006C65C4"/>
    <w:rsid w:val="006D284E"/>
    <w:rsid w:val="006D3FE2"/>
    <w:rsid w:val="006D44B7"/>
    <w:rsid w:val="006D6203"/>
    <w:rsid w:val="006E29CC"/>
    <w:rsid w:val="006E6E8C"/>
    <w:rsid w:val="006F001C"/>
    <w:rsid w:val="006F39C6"/>
    <w:rsid w:val="0070112C"/>
    <w:rsid w:val="00702B5A"/>
    <w:rsid w:val="007042D8"/>
    <w:rsid w:val="00704318"/>
    <w:rsid w:val="00713930"/>
    <w:rsid w:val="00716660"/>
    <w:rsid w:val="00723FF7"/>
    <w:rsid w:val="00724744"/>
    <w:rsid w:val="007256AD"/>
    <w:rsid w:val="00727EB5"/>
    <w:rsid w:val="00733675"/>
    <w:rsid w:val="007362D0"/>
    <w:rsid w:val="00747EED"/>
    <w:rsid w:val="00751E82"/>
    <w:rsid w:val="0075289D"/>
    <w:rsid w:val="007571C0"/>
    <w:rsid w:val="007577ED"/>
    <w:rsid w:val="00757C06"/>
    <w:rsid w:val="007603D4"/>
    <w:rsid w:val="00762F9A"/>
    <w:rsid w:val="0077615C"/>
    <w:rsid w:val="0078059E"/>
    <w:rsid w:val="00783943"/>
    <w:rsid w:val="00787405"/>
    <w:rsid w:val="00792181"/>
    <w:rsid w:val="00793266"/>
    <w:rsid w:val="007A14A1"/>
    <w:rsid w:val="007A35D7"/>
    <w:rsid w:val="007A4470"/>
    <w:rsid w:val="007A6927"/>
    <w:rsid w:val="007B4C80"/>
    <w:rsid w:val="007B6EA1"/>
    <w:rsid w:val="007C1603"/>
    <w:rsid w:val="007D0CD9"/>
    <w:rsid w:val="007D2917"/>
    <w:rsid w:val="007D3CCC"/>
    <w:rsid w:val="007D49BB"/>
    <w:rsid w:val="007F3B7C"/>
    <w:rsid w:val="007F5A31"/>
    <w:rsid w:val="007F69F3"/>
    <w:rsid w:val="00800B6F"/>
    <w:rsid w:val="00805574"/>
    <w:rsid w:val="00806814"/>
    <w:rsid w:val="00824700"/>
    <w:rsid w:val="00826725"/>
    <w:rsid w:val="008278BD"/>
    <w:rsid w:val="00827AE1"/>
    <w:rsid w:val="008322DC"/>
    <w:rsid w:val="00835920"/>
    <w:rsid w:val="00835E70"/>
    <w:rsid w:val="00841990"/>
    <w:rsid w:val="008505E9"/>
    <w:rsid w:val="00851399"/>
    <w:rsid w:val="0085250A"/>
    <w:rsid w:val="008552FF"/>
    <w:rsid w:val="008660CA"/>
    <w:rsid w:val="008662C8"/>
    <w:rsid w:val="008744A5"/>
    <w:rsid w:val="00882BBE"/>
    <w:rsid w:val="0088363A"/>
    <w:rsid w:val="00890F93"/>
    <w:rsid w:val="00896815"/>
    <w:rsid w:val="00896E51"/>
    <w:rsid w:val="008A5202"/>
    <w:rsid w:val="008A5A71"/>
    <w:rsid w:val="008A7E3E"/>
    <w:rsid w:val="008B0909"/>
    <w:rsid w:val="008B3FBA"/>
    <w:rsid w:val="008C2861"/>
    <w:rsid w:val="008C4AC3"/>
    <w:rsid w:val="008D180E"/>
    <w:rsid w:val="008D43BB"/>
    <w:rsid w:val="008D753C"/>
    <w:rsid w:val="008E0BE1"/>
    <w:rsid w:val="008F1417"/>
    <w:rsid w:val="008F43B1"/>
    <w:rsid w:val="00901BD6"/>
    <w:rsid w:val="00904079"/>
    <w:rsid w:val="009058F1"/>
    <w:rsid w:val="009070E8"/>
    <w:rsid w:val="00907E97"/>
    <w:rsid w:val="009130A9"/>
    <w:rsid w:val="009138B7"/>
    <w:rsid w:val="00915294"/>
    <w:rsid w:val="009256D3"/>
    <w:rsid w:val="00926D71"/>
    <w:rsid w:val="009344B1"/>
    <w:rsid w:val="009364EF"/>
    <w:rsid w:val="009456A6"/>
    <w:rsid w:val="009464EB"/>
    <w:rsid w:val="0095143E"/>
    <w:rsid w:val="00952953"/>
    <w:rsid w:val="009559B7"/>
    <w:rsid w:val="0095716F"/>
    <w:rsid w:val="0096195A"/>
    <w:rsid w:val="00961D63"/>
    <w:rsid w:val="00961DA2"/>
    <w:rsid w:val="00962F7D"/>
    <w:rsid w:val="0096309F"/>
    <w:rsid w:val="009713A8"/>
    <w:rsid w:val="0097716F"/>
    <w:rsid w:val="00980BD9"/>
    <w:rsid w:val="00984E63"/>
    <w:rsid w:val="009915F6"/>
    <w:rsid w:val="00992543"/>
    <w:rsid w:val="009A3F34"/>
    <w:rsid w:val="009A5F01"/>
    <w:rsid w:val="009B149F"/>
    <w:rsid w:val="009B33B8"/>
    <w:rsid w:val="009B7F6F"/>
    <w:rsid w:val="009C2372"/>
    <w:rsid w:val="009C2BA0"/>
    <w:rsid w:val="009C7906"/>
    <w:rsid w:val="009D243D"/>
    <w:rsid w:val="009D63E7"/>
    <w:rsid w:val="009D711A"/>
    <w:rsid w:val="009D7612"/>
    <w:rsid w:val="009E0B1E"/>
    <w:rsid w:val="009E694B"/>
    <w:rsid w:val="009F0899"/>
    <w:rsid w:val="009F1B22"/>
    <w:rsid w:val="009F3A7A"/>
    <w:rsid w:val="009F5007"/>
    <w:rsid w:val="009F7B82"/>
    <w:rsid w:val="00A02577"/>
    <w:rsid w:val="00A04063"/>
    <w:rsid w:val="00A118F2"/>
    <w:rsid w:val="00A15D69"/>
    <w:rsid w:val="00A209ED"/>
    <w:rsid w:val="00A22F3E"/>
    <w:rsid w:val="00A23749"/>
    <w:rsid w:val="00A25B0B"/>
    <w:rsid w:val="00A37506"/>
    <w:rsid w:val="00A41627"/>
    <w:rsid w:val="00A41FF5"/>
    <w:rsid w:val="00A43EB0"/>
    <w:rsid w:val="00A450E1"/>
    <w:rsid w:val="00A4544B"/>
    <w:rsid w:val="00A46758"/>
    <w:rsid w:val="00A57611"/>
    <w:rsid w:val="00A60846"/>
    <w:rsid w:val="00A645EE"/>
    <w:rsid w:val="00A71120"/>
    <w:rsid w:val="00A7206E"/>
    <w:rsid w:val="00A80DB8"/>
    <w:rsid w:val="00A916A8"/>
    <w:rsid w:val="00A91EC4"/>
    <w:rsid w:val="00A935C2"/>
    <w:rsid w:val="00A93719"/>
    <w:rsid w:val="00AA2AB1"/>
    <w:rsid w:val="00AA2BE0"/>
    <w:rsid w:val="00AA2F48"/>
    <w:rsid w:val="00AA7E73"/>
    <w:rsid w:val="00AB10FE"/>
    <w:rsid w:val="00AB2DEE"/>
    <w:rsid w:val="00AB3D05"/>
    <w:rsid w:val="00AB4D8A"/>
    <w:rsid w:val="00AC0D22"/>
    <w:rsid w:val="00AC330E"/>
    <w:rsid w:val="00AC3EB7"/>
    <w:rsid w:val="00AC619E"/>
    <w:rsid w:val="00AC6257"/>
    <w:rsid w:val="00AC67CA"/>
    <w:rsid w:val="00AD187C"/>
    <w:rsid w:val="00AD35A7"/>
    <w:rsid w:val="00AD627A"/>
    <w:rsid w:val="00AE362D"/>
    <w:rsid w:val="00AE5A8B"/>
    <w:rsid w:val="00AF0242"/>
    <w:rsid w:val="00AF1D68"/>
    <w:rsid w:val="00AF5E9F"/>
    <w:rsid w:val="00AF7E8B"/>
    <w:rsid w:val="00B01FBD"/>
    <w:rsid w:val="00B04C1E"/>
    <w:rsid w:val="00B060B0"/>
    <w:rsid w:val="00B1082A"/>
    <w:rsid w:val="00B108A3"/>
    <w:rsid w:val="00B123E0"/>
    <w:rsid w:val="00B217FF"/>
    <w:rsid w:val="00B25E7E"/>
    <w:rsid w:val="00B26B5D"/>
    <w:rsid w:val="00B32588"/>
    <w:rsid w:val="00B41354"/>
    <w:rsid w:val="00B42200"/>
    <w:rsid w:val="00B4486E"/>
    <w:rsid w:val="00B52305"/>
    <w:rsid w:val="00B535DF"/>
    <w:rsid w:val="00B65214"/>
    <w:rsid w:val="00B67941"/>
    <w:rsid w:val="00B71722"/>
    <w:rsid w:val="00B73DCE"/>
    <w:rsid w:val="00B7529F"/>
    <w:rsid w:val="00B765E3"/>
    <w:rsid w:val="00B8036C"/>
    <w:rsid w:val="00B81D62"/>
    <w:rsid w:val="00B84227"/>
    <w:rsid w:val="00B877B2"/>
    <w:rsid w:val="00BA0F07"/>
    <w:rsid w:val="00BA3198"/>
    <w:rsid w:val="00BA3265"/>
    <w:rsid w:val="00BA59A8"/>
    <w:rsid w:val="00BA61C9"/>
    <w:rsid w:val="00BB02A8"/>
    <w:rsid w:val="00BB063D"/>
    <w:rsid w:val="00BB1E6D"/>
    <w:rsid w:val="00BB61DF"/>
    <w:rsid w:val="00BC1620"/>
    <w:rsid w:val="00BC7676"/>
    <w:rsid w:val="00BC769E"/>
    <w:rsid w:val="00BD174B"/>
    <w:rsid w:val="00BD7A9F"/>
    <w:rsid w:val="00BE05F9"/>
    <w:rsid w:val="00BE1EBF"/>
    <w:rsid w:val="00BE47E7"/>
    <w:rsid w:val="00BE4CF8"/>
    <w:rsid w:val="00BE5281"/>
    <w:rsid w:val="00BE6610"/>
    <w:rsid w:val="00BE6E8A"/>
    <w:rsid w:val="00BF0AD0"/>
    <w:rsid w:val="00BF0F45"/>
    <w:rsid w:val="00BF43AC"/>
    <w:rsid w:val="00C022B4"/>
    <w:rsid w:val="00C031A9"/>
    <w:rsid w:val="00C05658"/>
    <w:rsid w:val="00C07CAC"/>
    <w:rsid w:val="00C10C2A"/>
    <w:rsid w:val="00C11D58"/>
    <w:rsid w:val="00C13341"/>
    <w:rsid w:val="00C14D9C"/>
    <w:rsid w:val="00C167D5"/>
    <w:rsid w:val="00C21332"/>
    <w:rsid w:val="00C30359"/>
    <w:rsid w:val="00C37F6E"/>
    <w:rsid w:val="00C4025B"/>
    <w:rsid w:val="00C43206"/>
    <w:rsid w:val="00C4461F"/>
    <w:rsid w:val="00C54425"/>
    <w:rsid w:val="00C55B81"/>
    <w:rsid w:val="00C60972"/>
    <w:rsid w:val="00C61970"/>
    <w:rsid w:val="00C61AAA"/>
    <w:rsid w:val="00C64A4C"/>
    <w:rsid w:val="00C74236"/>
    <w:rsid w:val="00C772C1"/>
    <w:rsid w:val="00C81042"/>
    <w:rsid w:val="00C8245F"/>
    <w:rsid w:val="00C91AE1"/>
    <w:rsid w:val="00C92B5E"/>
    <w:rsid w:val="00C9388A"/>
    <w:rsid w:val="00C94E01"/>
    <w:rsid w:val="00C94EBA"/>
    <w:rsid w:val="00CA1F2E"/>
    <w:rsid w:val="00CB2131"/>
    <w:rsid w:val="00CB4FE6"/>
    <w:rsid w:val="00CC1129"/>
    <w:rsid w:val="00CC34A3"/>
    <w:rsid w:val="00CC4263"/>
    <w:rsid w:val="00CC643C"/>
    <w:rsid w:val="00CD2DFC"/>
    <w:rsid w:val="00CD4884"/>
    <w:rsid w:val="00CF5859"/>
    <w:rsid w:val="00CF713A"/>
    <w:rsid w:val="00D03D25"/>
    <w:rsid w:val="00D04E30"/>
    <w:rsid w:val="00D07664"/>
    <w:rsid w:val="00D11E72"/>
    <w:rsid w:val="00D142E5"/>
    <w:rsid w:val="00D166AC"/>
    <w:rsid w:val="00D20BA0"/>
    <w:rsid w:val="00D22326"/>
    <w:rsid w:val="00D246FB"/>
    <w:rsid w:val="00D24D67"/>
    <w:rsid w:val="00D274DD"/>
    <w:rsid w:val="00D27ECA"/>
    <w:rsid w:val="00D3262D"/>
    <w:rsid w:val="00D3346D"/>
    <w:rsid w:val="00D336D3"/>
    <w:rsid w:val="00D35FDC"/>
    <w:rsid w:val="00D409EE"/>
    <w:rsid w:val="00D46B07"/>
    <w:rsid w:val="00D50093"/>
    <w:rsid w:val="00D54409"/>
    <w:rsid w:val="00D573E2"/>
    <w:rsid w:val="00D62A9C"/>
    <w:rsid w:val="00D62BB8"/>
    <w:rsid w:val="00D641F3"/>
    <w:rsid w:val="00D7181B"/>
    <w:rsid w:val="00D742FD"/>
    <w:rsid w:val="00D7609A"/>
    <w:rsid w:val="00D7740D"/>
    <w:rsid w:val="00D85D98"/>
    <w:rsid w:val="00D9025D"/>
    <w:rsid w:val="00D933DC"/>
    <w:rsid w:val="00D95C90"/>
    <w:rsid w:val="00D9635D"/>
    <w:rsid w:val="00D975FD"/>
    <w:rsid w:val="00DA17B6"/>
    <w:rsid w:val="00DA2210"/>
    <w:rsid w:val="00DA5CA1"/>
    <w:rsid w:val="00DB26FD"/>
    <w:rsid w:val="00DB3CCA"/>
    <w:rsid w:val="00DC0CB3"/>
    <w:rsid w:val="00DC58C9"/>
    <w:rsid w:val="00DD2421"/>
    <w:rsid w:val="00DD5A78"/>
    <w:rsid w:val="00DD62CD"/>
    <w:rsid w:val="00DE4902"/>
    <w:rsid w:val="00DE4FC8"/>
    <w:rsid w:val="00DE60D6"/>
    <w:rsid w:val="00DE7E8E"/>
    <w:rsid w:val="00DF2D21"/>
    <w:rsid w:val="00DF481B"/>
    <w:rsid w:val="00E01356"/>
    <w:rsid w:val="00E025E5"/>
    <w:rsid w:val="00E10A77"/>
    <w:rsid w:val="00E11A48"/>
    <w:rsid w:val="00E1248F"/>
    <w:rsid w:val="00E12D56"/>
    <w:rsid w:val="00E12F5C"/>
    <w:rsid w:val="00E13491"/>
    <w:rsid w:val="00E13FD6"/>
    <w:rsid w:val="00E13FEE"/>
    <w:rsid w:val="00E14988"/>
    <w:rsid w:val="00E15BEA"/>
    <w:rsid w:val="00E16AA5"/>
    <w:rsid w:val="00E20FD1"/>
    <w:rsid w:val="00E25AA5"/>
    <w:rsid w:val="00E308B6"/>
    <w:rsid w:val="00E31A3D"/>
    <w:rsid w:val="00E352CD"/>
    <w:rsid w:val="00E3578B"/>
    <w:rsid w:val="00E377C4"/>
    <w:rsid w:val="00E46496"/>
    <w:rsid w:val="00E517D6"/>
    <w:rsid w:val="00E5214D"/>
    <w:rsid w:val="00E52499"/>
    <w:rsid w:val="00E52CD5"/>
    <w:rsid w:val="00E53F94"/>
    <w:rsid w:val="00E550AA"/>
    <w:rsid w:val="00E557E9"/>
    <w:rsid w:val="00E55DE1"/>
    <w:rsid w:val="00E659B9"/>
    <w:rsid w:val="00E66CD7"/>
    <w:rsid w:val="00E7040D"/>
    <w:rsid w:val="00E7042E"/>
    <w:rsid w:val="00E737EB"/>
    <w:rsid w:val="00E73CE5"/>
    <w:rsid w:val="00E80C10"/>
    <w:rsid w:val="00E82CE4"/>
    <w:rsid w:val="00E86CD7"/>
    <w:rsid w:val="00E86E9A"/>
    <w:rsid w:val="00E90E44"/>
    <w:rsid w:val="00E920F4"/>
    <w:rsid w:val="00E954EF"/>
    <w:rsid w:val="00E9599E"/>
    <w:rsid w:val="00E97326"/>
    <w:rsid w:val="00EA2191"/>
    <w:rsid w:val="00EA2718"/>
    <w:rsid w:val="00EA2C6C"/>
    <w:rsid w:val="00EA6292"/>
    <w:rsid w:val="00EB1443"/>
    <w:rsid w:val="00EB1E89"/>
    <w:rsid w:val="00EB2E2B"/>
    <w:rsid w:val="00EB32C8"/>
    <w:rsid w:val="00EC004A"/>
    <w:rsid w:val="00ED0AF4"/>
    <w:rsid w:val="00ED4E07"/>
    <w:rsid w:val="00ED6783"/>
    <w:rsid w:val="00ED6C96"/>
    <w:rsid w:val="00EE4655"/>
    <w:rsid w:val="00EE71E3"/>
    <w:rsid w:val="00EE73E1"/>
    <w:rsid w:val="00EF5D83"/>
    <w:rsid w:val="00EF69CF"/>
    <w:rsid w:val="00F007BE"/>
    <w:rsid w:val="00F04F04"/>
    <w:rsid w:val="00F1086C"/>
    <w:rsid w:val="00F144B5"/>
    <w:rsid w:val="00F16F92"/>
    <w:rsid w:val="00F30773"/>
    <w:rsid w:val="00F31AA6"/>
    <w:rsid w:val="00F33AA3"/>
    <w:rsid w:val="00F43A1E"/>
    <w:rsid w:val="00F45960"/>
    <w:rsid w:val="00F5056E"/>
    <w:rsid w:val="00F563B3"/>
    <w:rsid w:val="00F64480"/>
    <w:rsid w:val="00F662C2"/>
    <w:rsid w:val="00F67A28"/>
    <w:rsid w:val="00F709D2"/>
    <w:rsid w:val="00F765EB"/>
    <w:rsid w:val="00F7669A"/>
    <w:rsid w:val="00F80300"/>
    <w:rsid w:val="00F80626"/>
    <w:rsid w:val="00F81385"/>
    <w:rsid w:val="00F822A6"/>
    <w:rsid w:val="00F82C5D"/>
    <w:rsid w:val="00F83312"/>
    <w:rsid w:val="00F91205"/>
    <w:rsid w:val="00FA4FF1"/>
    <w:rsid w:val="00FA62D1"/>
    <w:rsid w:val="00FB3729"/>
    <w:rsid w:val="00FB562B"/>
    <w:rsid w:val="00FB5725"/>
    <w:rsid w:val="00FB7513"/>
    <w:rsid w:val="00FC08F7"/>
    <w:rsid w:val="00FC0B16"/>
    <w:rsid w:val="00FC255F"/>
    <w:rsid w:val="00FC5553"/>
    <w:rsid w:val="00FD01DB"/>
    <w:rsid w:val="00FD161B"/>
    <w:rsid w:val="00FD3AFD"/>
    <w:rsid w:val="00FD5D26"/>
    <w:rsid w:val="00FE0CA6"/>
    <w:rsid w:val="00FE2001"/>
    <w:rsid w:val="00FE49DF"/>
    <w:rsid w:val="00FE6F2F"/>
    <w:rsid w:val="00FE6FBC"/>
    <w:rsid w:val="00FF0379"/>
    <w:rsid w:val="00FF03E4"/>
    <w:rsid w:val="00FF052C"/>
    <w:rsid w:val="00FF4632"/>
    <w:rsid w:val="00FF7139"/>
    <w:rsid w:val="0403683E"/>
    <w:rsid w:val="10B47807"/>
    <w:rsid w:val="2DCE30EE"/>
    <w:rsid w:val="3A58742A"/>
    <w:rsid w:val="43557EEF"/>
    <w:rsid w:val="6C345471"/>
    <w:rsid w:val="6F712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3E787"/>
  <w15:docId w15:val="{2B2EEE1B-5347-4BE6-8169-18C2403A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120" w:after="120" w:line="480" w:lineRule="auto"/>
      <w:outlineLvl w:val="0"/>
    </w:pPr>
    <w:rPr>
      <w:rFonts w:ascii="Times New Roman" w:eastAsia="Times New Roman" w:hAnsi="Times New Roman"/>
      <w:b/>
      <w:bCs/>
      <w:kern w:val="44"/>
      <w:sz w:val="2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uiPriority w:val="99"/>
    <w:semiHidden/>
    <w:unhideWhenUsed/>
    <w:qFormat/>
  </w:style>
  <w:style w:type="character" w:styleId="ab">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0">
    <w:name w:val="标题 1 字符"/>
    <w:basedOn w:val="a0"/>
    <w:link w:val="1"/>
    <w:uiPriority w:val="9"/>
    <w:qFormat/>
    <w:rPr>
      <w:rFonts w:ascii="Times New Roman" w:eastAsia="Times New Roman" w:hAnsi="Times New Roman"/>
      <w:b/>
      <w:bCs/>
      <w:kern w:val="44"/>
      <w:sz w:val="24"/>
      <w:szCs w:val="44"/>
    </w:rPr>
  </w:style>
  <w:style w:type="paragraph" w:customStyle="1" w:styleId="EndNoteBibliographyTitle">
    <w:name w:val="EndNote Bibliography Title"/>
    <w:basedOn w:val="a"/>
    <w:link w:val="EndNoteBibliographyTitle0"/>
    <w:qFormat/>
    <w:pPr>
      <w:jc w:val="center"/>
    </w:pPr>
    <w:rPr>
      <w:rFonts w:ascii="Times New Roman" w:eastAsia="等线" w:hAnsi="Times New Roman" w:cs="Times New Roman"/>
      <w:sz w:val="24"/>
    </w:rPr>
  </w:style>
  <w:style w:type="character" w:customStyle="1" w:styleId="EndNoteBibliographyTitle0">
    <w:name w:val="EndNote Bibliography Title 字符"/>
    <w:basedOn w:val="a0"/>
    <w:link w:val="EndNoteBibliographyTitle"/>
    <w:qFormat/>
    <w:rPr>
      <w:rFonts w:ascii="Times New Roman" w:eastAsia="等线" w:hAnsi="Times New Roman" w:cs="Times New Roman"/>
      <w:kern w:val="2"/>
      <w:sz w:val="24"/>
      <w:szCs w:val="22"/>
    </w:rPr>
  </w:style>
  <w:style w:type="paragraph" w:customStyle="1" w:styleId="EndNoteBibliography">
    <w:name w:val="EndNote Bibliography"/>
    <w:basedOn w:val="a"/>
    <w:link w:val="EndNoteBibliography0"/>
    <w:qFormat/>
    <w:rPr>
      <w:rFonts w:ascii="Times New Roman" w:eastAsia="等线" w:hAnsi="Times New Roman" w:cs="Times New Roman"/>
      <w:sz w:val="24"/>
    </w:rPr>
  </w:style>
  <w:style w:type="character" w:customStyle="1" w:styleId="EndNoteBibliography0">
    <w:name w:val="EndNote Bibliography 字符"/>
    <w:basedOn w:val="a0"/>
    <w:link w:val="EndNoteBibliography"/>
    <w:qFormat/>
    <w:rPr>
      <w:rFonts w:ascii="Times New Roman" w:eastAsia="等线" w:hAnsi="Times New Roman" w:cs="Times New Roman"/>
      <w:kern w:val="2"/>
      <w:sz w:val="24"/>
      <w:szCs w:val="22"/>
    </w:rPr>
  </w:style>
  <w:style w:type="character" w:customStyle="1" w:styleId="11">
    <w:name w:val="未处理的提及1"/>
    <w:basedOn w:val="a0"/>
    <w:uiPriority w:val="99"/>
    <w:semiHidden/>
    <w:unhideWhenUsed/>
    <w:qFormat/>
    <w:rPr>
      <w:color w:val="605E5C"/>
      <w:shd w:val="clear" w:color="auto" w:fill="E1DFDD"/>
    </w:rPr>
  </w:style>
  <w:style w:type="character" w:customStyle="1" w:styleId="a4">
    <w:name w:val="批注框文本 字符"/>
    <w:basedOn w:val="a0"/>
    <w:link w:val="a3"/>
    <w:uiPriority w:val="99"/>
    <w:semiHidden/>
    <w:qFormat/>
    <w:rPr>
      <w:sz w:val="18"/>
      <w:szCs w:val="18"/>
    </w:rPr>
  </w:style>
  <w:style w:type="character" w:styleId="ac">
    <w:name w:val="Placeholder Text"/>
    <w:basedOn w:val="a0"/>
    <w:uiPriority w:val="99"/>
    <w:semiHidden/>
    <w:qFormat/>
    <w:rPr>
      <w:color w:val="808080"/>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paragraph" w:customStyle="1" w:styleId="-">
    <w:name w:val="表-英文题注"/>
    <w:basedOn w:val="a"/>
    <w:qFormat/>
    <w:pPr>
      <w:keepNext/>
      <w:keepLines/>
      <w:spacing w:after="240" w:line="300" w:lineRule="auto"/>
      <w:jc w:val="center"/>
    </w:pPr>
    <w:rPr>
      <w:rFonts w:ascii="Times New Roman" w:eastAsia="宋体" w:hAnsi="Times New Roman" w:cstheme="majorBidi"/>
      <w:b/>
      <w:szCs w:val="20"/>
    </w:rPr>
  </w:style>
  <w:style w:type="paragraph" w:customStyle="1" w:styleId="ad">
    <w:name w:val="图表英文标题"/>
    <w:basedOn w:val="a"/>
    <w:qFormat/>
    <w:pPr>
      <w:spacing w:after="240" w:line="300" w:lineRule="auto"/>
      <w:ind w:firstLineChars="200" w:firstLine="200"/>
      <w:jc w:val="center"/>
    </w:pPr>
    <w:rPr>
      <w:rFonts w:ascii="Times New Roman" w:eastAsia="宋体" w:hAnsi="Times New Roman" w:cs="Times New Roman"/>
      <w:b/>
      <w:szCs w:val="28"/>
    </w:rPr>
  </w:style>
  <w:style w:type="table" w:customStyle="1" w:styleId="ae">
    <w:name w:val="三线表"/>
    <w:basedOn w:val="a1"/>
    <w:uiPriority w:val="99"/>
    <w:qFormat/>
    <w:pPr>
      <w:jc w:val="center"/>
    </w:pPr>
    <w:rPr>
      <w:rFonts w:eastAsia="Times New Roman"/>
    </w:rPr>
    <w:tblPr>
      <w:tblBorders>
        <w:top w:val="single" w:sz="12" w:space="0" w:color="auto"/>
        <w:bottom w:val="single" w:sz="12" w:space="0" w:color="auto"/>
      </w:tblBorders>
    </w:tblPr>
    <w:tcPr>
      <w:vAlign w:val="center"/>
    </w:tcPr>
    <w:tblStylePr w:type="firstRow">
      <w:tblPr/>
      <w:tcPr>
        <w:tcBorders>
          <w:bottom w:val="single" w:sz="6" w:space="0" w:color="auto"/>
        </w:tcBorders>
      </w:tcPr>
    </w:tblStylePr>
  </w:style>
  <w:style w:type="paragraph" w:customStyle="1" w:styleId="12">
    <w:name w:val="修订1"/>
    <w:hidden/>
    <w:uiPriority w:val="99"/>
    <w:semiHidden/>
    <w:qFormat/>
    <w:rPr>
      <w:kern w:val="2"/>
      <w:sz w:val="21"/>
      <w:szCs w:val="22"/>
    </w:rPr>
  </w:style>
  <w:style w:type="paragraph" w:customStyle="1" w:styleId="21">
    <w:name w:val="修订2"/>
    <w:hidden/>
    <w:uiPriority w:val="99"/>
    <w:unhideWhenUsed/>
    <w:qFormat/>
    <w:rPr>
      <w:kern w:val="2"/>
      <w:sz w:val="21"/>
      <w:szCs w:val="22"/>
    </w:rPr>
  </w:style>
  <w:style w:type="paragraph" w:styleId="af">
    <w:name w:val="Revision"/>
    <w:hidden/>
    <w:uiPriority w:val="99"/>
    <w:unhideWhenUsed/>
    <w:rsid w:val="00E025E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ettings" Target="settings.xml"/><Relationship Id="rId21" Type="http://schemas.openxmlformats.org/officeDocument/2006/relationships/image" Target="media/image14.tiff"/><Relationship Id="rId7" Type="http://schemas.openxmlformats.org/officeDocument/2006/relationships/hyperlink" Target="https://cloud.majorbio.com"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4793-19C3-49EC-9E61-ECC601D26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Pages>
  <Words>9476</Words>
  <Characters>52408</Characters>
  <Application>Microsoft Office Word</Application>
  <DocSecurity>0</DocSecurity>
  <Lines>1746</Lines>
  <Paragraphs>1190</Paragraphs>
  <ScaleCrop>false</ScaleCrop>
  <Company/>
  <LinksUpToDate>false</LinksUpToDate>
  <CharactersWithSpaces>60694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 贾</dc:creator>
  <cp:lastModifiedBy>佳 贾</cp:lastModifiedBy>
  <cp:revision>5</cp:revision>
  <cp:lastPrinted>2024-11-04T13:53:00Z</cp:lastPrinted>
  <dcterms:created xsi:type="dcterms:W3CDTF">2025-12-30T14:50:00Z</dcterms:created>
  <dcterms:modified xsi:type="dcterms:W3CDTF">2026-01-04T07:08:00Z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eyJoZGlkIjoiYTE2YzA3OTFjZGU0MDU4N2I4NmRhNzc4ZDY4NGVjYjMiLCJ1c2VySWQiOiI3MjgzNTQyMjgifQ==</vt:lpwstr>
  </property>
  <property fmtid="{D5CDD505-2E9C-101B-9397-08002B2CF9AE}" pid="3" name="KSOProductBuildVer">
    <vt:lpwstr>2052-12.1.0.24034</vt:lpwstr>
  </property>
  <property fmtid="{D5CDD505-2E9C-101B-9397-08002B2CF9AE}" pid="4" name="ICV">
    <vt:lpwstr>747A6F7733E745AE98FACBE651644BF6_13</vt:lpwstr>
  </property>
</Properties>
</file>