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3B038">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line="360" w:lineRule="auto"/>
        <w:textAlignment w:val="auto"/>
        <w:rPr>
          <w:rFonts w:hint="eastAsia" w:ascii="Times New Roman" w:hAnsi="Times New Roman" w:cs="Times New Roman"/>
          <w:b/>
          <w:bCs/>
          <w:i w:val="0"/>
          <w:iCs w:val="0"/>
          <w:color w:val="auto"/>
          <w:sz w:val="22"/>
          <w:szCs w:val="22"/>
          <w:highlight w:val="none"/>
          <w:lang w:val="en-US" w:eastAsia="zh-CN"/>
        </w:rPr>
      </w:pPr>
      <w:r>
        <w:rPr>
          <w:rFonts w:hint="eastAsia" w:ascii="Times New Roman" w:hAnsi="Times New Roman" w:cs="Times New Roman"/>
          <w:b/>
          <w:bCs/>
          <w:i w:val="0"/>
          <w:iCs w:val="0"/>
          <w:color w:val="auto"/>
          <w:sz w:val="22"/>
          <w:szCs w:val="22"/>
          <w:highlight w:val="none"/>
          <w:lang w:val="en-US" w:eastAsia="zh-CN"/>
        </w:rPr>
        <w:t>Measurement of soil chemical properties</w:t>
      </w:r>
    </w:p>
    <w:p w14:paraId="5A5E96DA">
      <w:pPr>
        <w:keepNext w:val="0"/>
        <w:keepLines w:val="0"/>
        <w:pageBreakBefore w:val="0"/>
        <w:widowControl w:val="0"/>
        <w:kinsoku/>
        <w:wordWrap/>
        <w:overflowPunct/>
        <w:topLinePunct w:val="0"/>
        <w:autoSpaceDE/>
        <w:autoSpaceDN/>
        <w:bidi w:val="0"/>
        <w:adjustRightInd/>
        <w:snapToGrid w:val="0"/>
        <w:spacing w:line="360" w:lineRule="auto"/>
        <w:ind w:firstLine="440" w:firstLineChars="200"/>
        <w:textAlignment w:val="auto"/>
        <w:rPr>
          <w:rFonts w:hint="eastAsia" w:ascii="Times New Roman" w:hAnsi="Times New Roman" w:cs="Times New Roman"/>
          <w:sz w:val="22"/>
          <w:szCs w:val="22"/>
          <w:highlight w:val="none"/>
          <w:lang w:val="en-US" w:eastAsia="zh-CN"/>
        </w:rPr>
      </w:pPr>
      <w:r>
        <w:rPr>
          <w:rFonts w:hint="eastAsia" w:ascii="Times New Roman" w:hAnsi="Times New Roman" w:cs="Times New Roman"/>
          <w:sz w:val="22"/>
          <w:szCs w:val="22"/>
          <w:highlight w:val="none"/>
          <w:lang w:val="en-US" w:eastAsia="zh-CN"/>
        </w:rPr>
        <w:t>The physical and chemical properties of the soil were measured from healthy</w:t>
      </w:r>
      <w:r>
        <w:rPr>
          <w:rFonts w:hint="default" w:ascii="Times New Roman" w:hAnsi="Times New Roman" w:cs="Times New Roman"/>
          <w:sz w:val="22"/>
          <w:szCs w:val="22"/>
          <w:highlight w:val="none"/>
          <w:lang w:val="en-US" w:eastAsia="zh-CN"/>
        </w:rPr>
        <w:t xml:space="preserve"> </w:t>
      </w:r>
      <w:r>
        <w:rPr>
          <w:rFonts w:hint="eastAsia" w:ascii="Times New Roman" w:hAnsi="Times New Roman" w:cs="Times New Roman"/>
          <w:sz w:val="22"/>
          <w:szCs w:val="22"/>
          <w:highlight w:val="none"/>
          <w:lang w:val="en-US" w:eastAsia="zh-CN"/>
        </w:rPr>
        <w:t>and diseased soil samples harvested in the field</w:t>
      </w:r>
      <w:r>
        <w:rPr>
          <w:rFonts w:hint="default" w:ascii="Times New Roman" w:hAnsi="Times New Roman" w:cs="Times New Roman"/>
          <w:sz w:val="22"/>
          <w:szCs w:val="22"/>
          <w:highlight w:val="none"/>
          <w:lang w:val="en-US" w:eastAsia="zh-CN"/>
        </w:rPr>
        <w:t>, as mentioned above</w:t>
      </w:r>
      <w:r>
        <w:rPr>
          <w:rFonts w:hint="eastAsia" w:ascii="Times New Roman" w:hAnsi="Times New Roman" w:cs="Times New Roman"/>
          <w:sz w:val="22"/>
          <w:szCs w:val="22"/>
          <w:highlight w:val="none"/>
          <w:lang w:val="en-US" w:eastAsia="zh-CN"/>
        </w:rPr>
        <w:t>. For pH analysis, soils were extracted in deionized water for one hour to achieve a soil:solution ratio of 1:2.5. The water pH was subsequently measured using a combination pH electrode. For moisture content analysis, fresh soil was weighed before and after being dried for one hour. To measure the electrical conductivity of soil water (ECsw1:5), soils were extracted in deionized water for 1 h to achieve a soil:water ratio of 1:5. The ECsw1:5 of the extract was subsequently measured using a conductivity meter. The available nitrate-N and ammonia-N, P, and K in rhizosphere soil were determined according to the previous literature</w:t>
      </w:r>
      <w:r>
        <w:rPr>
          <w:rFonts w:hint="eastAsia"/>
          <w:lang w:val="en-US" w:eastAsia="zh-CN"/>
        </w:rPr>
        <w:t xml:space="preserve"> </w:t>
      </w:r>
      <w:r>
        <w:rPr>
          <w:rFonts w:hint="default" w:ascii="Times New Roman" w:hAnsi="Times New Roman" w:cs="Times New Roman"/>
          <w:color w:val="auto"/>
          <w:sz w:val="22"/>
          <w:szCs w:val="22"/>
          <w:lang w:val="en-US" w:eastAsia="zh-CN"/>
        </w:rPr>
        <w:t>[</w:t>
      </w:r>
      <w:r>
        <w:rPr>
          <w:rFonts w:hint="eastAsia" w:ascii="Times New Roman" w:hAnsi="Times New Roman" w:cs="Times New Roman"/>
          <w:color w:val="0000FF"/>
          <w:sz w:val="22"/>
          <w:szCs w:val="22"/>
          <w:lang w:val="en-US" w:eastAsia="zh-CN"/>
        </w:rPr>
        <w:t>52, 53</w:t>
      </w:r>
      <w:r>
        <w:rPr>
          <w:rFonts w:hint="default" w:ascii="Times New Roman" w:hAnsi="Times New Roman" w:eastAsia="Georgia" w:cs="Times New Roman"/>
          <w:i w:val="0"/>
          <w:iCs w:val="0"/>
          <w:caps w:val="0"/>
          <w:color w:val="auto"/>
          <w:spacing w:val="0"/>
          <w:sz w:val="22"/>
          <w:szCs w:val="22"/>
          <w:shd w:val="clear" w:fill="FFFFFF"/>
          <w:lang w:val="en-US" w:eastAsia="zh-CN"/>
        </w:rPr>
        <w:t>]</w:t>
      </w:r>
      <w:r>
        <w:rPr>
          <w:rFonts w:hint="eastAsia" w:ascii="Times New Roman" w:hAnsi="Times New Roman" w:cs="Times New Roman"/>
          <w:sz w:val="22"/>
          <w:szCs w:val="22"/>
          <w:highlight w:val="none"/>
          <w:lang w:val="en-US" w:eastAsia="zh-CN"/>
        </w:rPr>
        <w:t xml:space="preserve">. Soil micronutrient concentrations were measured using the diethylenetriaminepentaacetic acid (DTPA) extraction method </w:t>
      </w:r>
      <w:r>
        <w:rPr>
          <w:rFonts w:hint="default" w:ascii="Times New Roman" w:hAnsi="Times New Roman" w:cs="Times New Roman"/>
          <w:color w:val="auto"/>
          <w:sz w:val="22"/>
          <w:szCs w:val="22"/>
          <w:lang w:val="en-US" w:eastAsia="zh-CN"/>
        </w:rPr>
        <w:t>[</w:t>
      </w:r>
      <w:r>
        <w:rPr>
          <w:rFonts w:hint="eastAsia" w:ascii="Times New Roman" w:hAnsi="Times New Roman" w:cs="Times New Roman"/>
          <w:color w:val="0000FF"/>
          <w:sz w:val="22"/>
          <w:szCs w:val="22"/>
          <w:lang w:val="en-US" w:eastAsia="zh-CN"/>
        </w:rPr>
        <w:t>54</w:t>
      </w:r>
      <w:r>
        <w:rPr>
          <w:rFonts w:hint="default" w:ascii="Times New Roman" w:hAnsi="Times New Roman" w:eastAsia="Georgia" w:cs="Times New Roman"/>
          <w:i w:val="0"/>
          <w:iCs w:val="0"/>
          <w:caps w:val="0"/>
          <w:color w:val="auto"/>
          <w:spacing w:val="0"/>
          <w:sz w:val="22"/>
          <w:szCs w:val="22"/>
          <w:shd w:val="clear" w:fill="FFFFFF"/>
          <w:lang w:val="en-US" w:eastAsia="zh-CN"/>
        </w:rPr>
        <w:t>]</w:t>
      </w:r>
      <w:r>
        <w:rPr>
          <w:rFonts w:hint="eastAsia" w:ascii="Times New Roman" w:hAnsi="Times New Roman" w:cs="Times New Roman"/>
          <w:sz w:val="22"/>
          <w:szCs w:val="22"/>
          <w:highlight w:val="none"/>
          <w:lang w:val="en-US" w:eastAsia="zh-CN"/>
        </w:rPr>
        <w:t>. A total of 10 g of air-dried soil was mixed with 20 mL of DTPA extraction solution (0.005 M DTPA, 0.01 M CaCl2, 0.1 M triethanolamine, pH 7.3) by shaking for 2 hours at room temperature. The liquid supernatants were filtered and subsequently analysed by inductively coupled plasma-optical emission spectrometry (ICP-OES, Optima 7300 DV, PerkinElmer) for Ca, Na, and Mg concentrations. P</w:t>
      </w:r>
      <w:r>
        <w:rPr>
          <w:rFonts w:hint="eastAsia" w:ascii="Times New Roman" w:hAnsi="Times New Roman" w:cs="Times New Roman"/>
          <w:color w:val="auto"/>
          <w:sz w:val="22"/>
          <w:szCs w:val="22"/>
          <w:lang w:val="en-US" w:eastAsia="zh-CN"/>
        </w:rPr>
        <w:t xml:space="preserve">CoA analysis with Bray-Curtis distance revealed significant differences in the composition of soil chemical properties between HRS and DRS samples </w:t>
      </w:r>
      <w:r>
        <w:rPr>
          <w:rFonts w:hint="eastAsia" w:ascii="Times New Roman" w:hAnsi="Times New Roman" w:cs="Times New Roman"/>
          <w:sz w:val="22"/>
          <w:szCs w:val="22"/>
          <w:highlight w:val="none"/>
          <w:lang w:val="en-US" w:eastAsia="zh-CN"/>
        </w:rPr>
        <w:t>using the Adonis test with an adjusted P value of &lt; 0.05.</w:t>
      </w:r>
    </w:p>
    <w:p w14:paraId="3009344C">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line="360" w:lineRule="auto"/>
        <w:textAlignment w:val="auto"/>
        <w:rPr>
          <w:rFonts w:hint="default" w:ascii="Times New Roman" w:hAnsi="Times New Roman" w:cs="Times New Roman"/>
          <w:b/>
          <w:bCs/>
          <w:i w:val="0"/>
          <w:iCs w:val="0"/>
          <w:color w:val="auto"/>
          <w:sz w:val="22"/>
          <w:szCs w:val="22"/>
          <w:highlight w:val="none"/>
          <w:lang w:val="en-US" w:eastAsia="zh-CN"/>
        </w:rPr>
      </w:pPr>
      <w:r>
        <w:rPr>
          <w:rFonts w:hint="default" w:ascii="Times New Roman" w:hAnsi="Times New Roman" w:cs="Times New Roman"/>
          <w:b/>
          <w:bCs/>
          <w:i w:val="0"/>
          <w:iCs w:val="0"/>
          <w:color w:val="auto"/>
          <w:sz w:val="22"/>
          <w:szCs w:val="22"/>
          <w:highlight w:val="none"/>
          <w:lang w:val="en-US" w:eastAsia="zh-CN"/>
        </w:rPr>
        <w:t>Plant</w:t>
      </w:r>
      <w:r>
        <w:rPr>
          <w:rFonts w:hint="eastAsia" w:ascii="Times New Roman" w:hAnsi="Times New Roman" w:cs="Times New Roman"/>
          <w:b/>
          <w:bCs/>
          <w:i w:val="0"/>
          <w:iCs w:val="0"/>
          <w:color w:val="auto"/>
          <w:sz w:val="22"/>
          <w:szCs w:val="22"/>
          <w:highlight w:val="none"/>
          <w:lang w:val="en-US" w:eastAsia="zh-CN"/>
        </w:rPr>
        <w:t xml:space="preserve"> root i</w:t>
      </w:r>
      <w:r>
        <w:rPr>
          <w:rFonts w:hint="default" w:ascii="Times New Roman" w:hAnsi="Times New Roman" w:cs="Times New Roman"/>
          <w:b/>
          <w:bCs/>
          <w:i w:val="0"/>
          <w:iCs w:val="0"/>
          <w:color w:val="auto"/>
          <w:sz w:val="22"/>
          <w:szCs w:val="22"/>
          <w:highlight w:val="none"/>
          <w:lang w:val="en-US" w:eastAsia="zh-CN"/>
        </w:rPr>
        <w:t>nduced systemic resistance assay</w:t>
      </w:r>
    </w:p>
    <w:p w14:paraId="590AF6C0">
      <w:pPr>
        <w:keepNext w:val="0"/>
        <w:keepLines w:val="0"/>
        <w:pageBreakBefore w:val="0"/>
        <w:widowControl w:val="0"/>
        <w:kinsoku/>
        <w:wordWrap/>
        <w:overflowPunct/>
        <w:topLinePunct w:val="0"/>
        <w:autoSpaceDE/>
        <w:autoSpaceDN/>
        <w:bidi w:val="0"/>
        <w:adjustRightInd/>
        <w:snapToGrid w:val="0"/>
        <w:spacing w:line="360" w:lineRule="auto"/>
        <w:ind w:firstLine="440" w:firstLineChars="200"/>
        <w:textAlignment w:val="auto"/>
        <w:rPr>
          <w:rFonts w:hint="default" w:ascii="Times New Roman" w:hAnsi="Times New Roman" w:cs="Times New Roman"/>
          <w:sz w:val="22"/>
          <w:szCs w:val="22"/>
          <w:highlight w:val="none"/>
          <w:lang w:val="en-US" w:eastAsia="zh-CN"/>
        </w:rPr>
      </w:pPr>
      <w:r>
        <w:rPr>
          <w:rFonts w:hint="default" w:ascii="Times New Roman" w:hAnsi="Times New Roman" w:cs="Times New Roman"/>
          <w:sz w:val="22"/>
          <w:szCs w:val="22"/>
          <w:highlight w:val="none"/>
          <w:lang w:val="en-US" w:eastAsia="zh-CN"/>
        </w:rPr>
        <w:t xml:space="preserve">Four-week-old plants were inoculated with 10 mL of sterile water, </w:t>
      </w:r>
      <w:r>
        <w:rPr>
          <w:rFonts w:hint="default" w:ascii="Times New Roman" w:hAnsi="Times New Roman" w:cs="Times New Roman"/>
          <w:i/>
          <w:iCs/>
          <w:sz w:val="22"/>
          <w:szCs w:val="22"/>
          <w:highlight w:val="none"/>
          <w:lang w:val="en-US" w:eastAsia="zh-CN"/>
        </w:rPr>
        <w:t>St</w:t>
      </w:r>
      <w:r>
        <w:rPr>
          <w:rFonts w:hint="eastAsia" w:ascii="Times New Roman" w:hAnsi="Times New Roman" w:cs="Times New Roman"/>
          <w:i/>
          <w:iCs/>
          <w:sz w:val="22"/>
          <w:szCs w:val="22"/>
          <w:highlight w:val="none"/>
          <w:lang w:val="en-US" w:eastAsia="zh-CN"/>
        </w:rPr>
        <w:t xml:space="preserve">reptomyces </w:t>
      </w:r>
      <w:r>
        <w:rPr>
          <w:rFonts w:hint="eastAsia" w:ascii="Times New Roman" w:hAnsi="Times New Roman" w:cs="Times New Roman"/>
          <w:i w:val="0"/>
          <w:iCs w:val="0"/>
          <w:sz w:val="22"/>
          <w:szCs w:val="22"/>
          <w:highlight w:val="none"/>
          <w:lang w:val="en-US" w:eastAsia="zh-CN"/>
        </w:rPr>
        <w:t>S1</w:t>
      </w:r>
      <w:r>
        <w:rPr>
          <w:rFonts w:hint="default" w:ascii="Times New Roman" w:hAnsi="Times New Roman" w:cs="Times New Roman"/>
          <w:sz w:val="22"/>
          <w:szCs w:val="22"/>
          <w:highlight w:val="none"/>
          <w:lang w:val="en-US" w:eastAsia="zh-CN"/>
        </w:rPr>
        <w:t>,</w:t>
      </w:r>
      <w:r>
        <w:rPr>
          <w:rFonts w:hint="eastAsia" w:ascii="Times New Roman" w:hAnsi="Times New Roman" w:cs="Times New Roman"/>
          <w:sz w:val="22"/>
          <w:szCs w:val="22"/>
          <w:highlight w:val="none"/>
          <w:lang w:val="en-US" w:eastAsia="zh-CN"/>
        </w:rPr>
        <w:t xml:space="preserve"> S3 and S15</w:t>
      </w:r>
      <w:r>
        <w:rPr>
          <w:rFonts w:hint="default" w:ascii="Times New Roman" w:hAnsi="Times New Roman" w:cs="Times New Roman"/>
          <w:sz w:val="22"/>
          <w:szCs w:val="22"/>
          <w:highlight w:val="none"/>
          <w:lang w:val="en-US" w:eastAsia="zh-CN"/>
        </w:rPr>
        <w:t xml:space="preserve">, as mentioned above. Plants were grown in </w:t>
      </w:r>
      <w:r>
        <w:rPr>
          <w:rFonts w:hint="eastAsia" w:ascii="Times New Roman" w:hAnsi="Times New Roman" w:cs="Times New Roman"/>
          <w:sz w:val="22"/>
          <w:szCs w:val="22"/>
          <w:highlight w:val="none"/>
          <w:lang w:val="en-US" w:eastAsia="zh-CN"/>
        </w:rPr>
        <w:t>pot</w:t>
      </w:r>
      <w:r>
        <w:rPr>
          <w:rFonts w:hint="default" w:ascii="Times New Roman" w:hAnsi="Times New Roman" w:cs="Times New Roman"/>
          <w:sz w:val="22"/>
          <w:szCs w:val="22"/>
          <w:highlight w:val="none"/>
          <w:lang w:val="en-US" w:eastAsia="zh-CN"/>
        </w:rPr>
        <w:t xml:space="preserve"> placed in a greenhouse for 1 </w:t>
      </w:r>
      <w:r>
        <w:rPr>
          <w:rFonts w:hint="eastAsia" w:ascii="Times New Roman" w:hAnsi="Times New Roman" w:cs="Times New Roman"/>
          <w:sz w:val="22"/>
          <w:szCs w:val="22"/>
          <w:highlight w:val="none"/>
          <w:lang w:val="en-US" w:eastAsia="zh-CN"/>
        </w:rPr>
        <w:t xml:space="preserve">month before being inoculated with </w:t>
      </w:r>
      <w:r>
        <w:rPr>
          <w:rFonts w:hint="default" w:ascii="Times New Roman" w:hAnsi="Times New Roman" w:cs="Times New Roman"/>
          <w:i/>
          <w:iCs/>
          <w:sz w:val="22"/>
          <w:szCs w:val="22"/>
          <w:highlight w:val="none"/>
          <w:lang w:val="en-US" w:eastAsia="zh-CN"/>
        </w:rPr>
        <w:t>St</w:t>
      </w:r>
      <w:r>
        <w:rPr>
          <w:rFonts w:hint="eastAsia" w:ascii="Times New Roman" w:hAnsi="Times New Roman" w:cs="Times New Roman"/>
          <w:i/>
          <w:iCs/>
          <w:sz w:val="22"/>
          <w:szCs w:val="22"/>
          <w:highlight w:val="none"/>
          <w:lang w:val="en-US" w:eastAsia="zh-CN"/>
        </w:rPr>
        <w:t>reptomyces</w:t>
      </w:r>
      <w:r>
        <w:rPr>
          <w:rFonts w:hint="default" w:ascii="Times New Roman" w:hAnsi="Times New Roman" w:cs="Times New Roman"/>
          <w:sz w:val="22"/>
          <w:szCs w:val="22"/>
          <w:highlight w:val="none"/>
          <w:lang w:val="en-US" w:eastAsia="zh-CN"/>
        </w:rPr>
        <w:t xml:space="preserve">. Plant samples were harvested at </w:t>
      </w:r>
      <w:r>
        <w:rPr>
          <w:rFonts w:hint="eastAsia" w:ascii="Times New Roman" w:hAnsi="Times New Roman" w:cs="Times New Roman"/>
          <w:sz w:val="22"/>
          <w:szCs w:val="22"/>
          <w:highlight w:val="none"/>
          <w:lang w:val="en-US" w:eastAsia="zh-CN"/>
        </w:rPr>
        <w:t xml:space="preserve">12 </w:t>
      </w:r>
      <w:r>
        <w:rPr>
          <w:rFonts w:hint="default" w:ascii="Times New Roman" w:hAnsi="Times New Roman" w:cs="Times New Roman"/>
          <w:sz w:val="22"/>
          <w:szCs w:val="22"/>
          <w:highlight w:val="none"/>
          <w:lang w:val="en-US" w:eastAsia="zh-CN"/>
        </w:rPr>
        <w:t xml:space="preserve">and </w:t>
      </w:r>
      <w:r>
        <w:rPr>
          <w:rFonts w:hint="eastAsia" w:ascii="Times New Roman" w:hAnsi="Times New Roman" w:cs="Times New Roman"/>
          <w:sz w:val="22"/>
          <w:szCs w:val="22"/>
          <w:highlight w:val="none"/>
          <w:lang w:val="en-US" w:eastAsia="zh-CN"/>
        </w:rPr>
        <w:t>24</w:t>
      </w:r>
      <w:r>
        <w:rPr>
          <w:rFonts w:hint="default" w:ascii="Times New Roman" w:hAnsi="Times New Roman" w:cs="Times New Roman"/>
          <w:sz w:val="22"/>
          <w:szCs w:val="22"/>
          <w:highlight w:val="none"/>
          <w:lang w:val="en-US" w:eastAsia="zh-CN"/>
        </w:rPr>
        <w:t xml:space="preserve"> h after inoculation with different </w:t>
      </w:r>
      <w:r>
        <w:rPr>
          <w:rFonts w:hint="default" w:ascii="Times New Roman" w:hAnsi="Times New Roman" w:cs="Times New Roman"/>
          <w:i/>
          <w:iCs/>
          <w:sz w:val="22"/>
          <w:szCs w:val="22"/>
          <w:highlight w:val="none"/>
          <w:lang w:val="en-US" w:eastAsia="zh-CN"/>
        </w:rPr>
        <w:t>St</w:t>
      </w:r>
      <w:r>
        <w:rPr>
          <w:rFonts w:hint="eastAsia" w:ascii="Times New Roman" w:hAnsi="Times New Roman" w:cs="Times New Roman"/>
          <w:i/>
          <w:iCs/>
          <w:sz w:val="22"/>
          <w:szCs w:val="22"/>
          <w:highlight w:val="none"/>
          <w:lang w:val="en-US" w:eastAsia="zh-CN"/>
        </w:rPr>
        <w:t xml:space="preserve">reptomyces </w:t>
      </w:r>
      <w:r>
        <w:rPr>
          <w:rFonts w:hint="eastAsia" w:ascii="Times New Roman" w:hAnsi="Times New Roman" w:cs="Times New Roman"/>
          <w:i w:val="0"/>
          <w:iCs w:val="0"/>
          <w:sz w:val="22"/>
          <w:szCs w:val="22"/>
          <w:highlight w:val="none"/>
          <w:lang w:val="en-US" w:eastAsia="zh-CN"/>
        </w:rPr>
        <w:t>strains</w:t>
      </w:r>
      <w:r>
        <w:rPr>
          <w:rFonts w:hint="default" w:ascii="Times New Roman" w:hAnsi="Times New Roman" w:cs="Times New Roman"/>
          <w:sz w:val="22"/>
          <w:szCs w:val="22"/>
          <w:highlight w:val="none"/>
          <w:lang w:val="en-US" w:eastAsia="zh-CN"/>
        </w:rPr>
        <w:t>. Subsequently, β-1</w:t>
      </w:r>
      <w:r>
        <w:rPr>
          <w:rFonts w:hint="eastAsia" w:ascii="Times New Roman" w:hAnsi="Times New Roman" w:cs="Times New Roman"/>
          <w:sz w:val="22"/>
          <w:szCs w:val="22"/>
          <w:highlight w:val="none"/>
          <w:lang w:val="en-US" w:eastAsia="zh-CN"/>
        </w:rPr>
        <w:t xml:space="preserve">, </w:t>
      </w:r>
      <w:r>
        <w:rPr>
          <w:rFonts w:hint="default" w:ascii="Times New Roman" w:hAnsi="Times New Roman" w:cs="Times New Roman"/>
          <w:sz w:val="22"/>
          <w:szCs w:val="22"/>
          <w:highlight w:val="none"/>
          <w:lang w:val="en-US" w:eastAsia="zh-CN"/>
        </w:rPr>
        <w:t xml:space="preserve">3-glucanase, </w:t>
      </w:r>
      <w:r>
        <w:rPr>
          <w:rFonts w:hint="eastAsia" w:ascii="Times New Roman" w:hAnsi="Times New Roman" w:cs="Times New Roman"/>
          <w:sz w:val="22"/>
          <w:szCs w:val="22"/>
          <w:highlight w:val="none"/>
          <w:lang w:val="en-US" w:eastAsia="zh-CN"/>
        </w:rPr>
        <w:t>cellulase</w:t>
      </w:r>
      <w:r>
        <w:rPr>
          <w:rFonts w:hint="default" w:ascii="Times New Roman" w:hAnsi="Times New Roman" w:cs="Times New Roman"/>
          <w:sz w:val="22"/>
          <w:szCs w:val="22"/>
          <w:highlight w:val="none"/>
          <w:lang w:val="en-US" w:eastAsia="zh-CN"/>
        </w:rPr>
        <w:t xml:space="preserve">, </w:t>
      </w:r>
      <w:r>
        <w:rPr>
          <w:rFonts w:hint="eastAsia" w:ascii="Times New Roman" w:hAnsi="Times New Roman" w:cs="Times New Roman"/>
          <w:sz w:val="22"/>
          <w:szCs w:val="22"/>
          <w:highlight w:val="none"/>
          <w:lang w:val="en-US" w:eastAsia="zh-CN"/>
        </w:rPr>
        <w:t>Chitinase</w:t>
      </w:r>
      <w:r>
        <w:rPr>
          <w:rFonts w:hint="default" w:ascii="Times New Roman" w:hAnsi="Times New Roman" w:cs="Times New Roman"/>
          <w:sz w:val="22"/>
          <w:szCs w:val="22"/>
          <w:highlight w:val="none"/>
          <w:lang w:val="en-US" w:eastAsia="zh-CN"/>
        </w:rPr>
        <w:t xml:space="preserve">, </w:t>
      </w:r>
      <w:r>
        <w:rPr>
          <w:rFonts w:hint="eastAsia" w:ascii="Times New Roman" w:hAnsi="Times New Roman" w:cs="Times New Roman"/>
          <w:sz w:val="22"/>
          <w:szCs w:val="22"/>
          <w:highlight w:val="none"/>
          <w:lang w:val="en-US" w:eastAsia="zh-CN"/>
        </w:rPr>
        <w:t>pectinase</w:t>
      </w:r>
      <w:r>
        <w:rPr>
          <w:rFonts w:hint="default" w:ascii="Times New Roman" w:hAnsi="Times New Roman" w:cs="Times New Roman"/>
          <w:sz w:val="22"/>
          <w:szCs w:val="22"/>
          <w:highlight w:val="none"/>
          <w:lang w:val="en-US" w:eastAsia="zh-CN"/>
        </w:rPr>
        <w:t xml:space="preserve"> activit</w:t>
      </w:r>
      <w:r>
        <w:rPr>
          <w:rFonts w:hint="eastAsia" w:ascii="Times New Roman" w:hAnsi="Times New Roman" w:cs="Times New Roman"/>
          <w:sz w:val="22"/>
          <w:szCs w:val="22"/>
          <w:highlight w:val="none"/>
          <w:lang w:val="en-US" w:eastAsia="zh-CN"/>
        </w:rPr>
        <w:t xml:space="preserve">ies </w:t>
      </w:r>
      <w:r>
        <w:rPr>
          <w:rFonts w:hint="default" w:ascii="Times New Roman" w:hAnsi="Times New Roman" w:cs="Times New Roman"/>
          <w:sz w:val="22"/>
          <w:szCs w:val="22"/>
          <w:highlight w:val="none"/>
          <w:lang w:val="en-US" w:eastAsia="zh-CN"/>
        </w:rPr>
        <w:t>were measured.</w:t>
      </w:r>
    </w:p>
    <w:p w14:paraId="6844F048">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line="360" w:lineRule="auto"/>
        <w:textAlignment w:val="auto"/>
        <w:rPr>
          <w:rFonts w:hint="default" w:ascii="Times New Roman" w:hAnsi="Times New Roman" w:cs="Times New Roman"/>
          <w:b/>
          <w:bCs/>
          <w:i w:val="0"/>
          <w:iCs w:val="0"/>
          <w:color w:val="FF0000"/>
          <w:sz w:val="22"/>
          <w:szCs w:val="22"/>
          <w:highlight w:val="none"/>
          <w:lang w:val="en-US" w:eastAsia="zh-CN"/>
        </w:rPr>
      </w:pPr>
      <w:r>
        <w:rPr>
          <w:rFonts w:hint="default" w:ascii="Times New Roman" w:hAnsi="Times New Roman" w:cs="Times New Roman"/>
          <w:b/>
          <w:bCs/>
          <w:i w:val="0"/>
          <w:iCs w:val="0"/>
          <w:color w:val="FF0000"/>
          <w:sz w:val="22"/>
          <w:szCs w:val="22"/>
          <w:highlight w:val="none"/>
          <w:lang w:val="en-US" w:eastAsia="zh-CN"/>
        </w:rPr>
        <w:t xml:space="preserve">PCR </w:t>
      </w:r>
      <w:r>
        <w:rPr>
          <w:rFonts w:hint="eastAsia" w:ascii="Times New Roman" w:hAnsi="Times New Roman" w:cs="Times New Roman"/>
          <w:b/>
          <w:bCs/>
          <w:i w:val="0"/>
          <w:iCs w:val="0"/>
          <w:color w:val="FF0000"/>
          <w:sz w:val="22"/>
          <w:szCs w:val="22"/>
          <w:highlight w:val="none"/>
          <w:lang w:val="en-US" w:eastAsia="zh-CN"/>
        </w:rPr>
        <w:t>a</w:t>
      </w:r>
      <w:r>
        <w:rPr>
          <w:rFonts w:hint="default" w:ascii="Times New Roman" w:hAnsi="Times New Roman" w:cs="Times New Roman"/>
          <w:b/>
          <w:bCs/>
          <w:i w:val="0"/>
          <w:iCs w:val="0"/>
          <w:color w:val="FF0000"/>
          <w:sz w:val="22"/>
          <w:szCs w:val="22"/>
          <w:highlight w:val="none"/>
          <w:lang w:val="en-US" w:eastAsia="zh-CN"/>
        </w:rPr>
        <w:t xml:space="preserve">mplification of </w:t>
      </w:r>
      <w:r>
        <w:rPr>
          <w:rFonts w:hint="eastAsia" w:ascii="Times New Roman" w:hAnsi="Times New Roman" w:cs="Times New Roman"/>
          <w:b/>
          <w:bCs/>
          <w:i w:val="0"/>
          <w:iCs w:val="0"/>
          <w:color w:val="FF0000"/>
          <w:sz w:val="22"/>
          <w:szCs w:val="22"/>
          <w:highlight w:val="none"/>
          <w:lang w:val="en-US" w:eastAsia="zh-CN"/>
        </w:rPr>
        <w:t>s</w:t>
      </w:r>
      <w:r>
        <w:rPr>
          <w:rFonts w:hint="default" w:ascii="Times New Roman" w:hAnsi="Times New Roman" w:cs="Times New Roman"/>
          <w:b/>
          <w:bCs/>
          <w:i w:val="0"/>
          <w:iCs w:val="0"/>
          <w:color w:val="FF0000"/>
          <w:sz w:val="22"/>
          <w:szCs w:val="22"/>
          <w:highlight w:val="none"/>
          <w:lang w:val="en-US" w:eastAsia="zh-CN"/>
        </w:rPr>
        <w:t xml:space="preserve">teroid </w:t>
      </w:r>
      <w:r>
        <w:rPr>
          <w:rFonts w:hint="eastAsia" w:ascii="Times New Roman" w:hAnsi="Times New Roman" w:cs="Times New Roman"/>
          <w:b/>
          <w:bCs/>
          <w:i w:val="0"/>
          <w:iCs w:val="0"/>
          <w:color w:val="FF0000"/>
          <w:sz w:val="22"/>
          <w:szCs w:val="22"/>
          <w:highlight w:val="none"/>
          <w:lang w:val="en-US" w:eastAsia="zh-CN"/>
        </w:rPr>
        <w:t>d</w:t>
      </w:r>
      <w:r>
        <w:rPr>
          <w:rFonts w:hint="default" w:ascii="Times New Roman" w:hAnsi="Times New Roman" w:cs="Times New Roman"/>
          <w:b/>
          <w:bCs/>
          <w:i w:val="0"/>
          <w:iCs w:val="0"/>
          <w:color w:val="FF0000"/>
          <w:sz w:val="22"/>
          <w:szCs w:val="22"/>
          <w:highlight w:val="none"/>
          <w:lang w:val="en-US" w:eastAsia="zh-CN"/>
        </w:rPr>
        <w:t xml:space="preserve">egradation </w:t>
      </w:r>
      <w:r>
        <w:rPr>
          <w:rFonts w:hint="eastAsia" w:ascii="Times New Roman" w:hAnsi="Times New Roman" w:cs="Times New Roman"/>
          <w:b/>
          <w:bCs/>
          <w:i w:val="0"/>
          <w:iCs w:val="0"/>
          <w:color w:val="FF0000"/>
          <w:sz w:val="22"/>
          <w:szCs w:val="22"/>
          <w:highlight w:val="none"/>
          <w:lang w:val="en-US" w:eastAsia="zh-CN"/>
        </w:rPr>
        <w:t>g</w:t>
      </w:r>
      <w:bookmarkStart w:id="0" w:name="_GoBack"/>
      <w:bookmarkEnd w:id="0"/>
      <w:r>
        <w:rPr>
          <w:rFonts w:hint="default" w:ascii="Times New Roman" w:hAnsi="Times New Roman" w:cs="Times New Roman"/>
          <w:b/>
          <w:bCs/>
          <w:i w:val="0"/>
          <w:iCs w:val="0"/>
          <w:color w:val="FF0000"/>
          <w:sz w:val="22"/>
          <w:szCs w:val="22"/>
          <w:highlight w:val="none"/>
          <w:lang w:val="en-US" w:eastAsia="zh-CN"/>
        </w:rPr>
        <w:t>enes</w:t>
      </w:r>
    </w:p>
    <w:p w14:paraId="1D974CE3">
      <w:pPr>
        <w:keepNext w:val="0"/>
        <w:keepLines w:val="0"/>
        <w:pageBreakBefore w:val="0"/>
        <w:widowControl w:val="0"/>
        <w:kinsoku/>
        <w:wordWrap/>
        <w:overflowPunct/>
        <w:topLinePunct w:val="0"/>
        <w:autoSpaceDE/>
        <w:autoSpaceDN/>
        <w:bidi w:val="0"/>
        <w:adjustRightInd/>
        <w:snapToGrid w:val="0"/>
        <w:spacing w:line="360" w:lineRule="auto"/>
        <w:ind w:firstLine="440" w:firstLineChars="200"/>
        <w:textAlignment w:val="auto"/>
        <w:rPr>
          <w:rFonts w:hint="default" w:ascii="Times New Roman" w:hAnsi="Times New Roman" w:cs="Times New Roman"/>
          <w:color w:val="FF0000"/>
          <w:sz w:val="22"/>
          <w:szCs w:val="22"/>
          <w:highlight w:val="none"/>
          <w:lang w:val="en-US" w:eastAsia="zh-CN"/>
        </w:rPr>
      </w:pPr>
      <w:r>
        <w:rPr>
          <w:rFonts w:hint="default" w:ascii="Times New Roman" w:hAnsi="Times New Roman" w:cs="Times New Roman"/>
          <w:color w:val="FF0000"/>
          <w:sz w:val="22"/>
          <w:szCs w:val="22"/>
          <w:highlight w:val="none"/>
          <w:lang w:val="en-US" w:eastAsia="zh-CN"/>
        </w:rPr>
        <w:t>Polymerase chain reaction (PCR) was performed to amplify the target steroid degradation genes (choD, cyp, hsaA, fadD) from the genomic DNA of Streptomyces strains S1, S3, and S15. The reaction mixture (25 μL total volume) contained the following components: 12.5 μL of 2× GoldStar Best MasterMix, 1 μL of each forward and reverse degenerate primer (10 μM), 2 μL of template DNA (20-50 ng/μL), and 8.5 μL of nuclease-free water. The amplification was carried out in a thermal cycler under the following conditions: initial denaturation at 95 °C for 5 min; followed by 35 cycles of denaturation at 95 °C for 30 s, annealing at 55 °C for 30 s, and extension at 72 °C; with a final extension at 72 °C for 10 min. The PCR products were then analyzed by agarose gel electrophoresis.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0E6AF4"/>
    <w:rsid w:val="25E95A1D"/>
    <w:rsid w:val="36E725A8"/>
    <w:rsid w:val="43A63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Emphasis"/>
    <w:basedOn w:val="3"/>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300</Words>
  <Characters>1698</Characters>
  <Lines>0</Lines>
  <Paragraphs>0</Paragraphs>
  <TotalTime>3</TotalTime>
  <ScaleCrop>false</ScaleCrop>
  <LinksUpToDate>false</LinksUpToDate>
  <CharactersWithSpaces>1994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2025-01-09T04:22:00Z</dcterms:created>
  <dc:creator>ASUS</dc:creator>
  <cp:lastModifiedBy>GAN</cp:lastModifiedBy>
  <dcterms:modified xsi:type="dcterms:W3CDTF">2025-09-25T16:47:48Z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eyJoZGlkIjoiNzM1ODRiYjg2MDVmNmU1NTg4NmRlNmI1OTA2NWVkOTMiLCJ1c2VySWQiOiI0NzkwMzg2ODEifQ==</vt:lpwstr>
  </property>
  <property fmtid="{D5CDD505-2E9C-101B-9397-08002B2CF9AE}" pid="4" name="ICV">
    <vt:lpwstr>6A9F3308FDF9405B8B01DFF80347F91F_12</vt:lpwstr>
  </property>
</Properties>
</file>