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D6996" w14:textId="03DB0848" w:rsidR="0007608B" w:rsidRPr="0007608B" w:rsidRDefault="0007608B">
      <w:pPr>
        <w:rPr>
          <w:rFonts w:ascii="Calibri" w:hAnsi="Calibri" w:cs="Calibri"/>
          <w:b/>
          <w:bCs/>
          <w:sz w:val="28"/>
          <w:szCs w:val="28"/>
        </w:rPr>
      </w:pPr>
      <w:r w:rsidRPr="0007608B">
        <w:rPr>
          <w:rFonts w:ascii="Calibri" w:hAnsi="Calibri" w:cs="Calibri"/>
          <w:b/>
          <w:bCs/>
          <w:sz w:val="28"/>
          <w:szCs w:val="28"/>
        </w:rPr>
        <w:t>Supplementary text</w:t>
      </w:r>
    </w:p>
    <w:p w14:paraId="22988F79" w14:textId="7B25149B" w:rsidR="0007608B" w:rsidRPr="0007608B" w:rsidRDefault="0007608B">
      <w:pPr>
        <w:rPr>
          <w:rFonts w:ascii="Calibri" w:hAnsi="Calibri" w:cs="Calibri"/>
          <w:b/>
          <w:bCs/>
          <w:sz w:val="28"/>
          <w:szCs w:val="28"/>
        </w:rPr>
      </w:pPr>
      <w:r w:rsidRPr="0007608B">
        <w:rPr>
          <w:rFonts w:ascii="Calibri" w:hAnsi="Calibri" w:cs="Calibri"/>
          <w:b/>
          <w:bCs/>
          <w:sz w:val="28"/>
          <w:szCs w:val="28"/>
        </w:rPr>
        <w:t>Results</w:t>
      </w:r>
    </w:p>
    <w:p w14:paraId="56554C18" w14:textId="34570570" w:rsidR="008C5060" w:rsidRPr="00CE22B9" w:rsidRDefault="00AB7B32" w:rsidP="008C5060">
      <w:pPr>
        <w:rPr>
          <w:rFonts w:ascii="Calibri" w:hAnsi="Calibri" w:cs="Calibri"/>
          <w:b/>
          <w:bCs/>
          <w:i/>
          <w:iCs/>
          <w:color w:val="000000" w:themeColor="text1"/>
          <w:sz w:val="22"/>
          <w:szCs w:val="22"/>
        </w:rPr>
      </w:pPr>
      <w:r w:rsidRPr="00417158">
        <w:rPr>
          <w:rFonts w:ascii="Calibri" w:hAnsi="Calibri" w:cs="Calibri"/>
          <w:b/>
          <w:bCs/>
          <w:i/>
          <w:iCs/>
          <w:color w:val="000000" w:themeColor="text1"/>
          <w:sz w:val="22"/>
          <w:szCs w:val="22"/>
        </w:rPr>
        <w:t>Overview of the Spit for Science oral microbiome cohort</w:t>
      </w:r>
      <w:r w:rsidR="00CE22B9">
        <w:rPr>
          <w:rFonts w:ascii="Calibri" w:hAnsi="Calibri" w:cs="Calibri"/>
          <w:b/>
          <w:bCs/>
          <w:i/>
          <w:iCs/>
          <w:color w:val="000000" w:themeColor="text1"/>
          <w:sz w:val="22"/>
          <w:szCs w:val="22"/>
        </w:rPr>
        <w:br/>
      </w:r>
      <w:r w:rsidR="008C5060" w:rsidRPr="00417158">
        <w:rPr>
          <w:rFonts w:ascii="Calibri" w:hAnsi="Calibri" w:cs="Calibri"/>
          <w:color w:val="000000" w:themeColor="text1"/>
          <w:sz w:val="22"/>
          <w:szCs w:val="22"/>
        </w:rPr>
        <w:t>The Spit for Science oral microbiome cohort is comprised of 4,812 participants aged between 5 and 18 years (median 9 years; Fig. 1 and Table S1) from 3,817 families recruited at the Ontario Science Centre (Toronto, Canada) between 2019 and 2023. Participants answered questionnaires giving information on their household, demographics, health, socioeconomic status, and diet. The cohort includes 2,411 male, 2,380 female and 21 trans/gender-diverse individuals, with 1,098 being of East Asian, 674 South Asian and 3,040 White ethnicity. In total, 930 participants reported a diagnosis for any physical health condition, 482 reported a diagnosis for a psychiatric/neurodevelopmental disorder, and 330 reported both physical health and psychiatric/neurodevelopmental disorder diagnoses (</w:t>
      </w:r>
      <w:r w:rsidR="008C5060" w:rsidRPr="00417158">
        <w:rPr>
          <w:rFonts w:ascii="Calibri" w:hAnsi="Calibri" w:cs="Calibri"/>
          <w:i/>
          <w:iCs/>
          <w:color w:val="000000" w:themeColor="text1"/>
          <w:sz w:val="22"/>
          <w:szCs w:val="22"/>
        </w:rPr>
        <w:t>n</w:t>
      </w:r>
      <w:r w:rsidR="008C5060" w:rsidRPr="00417158">
        <w:rPr>
          <w:rFonts w:ascii="Calibri" w:hAnsi="Calibri" w:cs="Calibri"/>
          <w:color w:val="000000" w:themeColor="text1"/>
          <w:sz w:val="22"/>
          <w:szCs w:val="22"/>
        </w:rPr>
        <w:t>=3,070 with no reported condition; see Methods for all included conditions). Within the Spit for Science oral microbiome cohort, there were three different subsets that had: (</w:t>
      </w:r>
      <w:proofErr w:type="spellStart"/>
      <w:r w:rsidR="008C5060" w:rsidRPr="00417158">
        <w:rPr>
          <w:rFonts w:ascii="Calibri" w:hAnsi="Calibri" w:cs="Calibri"/>
          <w:color w:val="000000" w:themeColor="text1"/>
          <w:sz w:val="22"/>
          <w:szCs w:val="22"/>
        </w:rPr>
        <w:t>i</w:t>
      </w:r>
      <w:proofErr w:type="spellEnd"/>
      <w:r w:rsidR="008C5060" w:rsidRPr="00417158">
        <w:rPr>
          <w:rFonts w:ascii="Calibri" w:hAnsi="Calibri" w:cs="Calibri"/>
          <w:color w:val="000000" w:themeColor="text1"/>
          <w:sz w:val="22"/>
          <w:szCs w:val="22"/>
        </w:rPr>
        <w:t>) answered an additional diet questionnaire about the frequency that they consume different food items (</w:t>
      </w:r>
      <w:r w:rsidR="008C5060" w:rsidRPr="00417158">
        <w:rPr>
          <w:rFonts w:ascii="Calibri" w:hAnsi="Calibri" w:cs="Calibri"/>
          <w:i/>
          <w:iCs/>
          <w:color w:val="000000" w:themeColor="text1"/>
          <w:sz w:val="22"/>
          <w:szCs w:val="22"/>
        </w:rPr>
        <w:t>n</w:t>
      </w:r>
      <w:r w:rsidR="008C5060" w:rsidRPr="00417158">
        <w:rPr>
          <w:rFonts w:ascii="Calibri" w:hAnsi="Calibri" w:cs="Calibri"/>
          <w:color w:val="000000" w:themeColor="text1"/>
          <w:sz w:val="22"/>
          <w:szCs w:val="22"/>
        </w:rPr>
        <w:t>=2,978; Table S1) which was used to calculate a Healthy Eating Food Index and diet variety score (Fig. 1; see Methods). The median Healthy Eating Food Index was 35.8 out of a total of 60, with 60 indicating perfect adherence to healthy eating recommendations, and the mean weekly diet variety score was 13.67, meaning that participants on average consume almost 14 of 18 different types of food weekly; (ii) individual-level deprivation data on their annual household income (</w:t>
      </w:r>
      <w:r w:rsidR="008C5060" w:rsidRPr="00417158">
        <w:rPr>
          <w:rFonts w:ascii="Calibri" w:hAnsi="Calibri" w:cs="Calibri"/>
          <w:i/>
          <w:iCs/>
          <w:color w:val="000000" w:themeColor="text1"/>
          <w:sz w:val="22"/>
          <w:szCs w:val="22"/>
        </w:rPr>
        <w:t>n</w:t>
      </w:r>
      <w:r w:rsidR="008C5060" w:rsidRPr="00417158">
        <w:rPr>
          <w:rFonts w:ascii="Calibri" w:hAnsi="Calibri" w:cs="Calibri"/>
          <w:color w:val="000000" w:themeColor="text1"/>
          <w:sz w:val="22"/>
          <w:szCs w:val="22"/>
        </w:rPr>
        <w:t>=1,741; median $100,000 to $199,999), and whether they had a second parent/caregiver (</w:t>
      </w:r>
      <w:r w:rsidR="008C5060" w:rsidRPr="00417158">
        <w:rPr>
          <w:rFonts w:ascii="Calibri" w:hAnsi="Calibri" w:cs="Calibri"/>
          <w:i/>
          <w:iCs/>
          <w:color w:val="000000" w:themeColor="text1"/>
          <w:sz w:val="22"/>
          <w:szCs w:val="22"/>
        </w:rPr>
        <w:t>n</w:t>
      </w:r>
      <w:r w:rsidR="008C5060" w:rsidRPr="00417158">
        <w:rPr>
          <w:rFonts w:ascii="Calibri" w:hAnsi="Calibri" w:cs="Calibri"/>
          <w:color w:val="000000" w:themeColor="text1"/>
          <w:sz w:val="22"/>
          <w:szCs w:val="22"/>
        </w:rPr>
        <w:t>=2,061; 87% had a second parent/caregiver); and/or (iii) given their postal code for their current residence, allowing us to obtain marginalisation and environmental data for them (</w:t>
      </w:r>
      <w:r w:rsidR="008C5060" w:rsidRPr="00417158">
        <w:rPr>
          <w:rFonts w:ascii="Calibri" w:hAnsi="Calibri" w:cs="Calibri"/>
          <w:i/>
          <w:iCs/>
          <w:color w:val="000000" w:themeColor="text1"/>
          <w:sz w:val="22"/>
          <w:szCs w:val="22"/>
        </w:rPr>
        <w:t>n</w:t>
      </w:r>
      <w:r w:rsidR="008C5060" w:rsidRPr="00417158">
        <w:rPr>
          <w:rFonts w:ascii="Calibri" w:hAnsi="Calibri" w:cs="Calibri"/>
          <w:color w:val="000000" w:themeColor="text1"/>
          <w:sz w:val="22"/>
          <w:szCs w:val="22"/>
        </w:rPr>
        <w:t xml:space="preserve">=4,178). Of the 4,178 participants with postal code information, 2,637 lived in the Greater Toronto Area (GTA; 63%). </w:t>
      </w:r>
    </w:p>
    <w:p w14:paraId="5444330A" w14:textId="21550E56" w:rsidR="008C5060" w:rsidRPr="00417158" w:rsidRDefault="008C5060" w:rsidP="008C5060">
      <w:pPr>
        <w:rPr>
          <w:rFonts w:ascii="Calibri" w:hAnsi="Calibri" w:cs="Calibri"/>
          <w:color w:val="000000" w:themeColor="text1"/>
          <w:sz w:val="22"/>
          <w:szCs w:val="22"/>
        </w:rPr>
      </w:pPr>
      <w:r w:rsidRPr="00417158">
        <w:rPr>
          <w:rFonts w:ascii="Calibri" w:hAnsi="Calibri" w:cs="Calibri"/>
          <w:color w:val="000000" w:themeColor="text1"/>
          <w:sz w:val="22"/>
          <w:szCs w:val="22"/>
        </w:rPr>
        <w:t xml:space="preserve">For participants who had given their postal code, we were able to use neighbourhood-level data on marginalisation and environmental variables: (a) material and social deprivation using the deprivation index calculated by </w:t>
      </w:r>
      <w:proofErr w:type="spellStart"/>
      <w:r w:rsidRPr="00417158">
        <w:rPr>
          <w:rFonts w:ascii="Calibri" w:hAnsi="Calibri" w:cs="Calibri"/>
          <w:color w:val="000000" w:themeColor="text1"/>
          <w:sz w:val="22"/>
          <w:szCs w:val="22"/>
        </w:rPr>
        <w:t>Pampalon</w:t>
      </w:r>
      <w:proofErr w:type="spellEnd"/>
      <w:r w:rsidRPr="00417158">
        <w:rPr>
          <w:rFonts w:ascii="Calibri" w:hAnsi="Calibri" w:cs="Calibri"/>
          <w:color w:val="000000" w:themeColor="text1"/>
          <w:sz w:val="22"/>
          <w:szCs w:val="22"/>
        </w:rPr>
        <w:t xml:space="preserve"> </w:t>
      </w:r>
      <w:r w:rsidRPr="00417158">
        <w:rPr>
          <w:rFonts w:ascii="Calibri" w:hAnsi="Calibri" w:cs="Calibri"/>
          <w:i/>
          <w:iCs/>
          <w:color w:val="000000" w:themeColor="text1"/>
          <w:sz w:val="22"/>
          <w:szCs w:val="22"/>
        </w:rPr>
        <w:t>et al.</w:t>
      </w:r>
      <w:r w:rsidRPr="00417158">
        <w:rPr>
          <w:rFonts w:ascii="Calibri" w:hAnsi="Calibri" w:cs="Calibri"/>
          <w:color w:val="000000" w:themeColor="text1"/>
          <w:sz w:val="22"/>
          <w:szCs w:val="22"/>
        </w:rPr>
        <w:t xml:space="preserve"> </w:t>
      </w:r>
      <w:sdt>
        <w:sdtPr>
          <w:rPr>
            <w:rFonts w:ascii="Calibri" w:hAnsi="Calibri" w:cs="Calibri"/>
            <w:color w:val="000000" w:themeColor="text1"/>
            <w:sz w:val="22"/>
            <w:szCs w:val="22"/>
          </w:rPr>
          <w:tag w:val="MENDELEY_CITATION_v3_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"/>
          <w:id w:val="-79989914"/>
          <w:placeholder>
            <w:docPart w:val="463F3AF128A97244ADD244886F820408"/>
          </w:placeholder>
        </w:sdtPr>
        <w:sdtContent>
          <w:r w:rsidRPr="00417158">
            <w:rPr>
              <w:rFonts w:ascii="Calibri" w:hAnsi="Calibri" w:cs="Calibri"/>
              <w:color w:val="000000" w:themeColor="text1"/>
              <w:sz w:val="22"/>
              <w:szCs w:val="22"/>
            </w:rPr>
            <w:t>[29]</w:t>
          </w:r>
        </w:sdtContent>
      </w:sdt>
      <w:r w:rsidRPr="00417158">
        <w:rPr>
          <w:rFonts w:ascii="Calibri" w:hAnsi="Calibri" w:cs="Calibri"/>
          <w:color w:val="000000" w:themeColor="text1"/>
          <w:sz w:val="22"/>
          <w:szCs w:val="22"/>
        </w:rPr>
        <w:t xml:space="preserve"> where a higher value for either index indicates increased neighbourhood deprivation; (b) an index of rurality calculated from the Statistics Canada Index of Remoteness where 0 is the least rural and 1 is the most rural </w:t>
      </w:r>
      <w:sdt>
        <w:sdtPr>
          <w:rPr>
            <w:rFonts w:ascii="Calibri" w:hAnsi="Calibri" w:cs="Calibri"/>
            <w:color w:val="000000" w:themeColor="text1"/>
            <w:sz w:val="22"/>
            <w:szCs w:val="22"/>
          </w:rPr>
          <w:tag w:val="MENDELEY_CITATION_v3_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"/>
          <w:id w:val="-2065552865"/>
          <w:placeholder>
            <w:docPart w:val="B0592F702450C8469C8A713A416D0B21"/>
          </w:placeholder>
        </w:sdtPr>
        <w:sdtContent>
          <w:r w:rsidRPr="00417158">
            <w:rPr>
              <w:rFonts w:ascii="Calibri" w:hAnsi="Calibri" w:cs="Calibri"/>
              <w:color w:val="000000" w:themeColor="text1"/>
              <w:sz w:val="22"/>
              <w:szCs w:val="22"/>
            </w:rPr>
            <w:t>[30]</w:t>
          </w:r>
        </w:sdtContent>
      </w:sdt>
      <w:r w:rsidRPr="00417158">
        <w:rPr>
          <w:rFonts w:ascii="Calibri" w:hAnsi="Calibri" w:cs="Calibri"/>
          <w:color w:val="000000" w:themeColor="text1"/>
          <w:sz w:val="22"/>
          <w:szCs w:val="22"/>
        </w:rPr>
        <w:t xml:space="preserve">; (c) Greenspace as a growing season mean calculated from the Normalized Difference Vegetation Index (NDVI) where 0 is the least vegetation and 1 is the most </w:t>
      </w:r>
      <w:sdt>
        <w:sdtPr>
          <w:rPr>
            <w:rFonts w:ascii="Calibri" w:hAnsi="Calibri" w:cs="Calibri"/>
            <w:color w:val="000000" w:themeColor="text1"/>
            <w:sz w:val="22"/>
            <w:szCs w:val="22"/>
          </w:rPr>
          <w:tag w:val="MENDELEY_CITATION_v3_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"/>
          <w:id w:val="1803654500"/>
          <w:placeholder>
            <w:docPart w:val="1AA67B2C48677E458D1465386C87DDAA"/>
          </w:placeholder>
        </w:sdtPr>
        <w:sdtContent>
          <w:r w:rsidRPr="00417158">
            <w:rPr>
              <w:rFonts w:ascii="Calibri" w:hAnsi="Calibri" w:cs="Calibri"/>
              <w:color w:val="000000" w:themeColor="text1"/>
              <w:sz w:val="22"/>
              <w:szCs w:val="22"/>
            </w:rPr>
            <w:t>[31–33]</w:t>
          </w:r>
        </w:sdtContent>
      </w:sdt>
      <w:r w:rsidRPr="00417158">
        <w:rPr>
          <w:rFonts w:ascii="Calibri" w:hAnsi="Calibri" w:cs="Calibri"/>
          <w:color w:val="000000" w:themeColor="text1"/>
          <w:sz w:val="22"/>
          <w:szCs w:val="22"/>
        </w:rPr>
        <w:t>; and (d) Fine Particulate Matter (PM</w:t>
      </w:r>
      <w:r w:rsidRPr="00417158">
        <w:rPr>
          <w:rFonts w:ascii="Calibri" w:hAnsi="Calibri" w:cs="Calibri"/>
          <w:color w:val="000000" w:themeColor="text1"/>
          <w:sz w:val="22"/>
          <w:szCs w:val="22"/>
          <w:vertAlign w:val="subscript"/>
        </w:rPr>
        <w:t>2.5</w:t>
      </w:r>
      <w:r w:rsidRPr="00417158">
        <w:rPr>
          <w:rFonts w:ascii="Calibri" w:hAnsi="Calibri" w:cs="Calibri"/>
          <w:color w:val="000000" w:themeColor="text1"/>
          <w:sz w:val="22"/>
          <w:szCs w:val="22"/>
        </w:rPr>
        <w:t xml:space="preserve">) as an annual average at each postal code </w:t>
      </w:r>
      <w:sdt>
        <w:sdtPr>
          <w:rPr>
            <w:rFonts w:ascii="Calibri" w:hAnsi="Calibri" w:cs="Calibri"/>
            <w:color w:val="000000" w:themeColor="text1"/>
            <w:sz w:val="22"/>
            <w:szCs w:val="22"/>
          </w:rPr>
          <w:tag w:val="MENDELEY_CITATION_v3_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"/>
          <w:id w:val="-42136074"/>
          <w:placeholder>
            <w:docPart w:val="C3836E343FBEAD46BD46E030C28FCE4A"/>
          </w:placeholder>
        </w:sdtPr>
        <w:sdtContent>
          <w:r w:rsidRPr="00417158">
            <w:rPr>
              <w:rFonts w:ascii="Calibri" w:hAnsi="Calibri" w:cs="Calibri"/>
              <w:color w:val="000000" w:themeColor="text1"/>
              <w:sz w:val="22"/>
              <w:szCs w:val="22"/>
            </w:rPr>
            <w:t>[34,35]</w:t>
          </w:r>
        </w:sdtContent>
      </w:sdt>
      <w:r w:rsidRPr="00417158">
        <w:rPr>
          <w:rFonts w:ascii="Calibri" w:hAnsi="Calibri" w:cs="Calibri"/>
          <w:color w:val="000000" w:themeColor="text1"/>
          <w:sz w:val="22"/>
          <w:szCs w:val="22"/>
        </w:rPr>
        <w:t>. Median values within our cohort for each of these variables were -0.015 (material deprivation), -0.003 (social deprivation), 0.053 (index of rurality), 0.529 (greenspace), and 7.662 µg m</w:t>
      </w:r>
      <w:r w:rsidRPr="00417158">
        <w:rPr>
          <w:rFonts w:ascii="Calibri" w:hAnsi="Calibri" w:cs="Calibri"/>
          <w:color w:val="000000" w:themeColor="text1"/>
          <w:sz w:val="22"/>
          <w:szCs w:val="22"/>
          <w:vertAlign w:val="superscript"/>
        </w:rPr>
        <w:t>-3</w:t>
      </w:r>
      <w:r w:rsidRPr="00417158">
        <w:rPr>
          <w:rFonts w:ascii="Calibri" w:hAnsi="Calibri" w:cs="Calibri"/>
          <w:color w:val="000000" w:themeColor="text1"/>
          <w:sz w:val="22"/>
          <w:szCs w:val="22"/>
        </w:rPr>
        <w:t xml:space="preserve"> (PM</w:t>
      </w:r>
      <w:r w:rsidRPr="00417158">
        <w:rPr>
          <w:rFonts w:ascii="Calibri" w:hAnsi="Calibri" w:cs="Calibri"/>
          <w:color w:val="000000" w:themeColor="text1"/>
          <w:sz w:val="22"/>
          <w:szCs w:val="22"/>
          <w:vertAlign w:val="subscript"/>
        </w:rPr>
        <w:t>2.5</w:t>
      </w:r>
      <w:r w:rsidRPr="00417158">
        <w:rPr>
          <w:rFonts w:ascii="Calibri" w:hAnsi="Calibri" w:cs="Calibri"/>
          <w:color w:val="000000" w:themeColor="text1"/>
          <w:sz w:val="22"/>
          <w:szCs w:val="22"/>
        </w:rPr>
        <w:t>; Fig. 1). For smaller subsets of participants, we had the above variables for their current school or their residence in utero as well as the Ontario Marginalisation Index variables; see Methods and Supplementary Results for further details. We had all dietary, marginalisation, and environmental variables in addition to age, gender, ethnicity and diagnosed health conditions for 2,594 participants.</w:t>
      </w:r>
    </w:p>
    <w:p w14:paraId="6873E1AB" w14:textId="77777777" w:rsidR="00CE3D5D" w:rsidRPr="00417158" w:rsidRDefault="00CE3D5D" w:rsidP="00CE3D5D">
      <w:pPr>
        <w:rPr>
          <w:rFonts w:ascii="Calibri" w:hAnsi="Calibri" w:cs="Calibri"/>
          <w:color w:val="000000" w:themeColor="text1"/>
          <w:sz w:val="22"/>
          <w:szCs w:val="22"/>
        </w:rPr>
      </w:pPr>
      <w:r w:rsidRPr="00417158">
        <w:rPr>
          <w:rFonts w:ascii="Calibri" w:hAnsi="Calibri" w:cs="Calibri"/>
          <w:b/>
          <w:bCs/>
          <w:i/>
          <w:iCs/>
          <w:color w:val="000000" w:themeColor="text1"/>
          <w:sz w:val="22"/>
          <w:szCs w:val="22"/>
        </w:rPr>
        <w:t>Age, ethnicity, gender, and diagnosed health conditions impact alpha and beta diversity within the saliva bacteriome of children and adolescents</w:t>
      </w:r>
      <w:r w:rsidRPr="00417158">
        <w:rPr>
          <w:color w:val="000000" w:themeColor="text1"/>
        </w:rPr>
        <w:br/>
      </w:r>
      <w:r w:rsidRPr="00417158">
        <w:rPr>
          <w:rFonts w:ascii="Calibri" w:hAnsi="Calibri" w:cs="Calibri"/>
          <w:color w:val="000000" w:themeColor="text1"/>
          <w:sz w:val="22"/>
          <w:szCs w:val="22"/>
        </w:rPr>
        <w:t xml:space="preserve">We assessed overall diversity at the Amplicon Sequence Variant (ASV) level within the participants using the Phylogenetic-RPCA beta diversity metric </w:t>
      </w:r>
      <w:sdt>
        <w:sdtPr>
          <w:rPr>
            <w:rFonts w:ascii="Calibri" w:hAnsi="Calibri" w:cs="Calibri"/>
            <w:color w:val="000000" w:themeColor="text1"/>
            <w:sz w:val="22"/>
            <w:szCs w:val="22"/>
          </w:rPr>
          <w:tag w:val="MENDELEY_CITATION_v3_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"/>
          <w:id w:val="-616823104"/>
          <w:placeholder>
            <w:docPart w:val="D24AF54398C5194988E6BD4106BC5A40"/>
          </w:placeholder>
        </w:sdtPr>
        <w:sdtContent>
          <w:r w:rsidRPr="00417158">
            <w:rPr>
              <w:rFonts w:ascii="Calibri" w:hAnsi="Calibri" w:cs="Calibri"/>
              <w:color w:val="000000" w:themeColor="text1"/>
              <w:sz w:val="22"/>
              <w:szCs w:val="22"/>
            </w:rPr>
            <w:t>[37]</w:t>
          </w:r>
        </w:sdtContent>
      </w:sdt>
      <w:r w:rsidRPr="00417158">
        <w:rPr>
          <w:rFonts w:ascii="Calibri" w:hAnsi="Calibri" w:cs="Calibri"/>
          <w:color w:val="000000" w:themeColor="text1"/>
          <w:sz w:val="22"/>
          <w:szCs w:val="22"/>
        </w:rPr>
        <w:t xml:space="preserve"> and six metrics of alpha diversity (Chao1 richness, observed taxa, Faith’s phylogenetic diversity [FPD], Shannon diversity, Simpson’s evenness </w:t>
      </w:r>
      <w:r w:rsidRPr="00417158">
        <w:rPr>
          <w:rFonts w:ascii="Calibri" w:hAnsi="Calibri" w:cs="Calibri"/>
          <w:color w:val="000000" w:themeColor="text1"/>
          <w:sz w:val="22"/>
          <w:szCs w:val="22"/>
        </w:rPr>
        <w:lastRenderedPageBreak/>
        <w:t xml:space="preserve">[SE] and Simpson’s Index of diversity [SI]) with repeated rarefaction (Fig. S1). We used PERMANOVA and ANOVA tests for beta and alpha diversity, respectively, and first focus on the variables that we have for all participants, before turning to the genetic relatedness, marginalisation, and diet variables in later sections. All tests accounted for participants’ family ID (self-reported based on living together or biological relatedness).  </w:t>
      </w:r>
    </w:p>
    <w:p w14:paraId="564D243B" w14:textId="0C4B211A" w:rsidR="00CE3D5D" w:rsidRPr="00417158" w:rsidRDefault="00FC6F12" w:rsidP="008C5060">
      <w:pPr>
        <w:rPr>
          <w:rFonts w:ascii="Calibri" w:hAnsi="Calibri" w:cs="Calibri"/>
          <w:b/>
          <w:bCs/>
          <w:i/>
          <w:iCs/>
          <w:sz w:val="22"/>
          <w:szCs w:val="22"/>
        </w:rPr>
      </w:pPr>
      <w:r w:rsidRPr="00417158">
        <w:rPr>
          <w:rFonts w:ascii="Calibri" w:hAnsi="Calibri" w:cs="Calibri"/>
          <w:color w:val="000000" w:themeColor="text1"/>
          <w:sz w:val="22"/>
          <w:szCs w:val="22"/>
        </w:rPr>
        <w:t>As for beta diversity, the largest differences are seen between ages 16-18, but again, it is unclear whether this is because of the smaller number of participants within this age range. While the combined diversity metrics (Shannon and Simpson’s Index of diversity) were statistically significantly associated with age, only small differences</w:t>
      </w:r>
      <w:r w:rsidRPr="00417158">
        <w:rPr>
          <w:rFonts w:ascii="Calibri" w:hAnsi="Calibri" w:cs="Calibri"/>
          <w:color w:val="000000" w:themeColor="text1"/>
          <w:sz w:val="22"/>
          <w:szCs w:val="22"/>
        </w:rPr>
        <w:t xml:space="preserve"> </w:t>
      </w:r>
      <w:r w:rsidRPr="00417158">
        <w:rPr>
          <w:rFonts w:ascii="Calibri" w:hAnsi="Calibri" w:cs="Calibri"/>
          <w:color w:val="000000" w:themeColor="text1"/>
          <w:sz w:val="22"/>
          <w:szCs w:val="22"/>
        </w:rPr>
        <w:t xml:space="preserve">were observed. For ethnicity, statistically significant differences for richness and evenness but not the combined metrics were observed (Figs. 2BHIJ and S3); White participants had significantly lower richness and higher evenness than East or South Asian participants (no significant differences between East Asian and South Asian participants; Tukey’s HSD </w:t>
      </w:r>
      <w:proofErr w:type="spellStart"/>
      <w:r w:rsidRPr="00417158">
        <w:rPr>
          <w:rFonts w:ascii="Calibri" w:hAnsi="Calibri" w:cs="Calibri"/>
          <w:color w:val="000000" w:themeColor="text1"/>
          <w:sz w:val="22"/>
          <w:szCs w:val="22"/>
        </w:rPr>
        <w:t>posthoc</w:t>
      </w:r>
      <w:proofErr w:type="spellEnd"/>
      <w:r w:rsidRPr="00417158">
        <w:rPr>
          <w:rFonts w:ascii="Calibri" w:hAnsi="Calibri" w:cs="Calibri"/>
          <w:color w:val="000000" w:themeColor="text1"/>
          <w:sz w:val="22"/>
          <w:szCs w:val="22"/>
        </w:rPr>
        <w:t xml:space="preserve"> tests). White participants also separate slightly on both PC1 and PC2 from East and South Asian participants. Evenness, Shannon diversity, and Simpson’s index of diversity, but not richness metrics, were both significantly associated with gender, with both being significantly higher in females compared with males (Tukey’s HSD; Figs. 2BHIJ and S4). We did not test for statistically significant differences between trans/gender-diverse individuals and either males or females due to the small sample size (</w:t>
      </w:r>
      <w:r w:rsidRPr="00417158">
        <w:rPr>
          <w:rFonts w:ascii="Calibri" w:hAnsi="Calibri" w:cs="Calibri"/>
          <w:i/>
          <w:iCs/>
          <w:color w:val="000000" w:themeColor="text1"/>
          <w:sz w:val="22"/>
          <w:szCs w:val="22"/>
        </w:rPr>
        <w:t>n</w:t>
      </w:r>
      <w:r w:rsidRPr="00417158">
        <w:rPr>
          <w:rFonts w:ascii="Calibri" w:hAnsi="Calibri" w:cs="Calibri"/>
          <w:color w:val="000000" w:themeColor="text1"/>
          <w:sz w:val="22"/>
          <w:szCs w:val="22"/>
        </w:rPr>
        <w:t>=21). Significant differences were observed with diagnosed health conditions in multivariate tests for richness but not evenness or the combined diversity metrics, with those with no diagnosed conditions typically having higher richness than any of the groups with diagnosed conditions (Figs. 2B and S5) and the largest differences in both richness and beta diversity were in those with a psychiatric/neurodevelopmental disorder (with or without a physical health condition).</w:t>
      </w:r>
    </w:p>
    <w:p w14:paraId="7EF161D3" w14:textId="1EB27810" w:rsidR="004301C5" w:rsidRPr="00417158" w:rsidRDefault="0007608B">
      <w:pPr>
        <w:rPr>
          <w:rFonts w:ascii="Calibri" w:hAnsi="Calibri" w:cs="Calibri"/>
          <w:sz w:val="22"/>
          <w:szCs w:val="22"/>
        </w:rPr>
      </w:pPr>
      <w:r w:rsidRPr="00417158">
        <w:rPr>
          <w:rFonts w:ascii="Calibri" w:hAnsi="Calibri" w:cs="Calibri"/>
          <w:b/>
          <w:bCs/>
          <w:i/>
          <w:iCs/>
          <w:sz w:val="22"/>
          <w:szCs w:val="22"/>
        </w:rPr>
        <w:t xml:space="preserve">The most prevalent taxa in children and adolescents are </w:t>
      </w:r>
      <w:proofErr w:type="gramStart"/>
      <w:r w:rsidRPr="00417158">
        <w:rPr>
          <w:rFonts w:ascii="Calibri" w:hAnsi="Calibri" w:cs="Calibri"/>
          <w:b/>
          <w:bCs/>
          <w:i/>
          <w:iCs/>
          <w:sz w:val="22"/>
          <w:szCs w:val="22"/>
        </w:rPr>
        <w:t>similar to</w:t>
      </w:r>
      <w:proofErr w:type="gramEnd"/>
      <w:r w:rsidRPr="00417158">
        <w:rPr>
          <w:rFonts w:ascii="Calibri" w:hAnsi="Calibri" w:cs="Calibri"/>
          <w:b/>
          <w:bCs/>
          <w:i/>
          <w:iCs/>
          <w:sz w:val="22"/>
          <w:szCs w:val="22"/>
        </w:rPr>
        <w:t xml:space="preserve"> those found in adults</w:t>
      </w:r>
      <w:r w:rsidRPr="00417158">
        <w:rPr>
          <w:rFonts w:ascii="Calibri" w:hAnsi="Calibri" w:cs="Calibri"/>
          <w:b/>
          <w:bCs/>
          <w:i/>
          <w:iCs/>
          <w:sz w:val="22"/>
          <w:szCs w:val="22"/>
        </w:rPr>
        <w:br/>
      </w:r>
      <w:r w:rsidR="003E2686" w:rsidRPr="00417158">
        <w:rPr>
          <w:rFonts w:ascii="Calibri" w:hAnsi="Calibri" w:cs="Calibri"/>
          <w:color w:val="000000" w:themeColor="text1"/>
          <w:sz w:val="22"/>
          <w:szCs w:val="22"/>
        </w:rPr>
        <w:t>Overall, we identified 7,705 ASVs (Table S</w:t>
      </w:r>
      <w:r w:rsidR="00724C4F" w:rsidRPr="00417158">
        <w:rPr>
          <w:rFonts w:ascii="Calibri" w:hAnsi="Calibri" w:cs="Calibri"/>
          <w:color w:val="000000" w:themeColor="text1"/>
          <w:sz w:val="22"/>
          <w:szCs w:val="22"/>
        </w:rPr>
        <w:t>3</w:t>
      </w:r>
      <w:r w:rsidR="003E2686" w:rsidRPr="00417158">
        <w:rPr>
          <w:rFonts w:ascii="Calibri" w:hAnsi="Calibri" w:cs="Calibri"/>
          <w:color w:val="000000" w:themeColor="text1"/>
          <w:sz w:val="22"/>
          <w:szCs w:val="22"/>
        </w:rPr>
        <w:t>) and 160 genera (Table S</w:t>
      </w:r>
      <w:r w:rsidR="001A5448" w:rsidRPr="00417158">
        <w:rPr>
          <w:rFonts w:ascii="Calibri" w:hAnsi="Calibri" w:cs="Calibri"/>
          <w:color w:val="000000" w:themeColor="text1"/>
          <w:sz w:val="22"/>
          <w:szCs w:val="22"/>
        </w:rPr>
        <w:t>7</w:t>
      </w:r>
      <w:r w:rsidR="003E2686" w:rsidRPr="00417158">
        <w:rPr>
          <w:rFonts w:ascii="Calibri" w:hAnsi="Calibri" w:cs="Calibri"/>
          <w:color w:val="000000" w:themeColor="text1"/>
          <w:sz w:val="22"/>
          <w:szCs w:val="22"/>
        </w:rPr>
        <w:t xml:space="preserve">) in participants. These were predominantly from the phyla Bacteroidetes (mean 37% relative abundance), Firmicutes (35%), Proteobacteria (23%), Fusobacteria (4%), and Actinobacteria (1%) as well as Spirochaetes, Cyanobacteria, </w:t>
      </w:r>
      <w:proofErr w:type="spellStart"/>
      <w:r w:rsidR="003E2686" w:rsidRPr="00417158">
        <w:rPr>
          <w:rFonts w:ascii="Calibri" w:hAnsi="Calibri" w:cs="Calibri"/>
          <w:color w:val="000000" w:themeColor="text1"/>
          <w:sz w:val="22"/>
          <w:szCs w:val="22"/>
        </w:rPr>
        <w:t>Synergistetes</w:t>
      </w:r>
      <w:proofErr w:type="spellEnd"/>
      <w:r w:rsidR="003E2686" w:rsidRPr="00417158">
        <w:rPr>
          <w:rFonts w:ascii="Calibri" w:hAnsi="Calibri" w:cs="Calibri"/>
          <w:color w:val="000000" w:themeColor="text1"/>
          <w:sz w:val="22"/>
          <w:szCs w:val="22"/>
        </w:rPr>
        <w:t xml:space="preserve"> (</w:t>
      </w:r>
      <w:proofErr w:type="spellStart"/>
      <w:r w:rsidR="003E2686" w:rsidRPr="00417158">
        <w:rPr>
          <w:rFonts w:ascii="Calibri" w:hAnsi="Calibri" w:cs="Calibri"/>
          <w:color w:val="000000" w:themeColor="text1"/>
          <w:sz w:val="22"/>
          <w:szCs w:val="22"/>
        </w:rPr>
        <w:t>Synergistota</w:t>
      </w:r>
      <w:proofErr w:type="spellEnd"/>
      <w:r w:rsidR="003E2686" w:rsidRPr="00417158">
        <w:rPr>
          <w:rFonts w:ascii="Calibri" w:hAnsi="Calibri" w:cs="Calibri"/>
          <w:color w:val="000000" w:themeColor="text1"/>
          <w:sz w:val="22"/>
          <w:szCs w:val="22"/>
        </w:rPr>
        <w:t xml:space="preserve">), </w:t>
      </w:r>
      <w:proofErr w:type="spellStart"/>
      <w:r w:rsidR="003E2686" w:rsidRPr="00417158">
        <w:rPr>
          <w:rFonts w:ascii="Calibri" w:hAnsi="Calibri" w:cs="Calibri"/>
          <w:color w:val="000000" w:themeColor="text1"/>
          <w:sz w:val="22"/>
          <w:szCs w:val="22"/>
        </w:rPr>
        <w:t>Gracilibacteria</w:t>
      </w:r>
      <w:proofErr w:type="spellEnd"/>
      <w:r w:rsidR="003E2686" w:rsidRPr="00417158">
        <w:rPr>
          <w:rFonts w:ascii="Calibri" w:hAnsi="Calibri" w:cs="Calibri"/>
          <w:color w:val="000000" w:themeColor="text1"/>
          <w:sz w:val="22"/>
          <w:szCs w:val="22"/>
        </w:rPr>
        <w:t xml:space="preserve"> (GN02) and </w:t>
      </w:r>
      <w:proofErr w:type="spellStart"/>
      <w:r w:rsidR="003E2686" w:rsidRPr="00417158">
        <w:rPr>
          <w:rFonts w:ascii="Calibri" w:hAnsi="Calibri" w:cs="Calibri"/>
          <w:color w:val="000000" w:themeColor="text1"/>
          <w:sz w:val="22"/>
          <w:szCs w:val="22"/>
        </w:rPr>
        <w:t>Absconditabacteria</w:t>
      </w:r>
      <w:proofErr w:type="spellEnd"/>
      <w:r w:rsidR="003E2686" w:rsidRPr="00417158">
        <w:rPr>
          <w:rFonts w:ascii="Calibri" w:hAnsi="Calibri" w:cs="Calibri"/>
          <w:color w:val="000000" w:themeColor="text1"/>
          <w:sz w:val="22"/>
          <w:szCs w:val="22"/>
        </w:rPr>
        <w:t xml:space="preserve"> (SR1) (all mean &lt;1% relative abundance). No ASVs were present in 100% of participants, but four were present in ≥99% of participants and further five were present in ≥95% of participants (Fig. S6). Three genera are present in 100% of participants (</w:t>
      </w:r>
      <w:proofErr w:type="spellStart"/>
      <w:r w:rsidR="003E2686" w:rsidRPr="00417158">
        <w:rPr>
          <w:rFonts w:ascii="Calibri" w:hAnsi="Calibri" w:cs="Calibri"/>
          <w:i/>
          <w:iCs/>
          <w:color w:val="000000" w:themeColor="text1"/>
          <w:sz w:val="22"/>
          <w:szCs w:val="22"/>
        </w:rPr>
        <w:t>Veillonella</w:t>
      </w:r>
      <w:proofErr w:type="spellEnd"/>
      <w:r w:rsidR="003E2686" w:rsidRPr="00417158">
        <w:rPr>
          <w:rFonts w:ascii="Calibri" w:hAnsi="Calibri" w:cs="Calibri"/>
          <w:color w:val="000000" w:themeColor="text1"/>
          <w:sz w:val="22"/>
          <w:szCs w:val="22"/>
        </w:rPr>
        <w:t xml:space="preserve">, </w:t>
      </w:r>
      <w:r w:rsidR="003E2686" w:rsidRPr="00417158">
        <w:rPr>
          <w:rFonts w:ascii="Calibri" w:hAnsi="Calibri" w:cs="Calibri"/>
          <w:i/>
          <w:iCs/>
          <w:color w:val="000000" w:themeColor="text1"/>
          <w:sz w:val="22"/>
          <w:szCs w:val="22"/>
        </w:rPr>
        <w:t>Streptococcus</w:t>
      </w:r>
      <w:r w:rsidR="003E2686" w:rsidRPr="00417158">
        <w:rPr>
          <w:rFonts w:ascii="Calibri" w:hAnsi="Calibri" w:cs="Calibri"/>
          <w:color w:val="000000" w:themeColor="text1"/>
          <w:sz w:val="22"/>
          <w:szCs w:val="22"/>
        </w:rPr>
        <w:t xml:space="preserve"> and </w:t>
      </w:r>
      <w:proofErr w:type="spellStart"/>
      <w:r w:rsidR="003E2686" w:rsidRPr="00417158">
        <w:rPr>
          <w:rFonts w:ascii="Calibri" w:hAnsi="Calibri" w:cs="Calibri"/>
          <w:i/>
          <w:iCs/>
          <w:color w:val="000000" w:themeColor="text1"/>
          <w:sz w:val="22"/>
          <w:szCs w:val="22"/>
        </w:rPr>
        <w:t>Prevotella</w:t>
      </w:r>
      <w:proofErr w:type="spellEnd"/>
      <w:r w:rsidR="003E2686" w:rsidRPr="00417158">
        <w:rPr>
          <w:rFonts w:ascii="Calibri" w:hAnsi="Calibri" w:cs="Calibri"/>
          <w:color w:val="000000" w:themeColor="text1"/>
          <w:sz w:val="22"/>
          <w:szCs w:val="22"/>
        </w:rPr>
        <w:t xml:space="preserve">, mean relative abundance [RA] 6.36%, 15.91% and 23.43%, respectively) and 12 in ≥99% of participants: </w:t>
      </w:r>
      <w:proofErr w:type="spellStart"/>
      <w:r w:rsidR="003E2686" w:rsidRPr="00417158">
        <w:rPr>
          <w:rFonts w:ascii="Calibri" w:hAnsi="Calibri" w:cs="Calibri"/>
          <w:i/>
          <w:iCs/>
          <w:color w:val="000000" w:themeColor="text1"/>
          <w:sz w:val="22"/>
          <w:szCs w:val="22"/>
        </w:rPr>
        <w:t>Granulicatella</w:t>
      </w:r>
      <w:proofErr w:type="spellEnd"/>
      <w:r w:rsidR="003E2686" w:rsidRPr="00417158">
        <w:rPr>
          <w:rFonts w:ascii="Calibri" w:hAnsi="Calibri" w:cs="Calibri"/>
          <w:color w:val="000000" w:themeColor="text1"/>
          <w:sz w:val="22"/>
          <w:szCs w:val="22"/>
        </w:rPr>
        <w:t xml:space="preserve"> [RA 1.56%], </w:t>
      </w:r>
      <w:r w:rsidR="003E2686" w:rsidRPr="00417158">
        <w:rPr>
          <w:rFonts w:ascii="Calibri" w:hAnsi="Calibri" w:cs="Calibri"/>
          <w:i/>
          <w:iCs/>
          <w:color w:val="000000" w:themeColor="text1"/>
          <w:sz w:val="22"/>
          <w:szCs w:val="22"/>
        </w:rPr>
        <w:t>Neisseria</w:t>
      </w:r>
      <w:r w:rsidR="003E2686" w:rsidRPr="00417158">
        <w:rPr>
          <w:rFonts w:ascii="Calibri" w:hAnsi="Calibri" w:cs="Calibri"/>
          <w:color w:val="000000" w:themeColor="text1"/>
          <w:sz w:val="22"/>
          <w:szCs w:val="22"/>
        </w:rPr>
        <w:t xml:space="preserve"> [RA 13.86%], </w:t>
      </w:r>
      <w:proofErr w:type="spellStart"/>
      <w:r w:rsidR="003E2686" w:rsidRPr="00417158">
        <w:rPr>
          <w:rFonts w:ascii="Calibri" w:hAnsi="Calibri" w:cs="Calibri"/>
          <w:i/>
          <w:iCs/>
          <w:color w:val="000000" w:themeColor="text1"/>
          <w:sz w:val="22"/>
          <w:szCs w:val="22"/>
        </w:rPr>
        <w:t>Rothia</w:t>
      </w:r>
      <w:proofErr w:type="spellEnd"/>
      <w:r w:rsidR="003E2686" w:rsidRPr="00417158">
        <w:rPr>
          <w:rFonts w:ascii="Calibri" w:hAnsi="Calibri" w:cs="Calibri"/>
          <w:color w:val="000000" w:themeColor="text1"/>
          <w:sz w:val="22"/>
          <w:szCs w:val="22"/>
        </w:rPr>
        <w:t xml:space="preserve"> [RA 0.56%], </w:t>
      </w:r>
      <w:r w:rsidR="003E2686" w:rsidRPr="00417158">
        <w:rPr>
          <w:rFonts w:ascii="Calibri" w:hAnsi="Calibri" w:cs="Calibri"/>
          <w:i/>
          <w:iCs/>
          <w:color w:val="000000" w:themeColor="text1"/>
          <w:sz w:val="22"/>
          <w:szCs w:val="22"/>
        </w:rPr>
        <w:t>Fusobacterium</w:t>
      </w:r>
      <w:r w:rsidR="003E2686" w:rsidRPr="00417158">
        <w:rPr>
          <w:rFonts w:ascii="Calibri" w:hAnsi="Calibri" w:cs="Calibri"/>
          <w:color w:val="000000" w:themeColor="text1"/>
          <w:sz w:val="22"/>
          <w:szCs w:val="22"/>
        </w:rPr>
        <w:t xml:space="preserve"> [RA 2.63%], </w:t>
      </w:r>
      <w:r w:rsidR="003E2686" w:rsidRPr="00417158">
        <w:rPr>
          <w:rFonts w:ascii="Calibri" w:hAnsi="Calibri" w:cs="Calibri"/>
          <w:i/>
          <w:iCs/>
          <w:color w:val="000000" w:themeColor="text1"/>
          <w:sz w:val="22"/>
          <w:szCs w:val="22"/>
        </w:rPr>
        <w:t>Haemophilus</w:t>
      </w:r>
      <w:r w:rsidR="003E2686" w:rsidRPr="00417158">
        <w:rPr>
          <w:rFonts w:ascii="Calibri" w:hAnsi="Calibri" w:cs="Calibri"/>
          <w:color w:val="000000" w:themeColor="text1"/>
          <w:sz w:val="22"/>
          <w:szCs w:val="22"/>
        </w:rPr>
        <w:t xml:space="preserve"> [RA 3.87%], </w:t>
      </w:r>
      <w:proofErr w:type="spellStart"/>
      <w:r w:rsidR="003E2686" w:rsidRPr="00417158">
        <w:rPr>
          <w:rFonts w:ascii="Calibri" w:hAnsi="Calibri" w:cs="Calibri"/>
          <w:i/>
          <w:iCs/>
          <w:color w:val="000000" w:themeColor="text1"/>
          <w:sz w:val="22"/>
          <w:szCs w:val="22"/>
        </w:rPr>
        <w:t>Alloprevotella</w:t>
      </w:r>
      <w:proofErr w:type="spellEnd"/>
      <w:r w:rsidR="003E2686" w:rsidRPr="00417158">
        <w:rPr>
          <w:rFonts w:ascii="Calibri" w:hAnsi="Calibri" w:cs="Calibri"/>
          <w:color w:val="000000" w:themeColor="text1"/>
          <w:sz w:val="22"/>
          <w:szCs w:val="22"/>
        </w:rPr>
        <w:t xml:space="preserve"> [RA 3.51%], </w:t>
      </w:r>
      <w:r w:rsidR="003E2686" w:rsidRPr="00417158">
        <w:rPr>
          <w:rFonts w:ascii="Calibri" w:hAnsi="Calibri" w:cs="Calibri"/>
          <w:i/>
          <w:iCs/>
          <w:color w:val="000000" w:themeColor="text1"/>
          <w:sz w:val="22"/>
          <w:szCs w:val="22"/>
        </w:rPr>
        <w:t>Gemella</w:t>
      </w:r>
      <w:r w:rsidR="003E2686" w:rsidRPr="00417158">
        <w:rPr>
          <w:rFonts w:ascii="Calibri" w:hAnsi="Calibri" w:cs="Calibri"/>
          <w:color w:val="000000" w:themeColor="text1"/>
          <w:sz w:val="22"/>
          <w:szCs w:val="22"/>
        </w:rPr>
        <w:t xml:space="preserve"> [RA 2.84%], </w:t>
      </w:r>
      <w:r w:rsidR="003E2686" w:rsidRPr="00417158">
        <w:rPr>
          <w:rFonts w:ascii="Calibri" w:hAnsi="Calibri" w:cs="Calibri"/>
          <w:i/>
          <w:iCs/>
          <w:color w:val="000000" w:themeColor="text1"/>
          <w:sz w:val="22"/>
          <w:szCs w:val="22"/>
        </w:rPr>
        <w:t>Porphyromonas</w:t>
      </w:r>
      <w:r w:rsidR="003E2686" w:rsidRPr="00417158">
        <w:rPr>
          <w:rFonts w:ascii="Calibri" w:hAnsi="Calibri" w:cs="Calibri"/>
          <w:color w:val="000000" w:themeColor="text1"/>
          <w:sz w:val="22"/>
          <w:szCs w:val="22"/>
        </w:rPr>
        <w:t xml:space="preserve"> [RA 4.98%], and </w:t>
      </w:r>
      <w:proofErr w:type="spellStart"/>
      <w:r w:rsidR="003E2686" w:rsidRPr="00417158">
        <w:rPr>
          <w:rFonts w:ascii="Calibri" w:hAnsi="Calibri" w:cs="Calibri"/>
          <w:i/>
          <w:iCs/>
          <w:color w:val="000000" w:themeColor="text1"/>
          <w:sz w:val="22"/>
          <w:szCs w:val="22"/>
        </w:rPr>
        <w:t>Oribacterium</w:t>
      </w:r>
      <w:proofErr w:type="spellEnd"/>
      <w:r w:rsidR="003E2686" w:rsidRPr="00417158">
        <w:rPr>
          <w:rFonts w:ascii="Calibri" w:hAnsi="Calibri" w:cs="Calibri"/>
          <w:color w:val="000000" w:themeColor="text1"/>
          <w:sz w:val="22"/>
          <w:szCs w:val="22"/>
        </w:rPr>
        <w:t xml:space="preserve"> [RA 0.38%], in addition to the three listed above (Figs. 3 and S6). Nineteen genera are present in ≥95% of participants, with RA for the additional genera between 0.11-0.3% (Fig. S6).</w:t>
      </w:r>
    </w:p>
    <w:p w14:paraId="07D4B8CE" w14:textId="4969E7E0" w:rsidR="0007608B" w:rsidRPr="00417158" w:rsidRDefault="0007608B">
      <w:pPr>
        <w:rPr>
          <w:rFonts w:ascii="Calibri" w:hAnsi="Calibri" w:cs="Calibri"/>
          <w:sz w:val="22"/>
          <w:szCs w:val="22"/>
        </w:rPr>
      </w:pPr>
      <w:r w:rsidRPr="00417158">
        <w:rPr>
          <w:rFonts w:ascii="Calibri" w:hAnsi="Calibri" w:cs="Calibri"/>
          <w:sz w:val="22"/>
          <w:szCs w:val="22"/>
        </w:rPr>
        <w:t>We compared these results with adults in the Atlantic PATH cohort (</w:t>
      </w:r>
      <w:r w:rsidRPr="00417158">
        <w:rPr>
          <w:rFonts w:ascii="Calibri" w:hAnsi="Calibri" w:cs="Calibri"/>
          <w:i/>
          <w:iCs/>
          <w:sz w:val="22"/>
          <w:szCs w:val="22"/>
        </w:rPr>
        <w:t>n</w:t>
      </w:r>
      <w:r w:rsidRPr="00417158">
        <w:rPr>
          <w:rFonts w:ascii="Calibri" w:hAnsi="Calibri" w:cs="Calibri"/>
          <w:sz w:val="22"/>
          <w:szCs w:val="22"/>
        </w:rPr>
        <w:t xml:space="preserve">=1,598, age 35-70 years) that we have published previously </w:t>
      </w:r>
      <w:sdt>
        <w:sdtPr>
          <w:rPr>
            <w:rFonts w:ascii="Calibri" w:hAnsi="Calibri" w:cs="Calibri"/>
            <w:color w:val="000000"/>
            <w:sz w:val="22"/>
            <w:szCs w:val="22"/>
            <w:vertAlign w:val="superscript"/>
          </w:rPr>
          <w:tag w:val="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"/>
          <w:id w:val="-2079662271"/>
          <w:placeholder>
            <w:docPart w:val="CB791E2E127DC945880E1ECB85A43442"/>
          </w:placeholder>
        </w:sdtPr>
        <w:sdtEndPr/>
        <w:sdtContent>
          <w:r w:rsidR="005D4FD5" w:rsidRPr="00417158">
            <w:rPr>
              <w:rFonts w:ascii="Calibri" w:hAnsi="Calibri" w:cs="Calibri"/>
              <w:color w:val="000000"/>
              <w:sz w:val="22"/>
              <w:szCs w:val="22"/>
              <w:vertAlign w:val="superscript"/>
            </w:rPr>
            <w:t>1–5</w:t>
          </w:r>
        </w:sdtContent>
      </w:sdt>
      <w:r w:rsidRPr="00417158">
        <w:rPr>
          <w:rFonts w:ascii="Calibri" w:hAnsi="Calibri" w:cs="Calibri"/>
          <w:sz w:val="22"/>
          <w:szCs w:val="22"/>
        </w:rPr>
        <w:t xml:space="preserve"> (see Methods for further details), and found that in adults, again, no ASVs were present in 100% of participants and only two were present in ≥99% of participants, but the lowest classifications obtained for these matched ASVs found in ≥99% of children and adolescents (</w:t>
      </w:r>
      <w:r w:rsidRPr="00417158">
        <w:rPr>
          <w:rFonts w:ascii="Calibri" w:hAnsi="Calibri" w:cs="Calibri"/>
          <w:i/>
          <w:iCs/>
          <w:sz w:val="22"/>
          <w:szCs w:val="22"/>
        </w:rPr>
        <w:t>i.e.</w:t>
      </w:r>
      <w:r w:rsidRPr="00417158">
        <w:rPr>
          <w:rFonts w:ascii="Calibri" w:hAnsi="Calibri" w:cs="Calibri"/>
          <w:sz w:val="22"/>
          <w:szCs w:val="22"/>
        </w:rPr>
        <w:t xml:space="preserve">, </w:t>
      </w:r>
      <w:proofErr w:type="spellStart"/>
      <w:r w:rsidRPr="00417158">
        <w:rPr>
          <w:rFonts w:ascii="Calibri" w:hAnsi="Calibri" w:cs="Calibri"/>
          <w:i/>
          <w:iCs/>
          <w:sz w:val="22"/>
          <w:szCs w:val="22"/>
        </w:rPr>
        <w:t>Granulicatella</w:t>
      </w:r>
      <w:proofErr w:type="spellEnd"/>
      <w:r w:rsidRPr="00417158">
        <w:rPr>
          <w:rFonts w:ascii="Calibri" w:hAnsi="Calibri" w:cs="Calibri"/>
          <w:i/>
          <w:iCs/>
          <w:sz w:val="22"/>
          <w:szCs w:val="22"/>
        </w:rPr>
        <w:t xml:space="preserve"> </w:t>
      </w:r>
      <w:proofErr w:type="spellStart"/>
      <w:r w:rsidRPr="00417158">
        <w:rPr>
          <w:rFonts w:ascii="Calibri" w:hAnsi="Calibri" w:cs="Calibri"/>
          <w:i/>
          <w:iCs/>
          <w:sz w:val="22"/>
          <w:szCs w:val="22"/>
        </w:rPr>
        <w:t>adiacens</w:t>
      </w:r>
      <w:proofErr w:type="spellEnd"/>
      <w:r w:rsidRPr="00417158">
        <w:rPr>
          <w:rFonts w:ascii="Calibri" w:hAnsi="Calibri" w:cs="Calibri"/>
          <w:sz w:val="22"/>
          <w:szCs w:val="22"/>
        </w:rPr>
        <w:t xml:space="preserve"> and </w:t>
      </w:r>
      <w:r w:rsidRPr="00417158">
        <w:rPr>
          <w:rFonts w:ascii="Calibri" w:hAnsi="Calibri" w:cs="Calibri"/>
          <w:i/>
          <w:iCs/>
          <w:sz w:val="22"/>
          <w:szCs w:val="22"/>
        </w:rPr>
        <w:t>Streptococcus</w:t>
      </w:r>
      <w:r w:rsidRPr="00417158">
        <w:rPr>
          <w:rFonts w:ascii="Calibri" w:hAnsi="Calibri" w:cs="Calibri"/>
          <w:sz w:val="22"/>
          <w:szCs w:val="22"/>
        </w:rPr>
        <w:t xml:space="preserve">; Fig. S7). There were also fewer genera present in 100% or ≥99% of adults, with only </w:t>
      </w:r>
      <w:proofErr w:type="spellStart"/>
      <w:r w:rsidRPr="00417158">
        <w:rPr>
          <w:rFonts w:ascii="Calibri" w:hAnsi="Calibri" w:cs="Calibri"/>
          <w:i/>
          <w:iCs/>
          <w:sz w:val="22"/>
          <w:szCs w:val="22"/>
        </w:rPr>
        <w:t>Veillonella</w:t>
      </w:r>
      <w:proofErr w:type="spellEnd"/>
      <w:r w:rsidRPr="00417158">
        <w:rPr>
          <w:rFonts w:ascii="Calibri" w:hAnsi="Calibri" w:cs="Calibri"/>
          <w:sz w:val="22"/>
          <w:szCs w:val="22"/>
        </w:rPr>
        <w:t xml:space="preserve"> present in 100% of adults and </w:t>
      </w:r>
      <w:r w:rsidRPr="00417158">
        <w:rPr>
          <w:rFonts w:ascii="Calibri" w:hAnsi="Calibri" w:cs="Calibri"/>
          <w:i/>
          <w:iCs/>
          <w:sz w:val="22"/>
          <w:szCs w:val="22"/>
        </w:rPr>
        <w:t>Streptococcus</w:t>
      </w:r>
      <w:r w:rsidRPr="00417158">
        <w:rPr>
          <w:rFonts w:ascii="Calibri" w:hAnsi="Calibri" w:cs="Calibri"/>
          <w:sz w:val="22"/>
          <w:szCs w:val="22"/>
        </w:rPr>
        <w:t xml:space="preserve">, </w:t>
      </w:r>
      <w:proofErr w:type="spellStart"/>
      <w:r w:rsidRPr="00417158">
        <w:rPr>
          <w:rFonts w:ascii="Calibri" w:hAnsi="Calibri" w:cs="Calibri"/>
          <w:i/>
          <w:iCs/>
          <w:sz w:val="22"/>
          <w:szCs w:val="22"/>
        </w:rPr>
        <w:t>Prevotella</w:t>
      </w:r>
      <w:proofErr w:type="spellEnd"/>
      <w:r w:rsidRPr="00417158">
        <w:rPr>
          <w:rFonts w:ascii="Calibri" w:hAnsi="Calibri" w:cs="Calibri"/>
          <w:sz w:val="22"/>
          <w:szCs w:val="22"/>
        </w:rPr>
        <w:t xml:space="preserve">, </w:t>
      </w:r>
      <w:proofErr w:type="spellStart"/>
      <w:r w:rsidRPr="00417158">
        <w:rPr>
          <w:rFonts w:ascii="Calibri" w:hAnsi="Calibri" w:cs="Calibri"/>
          <w:i/>
          <w:iCs/>
          <w:sz w:val="22"/>
          <w:szCs w:val="22"/>
        </w:rPr>
        <w:t>Granulicatella</w:t>
      </w:r>
      <w:proofErr w:type="spellEnd"/>
      <w:r w:rsidRPr="00417158">
        <w:rPr>
          <w:rFonts w:ascii="Calibri" w:hAnsi="Calibri" w:cs="Calibri"/>
          <w:sz w:val="22"/>
          <w:szCs w:val="22"/>
        </w:rPr>
        <w:t xml:space="preserve">, </w:t>
      </w:r>
      <w:r w:rsidRPr="00417158">
        <w:rPr>
          <w:rFonts w:ascii="Calibri" w:hAnsi="Calibri" w:cs="Calibri"/>
          <w:i/>
          <w:iCs/>
          <w:sz w:val="22"/>
          <w:szCs w:val="22"/>
        </w:rPr>
        <w:t>Haemophilus</w:t>
      </w:r>
      <w:r w:rsidRPr="00417158">
        <w:rPr>
          <w:rFonts w:ascii="Calibri" w:hAnsi="Calibri" w:cs="Calibri"/>
          <w:sz w:val="22"/>
          <w:szCs w:val="22"/>
        </w:rPr>
        <w:t xml:space="preserve">, </w:t>
      </w:r>
      <w:r w:rsidRPr="00417158">
        <w:rPr>
          <w:rFonts w:ascii="Calibri" w:hAnsi="Calibri" w:cs="Calibri"/>
          <w:i/>
          <w:iCs/>
          <w:sz w:val="22"/>
          <w:szCs w:val="22"/>
        </w:rPr>
        <w:t>Fusobacterium</w:t>
      </w:r>
      <w:r w:rsidRPr="00417158">
        <w:rPr>
          <w:rFonts w:ascii="Calibri" w:hAnsi="Calibri" w:cs="Calibri"/>
          <w:sz w:val="22"/>
          <w:szCs w:val="22"/>
        </w:rPr>
        <w:t xml:space="preserve">, and </w:t>
      </w:r>
      <w:r w:rsidRPr="00417158">
        <w:rPr>
          <w:rFonts w:ascii="Calibri" w:hAnsi="Calibri" w:cs="Calibri"/>
          <w:i/>
          <w:iCs/>
          <w:sz w:val="22"/>
          <w:szCs w:val="22"/>
        </w:rPr>
        <w:t>Neisseria</w:t>
      </w:r>
      <w:r w:rsidRPr="00417158">
        <w:rPr>
          <w:rFonts w:ascii="Calibri" w:hAnsi="Calibri" w:cs="Calibri"/>
          <w:sz w:val="22"/>
          <w:szCs w:val="22"/>
        </w:rPr>
        <w:t xml:space="preserve"> all present in ≥99% of adults. </w:t>
      </w:r>
      <w:r w:rsidRPr="00417158">
        <w:rPr>
          <w:rFonts w:ascii="Calibri" w:hAnsi="Calibri" w:cs="Calibri"/>
          <w:sz w:val="22"/>
          <w:szCs w:val="22"/>
        </w:rPr>
        <w:lastRenderedPageBreak/>
        <w:t xml:space="preserve">However, the other genera that were present in ≥99% of children and adolescents were all still present in high abundances in adults: </w:t>
      </w:r>
      <w:proofErr w:type="spellStart"/>
      <w:r w:rsidRPr="00417158">
        <w:rPr>
          <w:rFonts w:ascii="Calibri" w:hAnsi="Calibri" w:cs="Calibri"/>
          <w:i/>
          <w:iCs/>
          <w:sz w:val="22"/>
          <w:szCs w:val="22"/>
        </w:rPr>
        <w:t>Rothia</w:t>
      </w:r>
      <w:proofErr w:type="spellEnd"/>
      <w:r w:rsidRPr="00417158">
        <w:rPr>
          <w:rFonts w:ascii="Calibri" w:hAnsi="Calibri" w:cs="Calibri"/>
          <w:sz w:val="22"/>
          <w:szCs w:val="22"/>
        </w:rPr>
        <w:t xml:space="preserve"> (98.06%), </w:t>
      </w:r>
      <w:proofErr w:type="spellStart"/>
      <w:r w:rsidRPr="00417158">
        <w:rPr>
          <w:rFonts w:ascii="Calibri" w:hAnsi="Calibri" w:cs="Calibri"/>
          <w:i/>
          <w:iCs/>
          <w:sz w:val="22"/>
          <w:szCs w:val="22"/>
        </w:rPr>
        <w:t>Alloprevotella</w:t>
      </w:r>
      <w:proofErr w:type="spellEnd"/>
      <w:r w:rsidRPr="00417158">
        <w:rPr>
          <w:rFonts w:ascii="Calibri" w:hAnsi="Calibri" w:cs="Calibri"/>
          <w:sz w:val="22"/>
          <w:szCs w:val="22"/>
        </w:rPr>
        <w:t xml:space="preserve"> (96.62%), </w:t>
      </w:r>
      <w:r w:rsidRPr="00417158">
        <w:rPr>
          <w:rFonts w:ascii="Calibri" w:hAnsi="Calibri" w:cs="Calibri"/>
          <w:i/>
          <w:iCs/>
          <w:sz w:val="22"/>
          <w:szCs w:val="22"/>
        </w:rPr>
        <w:t>Gemella</w:t>
      </w:r>
      <w:r w:rsidRPr="00417158">
        <w:rPr>
          <w:rFonts w:ascii="Calibri" w:hAnsi="Calibri" w:cs="Calibri"/>
          <w:sz w:val="22"/>
          <w:szCs w:val="22"/>
        </w:rPr>
        <w:t xml:space="preserve"> (98.94%), </w:t>
      </w:r>
      <w:r w:rsidRPr="00417158">
        <w:rPr>
          <w:rFonts w:ascii="Calibri" w:hAnsi="Calibri" w:cs="Calibri"/>
          <w:i/>
          <w:iCs/>
          <w:sz w:val="22"/>
          <w:szCs w:val="22"/>
        </w:rPr>
        <w:t>Porphyromonas</w:t>
      </w:r>
      <w:r w:rsidRPr="00417158">
        <w:rPr>
          <w:rFonts w:ascii="Calibri" w:hAnsi="Calibri" w:cs="Calibri"/>
          <w:sz w:val="22"/>
          <w:szCs w:val="22"/>
        </w:rPr>
        <w:t xml:space="preserve"> (97.50%), and </w:t>
      </w:r>
      <w:proofErr w:type="spellStart"/>
      <w:r w:rsidRPr="00417158">
        <w:rPr>
          <w:rFonts w:ascii="Calibri" w:hAnsi="Calibri" w:cs="Calibri"/>
          <w:i/>
          <w:iCs/>
          <w:sz w:val="22"/>
          <w:szCs w:val="22"/>
        </w:rPr>
        <w:t>Oribacterium</w:t>
      </w:r>
      <w:proofErr w:type="spellEnd"/>
      <w:r w:rsidRPr="00417158">
        <w:rPr>
          <w:rFonts w:ascii="Calibri" w:hAnsi="Calibri" w:cs="Calibri"/>
          <w:sz w:val="22"/>
          <w:szCs w:val="22"/>
        </w:rPr>
        <w:t xml:space="preserve"> (94.81%; Fig. S7). </w:t>
      </w:r>
    </w:p>
    <w:p w14:paraId="4C4E4C3D" w14:textId="24316C34" w:rsidR="00406510" w:rsidRPr="00417158" w:rsidRDefault="00406510">
      <w:pPr>
        <w:rPr>
          <w:rFonts w:ascii="Calibri" w:hAnsi="Calibri" w:cs="Calibri"/>
          <w:color w:val="000000" w:themeColor="text1"/>
          <w:sz w:val="22"/>
          <w:szCs w:val="22"/>
        </w:rPr>
      </w:pPr>
      <w:r w:rsidRPr="00417158">
        <w:rPr>
          <w:rFonts w:ascii="Calibri" w:hAnsi="Calibri" w:cs="Calibri"/>
          <w:b/>
          <w:bCs/>
          <w:i/>
          <w:iCs/>
          <w:color w:val="000000" w:themeColor="text1"/>
          <w:sz w:val="22"/>
          <w:szCs w:val="22"/>
        </w:rPr>
        <w:t>Many genera are significantly differentially abundant with age, ethnicity and gender, but not diagnosed health conditions</w:t>
      </w:r>
      <w:r w:rsidRPr="00417158">
        <w:rPr>
          <w:rFonts w:ascii="Calibri" w:hAnsi="Calibri" w:cs="Calibri"/>
          <w:b/>
          <w:bCs/>
          <w:i/>
          <w:iCs/>
          <w:color w:val="000000" w:themeColor="text1"/>
          <w:sz w:val="22"/>
          <w:szCs w:val="22"/>
        </w:rPr>
        <w:br/>
      </w:r>
      <w:r w:rsidR="001E6758" w:rsidRPr="00417158">
        <w:rPr>
          <w:rFonts w:ascii="Calibri" w:hAnsi="Calibri" w:cs="Calibri"/>
          <w:color w:val="000000" w:themeColor="text1"/>
          <w:sz w:val="22"/>
          <w:szCs w:val="22"/>
        </w:rPr>
        <w:t>Of the genera within the top 20 most abundant that were DA with age (</w:t>
      </w:r>
      <w:r w:rsidR="001E6758" w:rsidRPr="00417158">
        <w:rPr>
          <w:rFonts w:ascii="Calibri" w:hAnsi="Calibri" w:cs="Calibri"/>
          <w:i/>
          <w:iCs/>
          <w:color w:val="000000" w:themeColor="text1"/>
          <w:sz w:val="22"/>
          <w:szCs w:val="22"/>
        </w:rPr>
        <w:t>n</w:t>
      </w:r>
      <w:r w:rsidR="001E6758" w:rsidRPr="00417158">
        <w:rPr>
          <w:rFonts w:ascii="Calibri" w:hAnsi="Calibri" w:cs="Calibri"/>
          <w:color w:val="000000" w:themeColor="text1"/>
          <w:sz w:val="22"/>
          <w:szCs w:val="22"/>
        </w:rPr>
        <w:t>=10), only three were positively associated with age (</w:t>
      </w:r>
      <w:r w:rsidR="001E6758" w:rsidRPr="00417158">
        <w:rPr>
          <w:rFonts w:ascii="Calibri" w:hAnsi="Calibri" w:cs="Calibri"/>
          <w:i/>
          <w:iCs/>
          <w:color w:val="000000" w:themeColor="text1"/>
          <w:sz w:val="22"/>
          <w:szCs w:val="22"/>
        </w:rPr>
        <w:t>i.e.,</w:t>
      </w:r>
      <w:r w:rsidR="001E6758" w:rsidRPr="00417158">
        <w:rPr>
          <w:rFonts w:ascii="Calibri" w:hAnsi="Calibri" w:cs="Calibri"/>
          <w:color w:val="000000" w:themeColor="text1"/>
          <w:sz w:val="22"/>
          <w:szCs w:val="22"/>
        </w:rPr>
        <w:t xml:space="preserve"> were higher in abundance with increasing age; </w:t>
      </w:r>
      <w:proofErr w:type="spellStart"/>
      <w:r w:rsidR="001E6758" w:rsidRPr="00417158">
        <w:rPr>
          <w:rFonts w:ascii="Calibri" w:hAnsi="Calibri" w:cs="Calibri"/>
          <w:i/>
          <w:iCs/>
          <w:color w:val="000000" w:themeColor="text1"/>
          <w:sz w:val="22"/>
          <w:szCs w:val="22"/>
        </w:rPr>
        <w:t>Prevotella</w:t>
      </w:r>
      <w:proofErr w:type="spellEnd"/>
      <w:r w:rsidR="001E6758" w:rsidRPr="00417158">
        <w:rPr>
          <w:rFonts w:ascii="Calibri" w:hAnsi="Calibri" w:cs="Calibri"/>
          <w:color w:val="000000" w:themeColor="text1"/>
          <w:sz w:val="22"/>
          <w:szCs w:val="22"/>
        </w:rPr>
        <w:t xml:space="preserve">, </w:t>
      </w:r>
      <w:proofErr w:type="spellStart"/>
      <w:r w:rsidR="001E6758" w:rsidRPr="00417158">
        <w:rPr>
          <w:rFonts w:ascii="Calibri" w:hAnsi="Calibri" w:cs="Calibri"/>
          <w:color w:val="000000" w:themeColor="text1"/>
          <w:sz w:val="22"/>
          <w:szCs w:val="22"/>
        </w:rPr>
        <w:t>Peptostreptococcaceae</w:t>
      </w:r>
      <w:proofErr w:type="spellEnd"/>
      <w:r w:rsidR="001E6758" w:rsidRPr="00417158">
        <w:rPr>
          <w:rFonts w:ascii="Calibri" w:hAnsi="Calibri" w:cs="Calibri"/>
          <w:color w:val="000000" w:themeColor="text1"/>
          <w:sz w:val="22"/>
          <w:szCs w:val="22"/>
        </w:rPr>
        <w:t xml:space="preserve"> [G-1], and </w:t>
      </w:r>
      <w:proofErr w:type="spellStart"/>
      <w:r w:rsidR="001E6758" w:rsidRPr="00417158">
        <w:rPr>
          <w:rFonts w:ascii="Calibri" w:hAnsi="Calibri" w:cs="Calibri"/>
          <w:i/>
          <w:iCs/>
          <w:color w:val="000000" w:themeColor="text1"/>
          <w:sz w:val="22"/>
          <w:szCs w:val="22"/>
        </w:rPr>
        <w:t>Megasphaera</w:t>
      </w:r>
      <w:proofErr w:type="spellEnd"/>
      <w:r w:rsidR="001E6758" w:rsidRPr="00417158">
        <w:rPr>
          <w:rFonts w:ascii="Calibri" w:hAnsi="Calibri" w:cs="Calibri"/>
          <w:color w:val="000000" w:themeColor="text1"/>
          <w:sz w:val="22"/>
          <w:szCs w:val="22"/>
        </w:rPr>
        <w:t>) while seven were negatively associated (</w:t>
      </w:r>
      <w:r w:rsidR="001E6758" w:rsidRPr="00417158">
        <w:rPr>
          <w:rFonts w:ascii="Calibri" w:hAnsi="Calibri" w:cs="Calibri"/>
          <w:i/>
          <w:iCs/>
          <w:color w:val="000000" w:themeColor="text1"/>
          <w:sz w:val="22"/>
          <w:szCs w:val="22"/>
        </w:rPr>
        <w:t>Neisseria</w:t>
      </w:r>
      <w:r w:rsidR="001E6758" w:rsidRPr="00417158">
        <w:rPr>
          <w:rFonts w:ascii="Calibri" w:hAnsi="Calibri" w:cs="Calibri"/>
          <w:color w:val="000000" w:themeColor="text1"/>
          <w:sz w:val="22"/>
          <w:szCs w:val="22"/>
        </w:rPr>
        <w:t xml:space="preserve">, </w:t>
      </w:r>
      <w:r w:rsidR="001E6758" w:rsidRPr="00417158">
        <w:rPr>
          <w:rFonts w:ascii="Calibri" w:hAnsi="Calibri" w:cs="Calibri"/>
          <w:i/>
          <w:iCs/>
          <w:color w:val="000000" w:themeColor="text1"/>
          <w:sz w:val="22"/>
          <w:szCs w:val="22"/>
        </w:rPr>
        <w:t>Porphyromonas</w:t>
      </w:r>
      <w:r w:rsidR="001E6758" w:rsidRPr="00417158">
        <w:rPr>
          <w:rFonts w:ascii="Calibri" w:hAnsi="Calibri" w:cs="Calibri"/>
          <w:color w:val="000000" w:themeColor="text1"/>
          <w:sz w:val="22"/>
          <w:szCs w:val="22"/>
        </w:rPr>
        <w:t xml:space="preserve">, </w:t>
      </w:r>
      <w:r w:rsidR="001E6758" w:rsidRPr="00417158">
        <w:rPr>
          <w:rFonts w:ascii="Calibri" w:hAnsi="Calibri" w:cs="Calibri"/>
          <w:i/>
          <w:iCs/>
          <w:color w:val="000000" w:themeColor="text1"/>
          <w:sz w:val="22"/>
          <w:szCs w:val="22"/>
        </w:rPr>
        <w:t>Haemophilus</w:t>
      </w:r>
      <w:r w:rsidR="001E6758" w:rsidRPr="00417158">
        <w:rPr>
          <w:rFonts w:ascii="Calibri" w:hAnsi="Calibri" w:cs="Calibri"/>
          <w:color w:val="000000" w:themeColor="text1"/>
          <w:sz w:val="22"/>
          <w:szCs w:val="22"/>
        </w:rPr>
        <w:t xml:space="preserve">, </w:t>
      </w:r>
      <w:r w:rsidR="001E6758" w:rsidRPr="00417158">
        <w:rPr>
          <w:rFonts w:ascii="Calibri" w:hAnsi="Calibri" w:cs="Calibri"/>
          <w:i/>
          <w:iCs/>
          <w:color w:val="000000" w:themeColor="text1"/>
          <w:sz w:val="22"/>
          <w:szCs w:val="22"/>
        </w:rPr>
        <w:t>Gemella</w:t>
      </w:r>
      <w:r w:rsidR="001E6758" w:rsidRPr="00417158">
        <w:rPr>
          <w:rFonts w:ascii="Calibri" w:hAnsi="Calibri" w:cs="Calibri"/>
          <w:color w:val="000000" w:themeColor="text1"/>
          <w:sz w:val="22"/>
          <w:szCs w:val="22"/>
        </w:rPr>
        <w:t xml:space="preserve">, </w:t>
      </w:r>
      <w:proofErr w:type="spellStart"/>
      <w:r w:rsidR="001E6758" w:rsidRPr="00417158">
        <w:rPr>
          <w:rFonts w:ascii="Calibri" w:hAnsi="Calibri" w:cs="Calibri"/>
          <w:i/>
          <w:iCs/>
          <w:color w:val="000000" w:themeColor="text1"/>
          <w:sz w:val="22"/>
          <w:szCs w:val="22"/>
        </w:rPr>
        <w:t>Granulicatella</w:t>
      </w:r>
      <w:proofErr w:type="spellEnd"/>
      <w:r w:rsidR="001E6758" w:rsidRPr="00417158">
        <w:rPr>
          <w:rFonts w:ascii="Calibri" w:hAnsi="Calibri" w:cs="Calibri"/>
          <w:color w:val="000000" w:themeColor="text1"/>
          <w:sz w:val="22"/>
          <w:szCs w:val="22"/>
        </w:rPr>
        <w:t xml:space="preserve">, </w:t>
      </w:r>
      <w:proofErr w:type="spellStart"/>
      <w:r w:rsidR="001E6758" w:rsidRPr="00417158">
        <w:rPr>
          <w:rFonts w:ascii="Calibri" w:hAnsi="Calibri" w:cs="Calibri"/>
          <w:i/>
          <w:iCs/>
          <w:color w:val="000000" w:themeColor="text1"/>
          <w:sz w:val="22"/>
          <w:szCs w:val="22"/>
        </w:rPr>
        <w:t>Lautropia</w:t>
      </w:r>
      <w:proofErr w:type="spellEnd"/>
      <w:r w:rsidR="001E6758" w:rsidRPr="00417158">
        <w:rPr>
          <w:rFonts w:ascii="Calibri" w:hAnsi="Calibri" w:cs="Calibri"/>
          <w:color w:val="000000" w:themeColor="text1"/>
          <w:sz w:val="22"/>
          <w:szCs w:val="22"/>
        </w:rPr>
        <w:t xml:space="preserve">, and </w:t>
      </w:r>
      <w:proofErr w:type="spellStart"/>
      <w:r w:rsidR="001E6758" w:rsidRPr="00417158">
        <w:rPr>
          <w:rFonts w:ascii="Calibri" w:hAnsi="Calibri" w:cs="Calibri"/>
          <w:i/>
          <w:iCs/>
          <w:color w:val="000000" w:themeColor="text1"/>
          <w:sz w:val="22"/>
          <w:szCs w:val="22"/>
        </w:rPr>
        <w:t>Cloacibacterium</w:t>
      </w:r>
      <w:proofErr w:type="spellEnd"/>
      <w:r w:rsidR="001E6758" w:rsidRPr="00417158">
        <w:rPr>
          <w:rFonts w:ascii="Calibri" w:hAnsi="Calibri" w:cs="Calibri"/>
          <w:color w:val="000000" w:themeColor="text1"/>
          <w:sz w:val="22"/>
          <w:szCs w:val="22"/>
        </w:rPr>
        <w:t>). While this was not the case for all genera, interestingly, some of these genera followed similar patterns in adults (Fig. S9; Supplementary Results).</w:t>
      </w:r>
    </w:p>
    <w:p w14:paraId="51E35B74" w14:textId="77777777" w:rsidR="006A2CD2" w:rsidRPr="00417158" w:rsidRDefault="006A2CD2" w:rsidP="006A2CD2">
      <w:pPr>
        <w:rPr>
          <w:rFonts w:ascii="Calibri" w:hAnsi="Calibri" w:cs="Calibri"/>
          <w:color w:val="000000" w:themeColor="text1"/>
          <w:sz w:val="22"/>
          <w:szCs w:val="22"/>
        </w:rPr>
      </w:pPr>
      <w:r w:rsidRPr="00417158">
        <w:rPr>
          <w:rFonts w:ascii="Calibri" w:hAnsi="Calibri" w:cs="Calibri"/>
          <w:color w:val="000000" w:themeColor="text1"/>
          <w:sz w:val="22"/>
          <w:szCs w:val="22"/>
        </w:rPr>
        <w:t>Of the genera within the top 20 most abundant that were DA with gender (</w:t>
      </w:r>
      <w:r w:rsidRPr="00417158">
        <w:rPr>
          <w:rFonts w:ascii="Calibri" w:hAnsi="Calibri" w:cs="Calibri"/>
          <w:i/>
          <w:iCs/>
          <w:color w:val="000000" w:themeColor="text1"/>
          <w:sz w:val="22"/>
          <w:szCs w:val="22"/>
        </w:rPr>
        <w:t>n</w:t>
      </w:r>
      <w:r w:rsidRPr="00417158">
        <w:rPr>
          <w:rFonts w:ascii="Calibri" w:hAnsi="Calibri" w:cs="Calibri"/>
          <w:color w:val="000000" w:themeColor="text1"/>
          <w:sz w:val="22"/>
          <w:szCs w:val="22"/>
        </w:rPr>
        <w:t>=7), four were also DA with age; the three mentioned above (</w:t>
      </w:r>
      <w:r w:rsidRPr="00417158">
        <w:rPr>
          <w:rFonts w:ascii="Calibri" w:hAnsi="Calibri" w:cs="Calibri"/>
          <w:i/>
          <w:iCs/>
          <w:color w:val="000000" w:themeColor="text1"/>
          <w:sz w:val="22"/>
          <w:szCs w:val="22"/>
        </w:rPr>
        <w:t>Gemella</w:t>
      </w:r>
      <w:r w:rsidRPr="00417158">
        <w:rPr>
          <w:rFonts w:ascii="Calibri" w:hAnsi="Calibri" w:cs="Calibri"/>
          <w:color w:val="000000" w:themeColor="text1"/>
          <w:sz w:val="22"/>
          <w:szCs w:val="22"/>
        </w:rPr>
        <w:t xml:space="preserve">, </w:t>
      </w:r>
      <w:r w:rsidRPr="00417158">
        <w:rPr>
          <w:rFonts w:ascii="Calibri" w:hAnsi="Calibri" w:cs="Calibri"/>
          <w:i/>
          <w:iCs/>
          <w:color w:val="000000" w:themeColor="text1"/>
          <w:sz w:val="22"/>
          <w:szCs w:val="22"/>
        </w:rPr>
        <w:t>Neisseria</w:t>
      </w:r>
      <w:r w:rsidRPr="00417158">
        <w:rPr>
          <w:rFonts w:ascii="Calibri" w:hAnsi="Calibri" w:cs="Calibri"/>
          <w:color w:val="000000" w:themeColor="text1"/>
          <w:sz w:val="22"/>
          <w:szCs w:val="22"/>
        </w:rPr>
        <w:t xml:space="preserve">, and </w:t>
      </w:r>
      <w:proofErr w:type="spellStart"/>
      <w:r w:rsidRPr="00417158">
        <w:rPr>
          <w:rFonts w:ascii="Calibri" w:hAnsi="Calibri" w:cs="Calibri"/>
          <w:i/>
          <w:iCs/>
          <w:color w:val="000000" w:themeColor="text1"/>
          <w:sz w:val="22"/>
          <w:szCs w:val="22"/>
        </w:rPr>
        <w:t>Prevotella</w:t>
      </w:r>
      <w:proofErr w:type="spellEnd"/>
      <w:r w:rsidRPr="00417158">
        <w:rPr>
          <w:rFonts w:ascii="Calibri" w:hAnsi="Calibri" w:cs="Calibri"/>
          <w:color w:val="000000" w:themeColor="text1"/>
          <w:sz w:val="22"/>
          <w:szCs w:val="22"/>
        </w:rPr>
        <w:t xml:space="preserve">), in addition to </w:t>
      </w:r>
      <w:r w:rsidRPr="00417158">
        <w:rPr>
          <w:rFonts w:ascii="Calibri" w:hAnsi="Calibri" w:cs="Calibri"/>
          <w:i/>
          <w:iCs/>
          <w:color w:val="000000" w:themeColor="text1"/>
          <w:sz w:val="22"/>
          <w:szCs w:val="22"/>
        </w:rPr>
        <w:t>Haemophilus</w:t>
      </w:r>
      <w:r w:rsidRPr="00417158">
        <w:rPr>
          <w:rFonts w:ascii="Calibri" w:hAnsi="Calibri" w:cs="Calibri"/>
          <w:color w:val="000000" w:themeColor="text1"/>
          <w:sz w:val="22"/>
          <w:szCs w:val="22"/>
        </w:rPr>
        <w:t xml:space="preserve"> (Fig. S10). </w:t>
      </w:r>
      <w:proofErr w:type="spellStart"/>
      <w:r w:rsidRPr="00417158">
        <w:rPr>
          <w:rFonts w:ascii="Calibri" w:hAnsi="Calibri" w:cs="Calibri"/>
          <w:i/>
          <w:iCs/>
          <w:color w:val="000000" w:themeColor="text1"/>
          <w:sz w:val="22"/>
          <w:szCs w:val="22"/>
        </w:rPr>
        <w:t>Prevotella</w:t>
      </w:r>
      <w:proofErr w:type="spellEnd"/>
      <w:r w:rsidRPr="00417158">
        <w:rPr>
          <w:rFonts w:ascii="Calibri" w:hAnsi="Calibri" w:cs="Calibri"/>
          <w:color w:val="000000" w:themeColor="text1"/>
          <w:sz w:val="22"/>
          <w:szCs w:val="22"/>
        </w:rPr>
        <w:t xml:space="preserve"> is higher in abundance in females than males while the other three are higher in abundance in males than females. Plotting relative abundance trends with age reveals that the differences between males and females remain relatively constant across all ages for </w:t>
      </w:r>
      <w:r w:rsidRPr="00417158">
        <w:rPr>
          <w:rFonts w:ascii="Calibri" w:hAnsi="Calibri" w:cs="Calibri"/>
          <w:i/>
          <w:iCs/>
          <w:color w:val="000000" w:themeColor="text1"/>
          <w:sz w:val="22"/>
          <w:szCs w:val="22"/>
        </w:rPr>
        <w:t>Neisseria</w:t>
      </w:r>
      <w:r w:rsidRPr="00417158">
        <w:rPr>
          <w:rFonts w:ascii="Calibri" w:hAnsi="Calibri" w:cs="Calibri"/>
          <w:color w:val="000000" w:themeColor="text1"/>
          <w:sz w:val="22"/>
          <w:szCs w:val="22"/>
        </w:rPr>
        <w:t xml:space="preserve">, </w:t>
      </w:r>
      <w:proofErr w:type="spellStart"/>
      <w:r w:rsidRPr="00417158">
        <w:rPr>
          <w:rFonts w:ascii="Calibri" w:hAnsi="Calibri" w:cs="Calibri"/>
          <w:i/>
          <w:iCs/>
          <w:color w:val="000000" w:themeColor="text1"/>
          <w:sz w:val="22"/>
          <w:szCs w:val="22"/>
        </w:rPr>
        <w:t>Prevotella</w:t>
      </w:r>
      <w:proofErr w:type="spellEnd"/>
      <w:r w:rsidRPr="00417158">
        <w:rPr>
          <w:rFonts w:ascii="Calibri" w:hAnsi="Calibri" w:cs="Calibri"/>
          <w:color w:val="000000" w:themeColor="text1"/>
          <w:sz w:val="22"/>
          <w:szCs w:val="22"/>
        </w:rPr>
        <w:t xml:space="preserve">, and </w:t>
      </w:r>
      <w:r w:rsidRPr="00417158">
        <w:rPr>
          <w:rFonts w:ascii="Calibri" w:hAnsi="Calibri" w:cs="Calibri"/>
          <w:i/>
          <w:iCs/>
          <w:color w:val="000000" w:themeColor="text1"/>
          <w:sz w:val="22"/>
          <w:szCs w:val="22"/>
        </w:rPr>
        <w:t>Haemophilus</w:t>
      </w:r>
      <w:r w:rsidRPr="00417158">
        <w:rPr>
          <w:rFonts w:ascii="Calibri" w:hAnsi="Calibri" w:cs="Calibri"/>
          <w:color w:val="000000" w:themeColor="text1"/>
          <w:sz w:val="22"/>
          <w:szCs w:val="22"/>
        </w:rPr>
        <w:t xml:space="preserve">, while the difference between males and females for </w:t>
      </w:r>
      <w:r w:rsidRPr="00417158">
        <w:rPr>
          <w:rFonts w:ascii="Calibri" w:hAnsi="Calibri" w:cs="Calibri"/>
          <w:i/>
          <w:iCs/>
          <w:color w:val="000000" w:themeColor="text1"/>
          <w:sz w:val="22"/>
          <w:szCs w:val="22"/>
        </w:rPr>
        <w:t>Gemella</w:t>
      </w:r>
      <w:r w:rsidRPr="00417158">
        <w:rPr>
          <w:rFonts w:ascii="Calibri" w:hAnsi="Calibri" w:cs="Calibri"/>
          <w:color w:val="000000" w:themeColor="text1"/>
          <w:sz w:val="22"/>
          <w:szCs w:val="22"/>
        </w:rPr>
        <w:t xml:space="preserve"> appears to be largest at the youngest ages and decreases with increasing age (Fig. S10). For all four genera the pattern appears to reverse at the oldest ages, which fits with the trends that we observe in adults which all appear to show the opposite to the trends across ages that we observe in children and adolescents (Fig. S9), but again, we note the small sample size in the older age groups for children and adolescents. The other three DA genera with gender that were not DA with age, </w:t>
      </w:r>
      <w:proofErr w:type="spellStart"/>
      <w:r w:rsidRPr="00417158">
        <w:rPr>
          <w:rFonts w:ascii="Calibri" w:hAnsi="Calibri" w:cs="Calibri"/>
          <w:i/>
          <w:iCs/>
          <w:color w:val="000000" w:themeColor="text1"/>
          <w:sz w:val="22"/>
          <w:szCs w:val="22"/>
        </w:rPr>
        <w:t>Selenomonas</w:t>
      </w:r>
      <w:proofErr w:type="spellEnd"/>
      <w:r w:rsidRPr="00417158">
        <w:rPr>
          <w:rFonts w:ascii="Calibri" w:hAnsi="Calibri" w:cs="Calibri"/>
          <w:color w:val="000000" w:themeColor="text1"/>
          <w:sz w:val="22"/>
          <w:szCs w:val="22"/>
        </w:rPr>
        <w:t xml:space="preserve">, </w:t>
      </w:r>
      <w:proofErr w:type="spellStart"/>
      <w:r w:rsidRPr="00417158">
        <w:rPr>
          <w:rFonts w:ascii="Calibri" w:hAnsi="Calibri" w:cs="Calibri"/>
          <w:i/>
          <w:iCs/>
          <w:color w:val="000000" w:themeColor="text1"/>
          <w:sz w:val="22"/>
          <w:szCs w:val="22"/>
        </w:rPr>
        <w:t>Veillonella</w:t>
      </w:r>
      <w:proofErr w:type="spellEnd"/>
      <w:r w:rsidRPr="00417158">
        <w:rPr>
          <w:rFonts w:ascii="Calibri" w:hAnsi="Calibri" w:cs="Calibri"/>
          <w:color w:val="000000" w:themeColor="text1"/>
          <w:sz w:val="22"/>
          <w:szCs w:val="22"/>
        </w:rPr>
        <w:t xml:space="preserve">, and </w:t>
      </w:r>
      <w:r w:rsidRPr="00417158">
        <w:rPr>
          <w:rFonts w:ascii="Calibri" w:hAnsi="Calibri" w:cs="Calibri"/>
          <w:i/>
          <w:iCs/>
          <w:color w:val="000000" w:themeColor="text1"/>
          <w:sz w:val="22"/>
          <w:szCs w:val="22"/>
        </w:rPr>
        <w:t>Streptococcus</w:t>
      </w:r>
      <w:r w:rsidRPr="00417158">
        <w:rPr>
          <w:rFonts w:ascii="Calibri" w:hAnsi="Calibri" w:cs="Calibri"/>
          <w:color w:val="000000" w:themeColor="text1"/>
          <w:sz w:val="22"/>
          <w:szCs w:val="22"/>
        </w:rPr>
        <w:t xml:space="preserve">, were higher in abundance in females than males; only </w:t>
      </w:r>
      <w:r w:rsidRPr="00417158">
        <w:rPr>
          <w:rFonts w:ascii="Calibri" w:hAnsi="Calibri" w:cs="Calibri"/>
          <w:i/>
          <w:iCs/>
          <w:color w:val="000000" w:themeColor="text1"/>
          <w:sz w:val="22"/>
          <w:szCs w:val="22"/>
        </w:rPr>
        <w:t>Streptococcus</w:t>
      </w:r>
      <w:r w:rsidRPr="00417158">
        <w:rPr>
          <w:rFonts w:ascii="Calibri" w:hAnsi="Calibri" w:cs="Calibri"/>
          <w:color w:val="000000" w:themeColor="text1"/>
          <w:sz w:val="22"/>
          <w:szCs w:val="22"/>
        </w:rPr>
        <w:t xml:space="preserve"> showed the same pattern in adults, with the others again showing the opposite pattern in adults. The abundances of these genera within trans/gender-diverse individuals varies, however, with the small number of participants who are trans/gender-diverse (</w:t>
      </w:r>
      <w:r w:rsidRPr="00417158">
        <w:rPr>
          <w:rFonts w:ascii="Calibri" w:hAnsi="Calibri" w:cs="Calibri"/>
          <w:i/>
          <w:iCs/>
          <w:color w:val="000000" w:themeColor="text1"/>
          <w:sz w:val="22"/>
          <w:szCs w:val="22"/>
        </w:rPr>
        <w:t>n</w:t>
      </w:r>
      <w:r w:rsidRPr="00417158">
        <w:rPr>
          <w:rFonts w:ascii="Calibri" w:hAnsi="Calibri" w:cs="Calibri"/>
          <w:color w:val="000000" w:themeColor="text1"/>
          <w:sz w:val="22"/>
          <w:szCs w:val="22"/>
        </w:rPr>
        <w:t>=21) these findings should be interpreted cautiously.</w:t>
      </w:r>
    </w:p>
    <w:p w14:paraId="48405431" w14:textId="3AF04BF4" w:rsidR="001E6758" w:rsidRPr="00417158" w:rsidRDefault="006A2CD2">
      <w:pPr>
        <w:rPr>
          <w:rFonts w:ascii="Calibri" w:hAnsi="Calibri" w:cs="Calibri"/>
          <w:color w:val="000000" w:themeColor="text1"/>
          <w:sz w:val="22"/>
          <w:szCs w:val="22"/>
        </w:rPr>
      </w:pPr>
      <w:r w:rsidRPr="00417158">
        <w:rPr>
          <w:rFonts w:ascii="Calibri" w:hAnsi="Calibri" w:cs="Calibri"/>
          <w:color w:val="000000" w:themeColor="text1"/>
          <w:sz w:val="22"/>
          <w:szCs w:val="22"/>
        </w:rPr>
        <w:t>When we examine associations of genera with ethnicity, 14 of the top 20 most abundant genera are DA (Fig. 3). These follow several patterns: (</w:t>
      </w:r>
      <w:proofErr w:type="spellStart"/>
      <w:r w:rsidRPr="00417158">
        <w:rPr>
          <w:rFonts w:ascii="Calibri" w:hAnsi="Calibri" w:cs="Calibri"/>
          <w:color w:val="000000" w:themeColor="text1"/>
          <w:sz w:val="22"/>
          <w:szCs w:val="22"/>
        </w:rPr>
        <w:t>i</w:t>
      </w:r>
      <w:proofErr w:type="spellEnd"/>
      <w:r w:rsidRPr="00417158">
        <w:rPr>
          <w:rFonts w:ascii="Calibri" w:hAnsi="Calibri" w:cs="Calibri"/>
          <w:color w:val="000000" w:themeColor="text1"/>
          <w:sz w:val="22"/>
          <w:szCs w:val="22"/>
        </w:rPr>
        <w:t>) East Asian &lt; South Asian &lt; White (</w:t>
      </w:r>
      <w:proofErr w:type="spellStart"/>
      <w:r w:rsidRPr="00417158">
        <w:rPr>
          <w:rFonts w:ascii="Calibri" w:hAnsi="Calibri" w:cs="Calibri"/>
          <w:i/>
          <w:iCs/>
          <w:color w:val="000000" w:themeColor="text1"/>
          <w:sz w:val="22"/>
          <w:szCs w:val="22"/>
        </w:rPr>
        <w:t>Prevotella</w:t>
      </w:r>
      <w:proofErr w:type="spellEnd"/>
      <w:r w:rsidRPr="00417158">
        <w:rPr>
          <w:rFonts w:ascii="Calibri" w:hAnsi="Calibri" w:cs="Calibri"/>
          <w:color w:val="000000" w:themeColor="text1"/>
          <w:sz w:val="22"/>
          <w:szCs w:val="22"/>
        </w:rPr>
        <w:t xml:space="preserve">, </w:t>
      </w:r>
      <w:proofErr w:type="spellStart"/>
      <w:r w:rsidRPr="00417158">
        <w:rPr>
          <w:rFonts w:ascii="Calibri" w:hAnsi="Calibri" w:cs="Calibri"/>
          <w:i/>
          <w:iCs/>
          <w:color w:val="000000" w:themeColor="text1"/>
          <w:sz w:val="22"/>
          <w:szCs w:val="22"/>
        </w:rPr>
        <w:t>Granulicatella</w:t>
      </w:r>
      <w:proofErr w:type="spellEnd"/>
      <w:r w:rsidRPr="00417158">
        <w:rPr>
          <w:rFonts w:ascii="Calibri" w:hAnsi="Calibri" w:cs="Calibri"/>
          <w:color w:val="000000" w:themeColor="text1"/>
          <w:sz w:val="22"/>
          <w:szCs w:val="22"/>
        </w:rPr>
        <w:t xml:space="preserve">, and </w:t>
      </w:r>
      <w:proofErr w:type="spellStart"/>
      <w:r w:rsidRPr="00417158">
        <w:rPr>
          <w:rFonts w:ascii="Calibri" w:hAnsi="Calibri" w:cs="Calibri"/>
          <w:i/>
          <w:iCs/>
          <w:color w:val="000000" w:themeColor="text1"/>
          <w:sz w:val="22"/>
          <w:szCs w:val="22"/>
        </w:rPr>
        <w:t>Megasphaera</w:t>
      </w:r>
      <w:proofErr w:type="spellEnd"/>
      <w:r w:rsidRPr="00417158">
        <w:rPr>
          <w:rFonts w:ascii="Calibri" w:hAnsi="Calibri" w:cs="Calibri"/>
          <w:color w:val="000000" w:themeColor="text1"/>
          <w:sz w:val="22"/>
          <w:szCs w:val="22"/>
        </w:rPr>
        <w:t>); (ii) South Asian &lt; East Asian &lt; White (</w:t>
      </w:r>
      <w:r w:rsidRPr="00417158">
        <w:rPr>
          <w:rFonts w:ascii="Calibri" w:hAnsi="Calibri" w:cs="Calibri"/>
          <w:i/>
          <w:iCs/>
          <w:color w:val="000000" w:themeColor="text1"/>
          <w:sz w:val="22"/>
          <w:szCs w:val="22"/>
        </w:rPr>
        <w:t>Streptococcus</w:t>
      </w:r>
      <w:r w:rsidRPr="00417158">
        <w:rPr>
          <w:rFonts w:ascii="Calibri" w:hAnsi="Calibri" w:cs="Calibri"/>
          <w:color w:val="000000" w:themeColor="text1"/>
          <w:sz w:val="22"/>
          <w:szCs w:val="22"/>
        </w:rPr>
        <w:t xml:space="preserve">, </w:t>
      </w:r>
      <w:proofErr w:type="spellStart"/>
      <w:r w:rsidRPr="00417158">
        <w:rPr>
          <w:rFonts w:ascii="Calibri" w:hAnsi="Calibri" w:cs="Calibri"/>
          <w:i/>
          <w:iCs/>
          <w:color w:val="000000" w:themeColor="text1"/>
          <w:sz w:val="22"/>
          <w:szCs w:val="22"/>
        </w:rPr>
        <w:t>Veillonella</w:t>
      </w:r>
      <w:proofErr w:type="spellEnd"/>
      <w:r w:rsidRPr="00417158">
        <w:rPr>
          <w:rFonts w:ascii="Calibri" w:hAnsi="Calibri" w:cs="Calibri"/>
          <w:color w:val="000000" w:themeColor="text1"/>
          <w:sz w:val="22"/>
          <w:szCs w:val="22"/>
        </w:rPr>
        <w:t xml:space="preserve">, </w:t>
      </w:r>
      <w:r w:rsidRPr="00417158">
        <w:rPr>
          <w:rFonts w:ascii="Calibri" w:hAnsi="Calibri" w:cs="Calibri"/>
          <w:i/>
          <w:iCs/>
          <w:color w:val="000000" w:themeColor="text1"/>
          <w:sz w:val="22"/>
          <w:szCs w:val="22"/>
        </w:rPr>
        <w:t>Gemella</w:t>
      </w:r>
      <w:r w:rsidRPr="00417158">
        <w:rPr>
          <w:rFonts w:ascii="Calibri" w:hAnsi="Calibri" w:cs="Calibri"/>
          <w:color w:val="000000" w:themeColor="text1"/>
          <w:sz w:val="22"/>
          <w:szCs w:val="22"/>
        </w:rPr>
        <w:t xml:space="preserve">, </w:t>
      </w:r>
      <w:proofErr w:type="spellStart"/>
      <w:r w:rsidRPr="00417158">
        <w:rPr>
          <w:rFonts w:ascii="Calibri" w:hAnsi="Calibri" w:cs="Calibri"/>
          <w:i/>
          <w:iCs/>
          <w:color w:val="000000" w:themeColor="text1"/>
          <w:sz w:val="22"/>
          <w:szCs w:val="22"/>
        </w:rPr>
        <w:t>Oribacterium</w:t>
      </w:r>
      <w:proofErr w:type="spellEnd"/>
      <w:r w:rsidRPr="00417158">
        <w:rPr>
          <w:rFonts w:ascii="Calibri" w:hAnsi="Calibri" w:cs="Calibri"/>
          <w:color w:val="000000" w:themeColor="text1"/>
          <w:sz w:val="22"/>
          <w:szCs w:val="22"/>
        </w:rPr>
        <w:t xml:space="preserve">,  and </w:t>
      </w:r>
      <w:proofErr w:type="spellStart"/>
      <w:r w:rsidRPr="00417158">
        <w:rPr>
          <w:rFonts w:ascii="Calibri" w:hAnsi="Calibri" w:cs="Calibri"/>
          <w:i/>
          <w:iCs/>
          <w:color w:val="000000" w:themeColor="text1"/>
          <w:sz w:val="22"/>
          <w:szCs w:val="22"/>
        </w:rPr>
        <w:t>Cloacibacterium</w:t>
      </w:r>
      <w:proofErr w:type="spellEnd"/>
      <w:r w:rsidRPr="00417158">
        <w:rPr>
          <w:rFonts w:ascii="Calibri" w:hAnsi="Calibri" w:cs="Calibri"/>
          <w:color w:val="000000" w:themeColor="text1"/>
          <w:sz w:val="22"/>
          <w:szCs w:val="22"/>
        </w:rPr>
        <w:t>); (iii) South Asian &lt; White &lt; East Asian (</w:t>
      </w:r>
      <w:proofErr w:type="spellStart"/>
      <w:r w:rsidRPr="00417158">
        <w:rPr>
          <w:rFonts w:ascii="Calibri" w:hAnsi="Calibri" w:cs="Calibri"/>
          <w:i/>
          <w:iCs/>
          <w:color w:val="000000" w:themeColor="text1"/>
          <w:sz w:val="22"/>
          <w:szCs w:val="22"/>
        </w:rPr>
        <w:t>Lautropia</w:t>
      </w:r>
      <w:proofErr w:type="spellEnd"/>
      <w:r w:rsidRPr="00417158">
        <w:rPr>
          <w:rFonts w:ascii="Calibri" w:hAnsi="Calibri" w:cs="Calibri"/>
          <w:color w:val="000000" w:themeColor="text1"/>
          <w:sz w:val="22"/>
          <w:szCs w:val="22"/>
        </w:rPr>
        <w:t xml:space="preserve"> and </w:t>
      </w:r>
      <w:proofErr w:type="spellStart"/>
      <w:r w:rsidRPr="00417158">
        <w:rPr>
          <w:rFonts w:ascii="Calibri" w:hAnsi="Calibri" w:cs="Calibri"/>
          <w:i/>
          <w:iCs/>
          <w:color w:val="000000" w:themeColor="text1"/>
          <w:sz w:val="22"/>
          <w:szCs w:val="22"/>
        </w:rPr>
        <w:t>Rothia</w:t>
      </w:r>
      <w:proofErr w:type="spellEnd"/>
      <w:r w:rsidRPr="00417158">
        <w:rPr>
          <w:rFonts w:ascii="Calibri" w:hAnsi="Calibri" w:cs="Calibri"/>
          <w:color w:val="000000" w:themeColor="text1"/>
          <w:sz w:val="22"/>
          <w:szCs w:val="22"/>
        </w:rPr>
        <w:t>), (iv) White &lt; East Asian &lt; South Asian (</w:t>
      </w:r>
      <w:r w:rsidRPr="00417158">
        <w:rPr>
          <w:rFonts w:ascii="Calibri" w:hAnsi="Calibri" w:cs="Calibri"/>
          <w:i/>
          <w:iCs/>
          <w:color w:val="000000" w:themeColor="text1"/>
          <w:sz w:val="22"/>
          <w:szCs w:val="22"/>
        </w:rPr>
        <w:t>Porphyromonas</w:t>
      </w:r>
      <w:r w:rsidRPr="00417158">
        <w:rPr>
          <w:rFonts w:ascii="Calibri" w:hAnsi="Calibri" w:cs="Calibri"/>
          <w:color w:val="000000" w:themeColor="text1"/>
          <w:sz w:val="22"/>
          <w:szCs w:val="22"/>
        </w:rPr>
        <w:t xml:space="preserve"> and </w:t>
      </w:r>
      <w:proofErr w:type="spellStart"/>
      <w:r w:rsidRPr="00417158">
        <w:rPr>
          <w:rFonts w:ascii="Calibri" w:hAnsi="Calibri" w:cs="Calibri"/>
          <w:i/>
          <w:iCs/>
          <w:color w:val="000000" w:themeColor="text1"/>
          <w:sz w:val="22"/>
          <w:szCs w:val="22"/>
        </w:rPr>
        <w:t>Aggregatibacter</w:t>
      </w:r>
      <w:proofErr w:type="spellEnd"/>
      <w:r w:rsidRPr="00417158">
        <w:rPr>
          <w:rFonts w:ascii="Calibri" w:hAnsi="Calibri" w:cs="Calibri"/>
          <w:color w:val="000000" w:themeColor="text1"/>
          <w:sz w:val="22"/>
          <w:szCs w:val="22"/>
        </w:rPr>
        <w:t>); and (v) White &lt; South Asian &lt; East Asian (</w:t>
      </w:r>
      <w:r w:rsidRPr="00417158">
        <w:rPr>
          <w:rFonts w:ascii="Calibri" w:hAnsi="Calibri" w:cs="Calibri"/>
          <w:i/>
          <w:iCs/>
          <w:color w:val="000000" w:themeColor="text1"/>
          <w:sz w:val="22"/>
          <w:szCs w:val="22"/>
        </w:rPr>
        <w:t>Neisseria</w:t>
      </w:r>
      <w:r w:rsidRPr="00417158">
        <w:rPr>
          <w:rFonts w:ascii="Calibri" w:hAnsi="Calibri" w:cs="Calibri"/>
          <w:color w:val="000000" w:themeColor="text1"/>
          <w:sz w:val="22"/>
          <w:szCs w:val="22"/>
        </w:rPr>
        <w:t xml:space="preserve"> and </w:t>
      </w:r>
      <w:proofErr w:type="spellStart"/>
      <w:r w:rsidRPr="00417158">
        <w:rPr>
          <w:rFonts w:ascii="Calibri" w:hAnsi="Calibri" w:cs="Calibri"/>
          <w:i/>
          <w:iCs/>
          <w:color w:val="000000" w:themeColor="text1"/>
          <w:sz w:val="22"/>
          <w:szCs w:val="22"/>
        </w:rPr>
        <w:t>Capnocytophaga</w:t>
      </w:r>
      <w:proofErr w:type="spellEnd"/>
      <w:r w:rsidRPr="00417158">
        <w:rPr>
          <w:rFonts w:ascii="Calibri" w:hAnsi="Calibri" w:cs="Calibri"/>
          <w:color w:val="000000" w:themeColor="text1"/>
          <w:sz w:val="22"/>
          <w:szCs w:val="22"/>
        </w:rPr>
        <w:t xml:space="preserve">). Reflecting the differences seen for alpha and beta diversity, where East and South Asian participants tend to be more similar to each other than to White participants (Fig. S3), the patterns seen for relative abundance of DA taxa tend to follow that the average abundance within White participants is either greater or smaller than that seen in both East and South Asian participants, with only </w:t>
      </w:r>
      <w:proofErr w:type="spellStart"/>
      <w:r w:rsidRPr="00417158">
        <w:rPr>
          <w:rFonts w:ascii="Calibri" w:hAnsi="Calibri" w:cs="Calibri"/>
          <w:i/>
          <w:iCs/>
          <w:color w:val="000000" w:themeColor="text1"/>
          <w:sz w:val="22"/>
          <w:szCs w:val="22"/>
        </w:rPr>
        <w:t>Rothia</w:t>
      </w:r>
      <w:proofErr w:type="spellEnd"/>
      <w:r w:rsidRPr="00417158">
        <w:rPr>
          <w:rFonts w:ascii="Calibri" w:hAnsi="Calibri" w:cs="Calibri"/>
          <w:i/>
          <w:iCs/>
          <w:color w:val="000000" w:themeColor="text1"/>
          <w:sz w:val="22"/>
          <w:szCs w:val="22"/>
        </w:rPr>
        <w:t xml:space="preserve"> </w:t>
      </w:r>
      <w:r w:rsidRPr="00417158">
        <w:rPr>
          <w:rFonts w:ascii="Calibri" w:hAnsi="Calibri" w:cs="Calibri"/>
          <w:color w:val="000000" w:themeColor="text1"/>
          <w:sz w:val="22"/>
          <w:szCs w:val="22"/>
        </w:rPr>
        <w:t>and</w:t>
      </w:r>
      <w:r w:rsidRPr="00417158">
        <w:rPr>
          <w:rFonts w:ascii="Calibri" w:hAnsi="Calibri" w:cs="Calibri"/>
          <w:i/>
          <w:iCs/>
          <w:color w:val="000000" w:themeColor="text1"/>
          <w:sz w:val="22"/>
          <w:szCs w:val="22"/>
        </w:rPr>
        <w:t xml:space="preserve"> </w:t>
      </w:r>
      <w:proofErr w:type="spellStart"/>
      <w:r w:rsidRPr="00417158">
        <w:rPr>
          <w:rFonts w:ascii="Calibri" w:hAnsi="Calibri" w:cs="Calibri"/>
          <w:i/>
          <w:iCs/>
          <w:color w:val="000000" w:themeColor="text1"/>
          <w:sz w:val="22"/>
          <w:szCs w:val="22"/>
        </w:rPr>
        <w:t>Lautropia</w:t>
      </w:r>
      <w:proofErr w:type="spellEnd"/>
      <w:r w:rsidRPr="00417158">
        <w:rPr>
          <w:rFonts w:ascii="Calibri" w:hAnsi="Calibri" w:cs="Calibri"/>
          <w:color w:val="000000" w:themeColor="text1"/>
          <w:sz w:val="22"/>
          <w:szCs w:val="22"/>
        </w:rPr>
        <w:t xml:space="preserve"> not following this pattern. </w:t>
      </w:r>
    </w:p>
    <w:p w14:paraId="5180EAA1" w14:textId="20F12E6D" w:rsidR="00071C8A" w:rsidRPr="00417158" w:rsidRDefault="005F27DD">
      <w:pPr>
        <w:rPr>
          <w:rFonts w:ascii="Calibri" w:hAnsi="Calibri" w:cs="Calibri"/>
          <w:sz w:val="22"/>
          <w:szCs w:val="22"/>
        </w:rPr>
      </w:pPr>
      <w:r w:rsidRPr="00417158">
        <w:rPr>
          <w:rFonts w:ascii="Calibri" w:hAnsi="Calibri" w:cs="Calibri"/>
          <w:b/>
          <w:bCs/>
          <w:i/>
          <w:iCs/>
          <w:sz w:val="22"/>
          <w:szCs w:val="22"/>
        </w:rPr>
        <w:t>Some of the</w:t>
      </w:r>
      <w:r w:rsidR="4FA23002" w:rsidRPr="00417158">
        <w:rPr>
          <w:rFonts w:ascii="Calibri" w:hAnsi="Calibri" w:cs="Calibri"/>
          <w:b/>
          <w:bCs/>
          <w:i/>
          <w:iCs/>
          <w:sz w:val="22"/>
          <w:szCs w:val="22"/>
        </w:rPr>
        <w:t xml:space="preserve"> genera </w:t>
      </w:r>
      <w:r w:rsidRPr="00417158">
        <w:rPr>
          <w:rFonts w:ascii="Calibri" w:hAnsi="Calibri" w:cs="Calibri"/>
          <w:b/>
          <w:bCs/>
          <w:i/>
          <w:iCs/>
          <w:sz w:val="22"/>
          <w:szCs w:val="22"/>
        </w:rPr>
        <w:t xml:space="preserve">that </w:t>
      </w:r>
      <w:r w:rsidR="4FA23002" w:rsidRPr="00417158">
        <w:rPr>
          <w:rFonts w:ascii="Calibri" w:hAnsi="Calibri" w:cs="Calibri"/>
          <w:b/>
          <w:bCs/>
          <w:i/>
          <w:iCs/>
          <w:sz w:val="22"/>
          <w:szCs w:val="22"/>
        </w:rPr>
        <w:t>are significantly differentially abundant with age</w:t>
      </w:r>
      <w:r w:rsidRPr="00417158">
        <w:rPr>
          <w:rFonts w:ascii="Calibri" w:hAnsi="Calibri" w:cs="Calibri"/>
          <w:b/>
          <w:bCs/>
          <w:i/>
          <w:iCs/>
          <w:sz w:val="22"/>
          <w:szCs w:val="22"/>
        </w:rPr>
        <w:t xml:space="preserve"> in children and</w:t>
      </w:r>
      <w:r w:rsidR="00A33009" w:rsidRPr="00417158">
        <w:rPr>
          <w:rFonts w:ascii="Calibri" w:hAnsi="Calibri" w:cs="Calibri"/>
          <w:b/>
          <w:bCs/>
          <w:i/>
          <w:iCs/>
          <w:sz w:val="22"/>
          <w:szCs w:val="22"/>
        </w:rPr>
        <w:t xml:space="preserve"> adolescents</w:t>
      </w:r>
      <w:r w:rsidRPr="00417158">
        <w:rPr>
          <w:rFonts w:ascii="Calibri" w:hAnsi="Calibri" w:cs="Calibri"/>
          <w:b/>
          <w:bCs/>
          <w:i/>
          <w:iCs/>
          <w:sz w:val="22"/>
          <w:szCs w:val="22"/>
        </w:rPr>
        <w:t xml:space="preserve"> show similar patterns in adults</w:t>
      </w:r>
      <w:r w:rsidR="00071C8A" w:rsidRPr="00417158">
        <w:br/>
      </w:r>
      <w:r w:rsidR="4FA23002" w:rsidRPr="00417158">
        <w:rPr>
          <w:rFonts w:ascii="Calibri" w:hAnsi="Calibri" w:cs="Calibri"/>
          <w:sz w:val="22"/>
          <w:szCs w:val="22"/>
        </w:rPr>
        <w:t>While this was not the case for all genera, interestingly, some of these them followed similar patterns in adults (Fig. S</w:t>
      </w:r>
      <w:r w:rsidR="00D87F03" w:rsidRPr="00417158">
        <w:rPr>
          <w:rFonts w:ascii="Calibri" w:hAnsi="Calibri" w:cs="Calibri"/>
          <w:sz w:val="22"/>
          <w:szCs w:val="22"/>
        </w:rPr>
        <w:t>9</w:t>
      </w:r>
      <w:r w:rsidR="4FA23002" w:rsidRPr="00417158">
        <w:rPr>
          <w:rFonts w:ascii="Calibri" w:hAnsi="Calibri" w:cs="Calibri"/>
          <w:sz w:val="22"/>
          <w:szCs w:val="22"/>
        </w:rPr>
        <w:t>); (</w:t>
      </w:r>
      <w:proofErr w:type="spellStart"/>
      <w:r w:rsidR="4FA23002" w:rsidRPr="00417158">
        <w:rPr>
          <w:rFonts w:ascii="Calibri" w:hAnsi="Calibri" w:cs="Calibri"/>
          <w:sz w:val="22"/>
          <w:szCs w:val="22"/>
        </w:rPr>
        <w:t>i</w:t>
      </w:r>
      <w:proofErr w:type="spellEnd"/>
      <w:r w:rsidR="4FA23002" w:rsidRPr="00417158">
        <w:rPr>
          <w:rFonts w:ascii="Calibri" w:hAnsi="Calibri" w:cs="Calibri"/>
          <w:sz w:val="22"/>
          <w:szCs w:val="22"/>
        </w:rPr>
        <w:t xml:space="preserve">) </w:t>
      </w:r>
      <w:proofErr w:type="spellStart"/>
      <w:r w:rsidR="4FA23002" w:rsidRPr="00417158">
        <w:rPr>
          <w:rFonts w:ascii="Calibri" w:hAnsi="Calibri" w:cs="Calibri"/>
          <w:i/>
          <w:iCs/>
          <w:sz w:val="22"/>
          <w:szCs w:val="22"/>
        </w:rPr>
        <w:t>Megasphaera</w:t>
      </w:r>
      <w:proofErr w:type="spellEnd"/>
      <w:r w:rsidR="4FA23002" w:rsidRPr="00417158">
        <w:rPr>
          <w:rFonts w:ascii="Calibri" w:hAnsi="Calibri" w:cs="Calibri"/>
          <w:sz w:val="22"/>
          <w:szCs w:val="22"/>
        </w:rPr>
        <w:t xml:space="preserve"> increased in mean relative abundance from 0.31% in 5-year-olds </w:t>
      </w:r>
      <w:r w:rsidR="4FA23002" w:rsidRPr="00417158">
        <w:rPr>
          <w:rFonts w:ascii="Calibri" w:hAnsi="Calibri" w:cs="Calibri"/>
          <w:sz w:val="22"/>
          <w:szCs w:val="22"/>
        </w:rPr>
        <w:lastRenderedPageBreak/>
        <w:t xml:space="preserve">to 0.74% in 16-year-olds, and was more abundant again in adults, ranging between 1.8% in 35-40-year-olds to 1.5% in &gt;65-year-olds; (ii) </w:t>
      </w:r>
      <w:r w:rsidR="4FA23002" w:rsidRPr="00417158">
        <w:rPr>
          <w:rFonts w:ascii="Calibri" w:hAnsi="Calibri" w:cs="Calibri"/>
          <w:i/>
          <w:iCs/>
          <w:sz w:val="22"/>
          <w:szCs w:val="22"/>
        </w:rPr>
        <w:t>Neisseria</w:t>
      </w:r>
      <w:r w:rsidR="4FA23002" w:rsidRPr="00417158">
        <w:rPr>
          <w:rFonts w:ascii="Calibri" w:hAnsi="Calibri" w:cs="Calibri"/>
          <w:sz w:val="22"/>
          <w:szCs w:val="22"/>
        </w:rPr>
        <w:t xml:space="preserve"> decreased from 18% in 5-year-olds to 11% in 16-year-olds, and was less abundant again in adults, ranging between 11% in 35-40-year-olds to 15% in &gt;65-year-olds; (iii) </w:t>
      </w:r>
      <w:r w:rsidR="4FA23002" w:rsidRPr="00417158">
        <w:rPr>
          <w:rFonts w:ascii="Calibri" w:hAnsi="Calibri" w:cs="Calibri"/>
          <w:i/>
          <w:iCs/>
          <w:sz w:val="22"/>
          <w:szCs w:val="22"/>
        </w:rPr>
        <w:t>Gemella</w:t>
      </w:r>
      <w:r w:rsidR="4FA23002" w:rsidRPr="00417158">
        <w:rPr>
          <w:rFonts w:ascii="Calibri" w:hAnsi="Calibri" w:cs="Calibri"/>
          <w:sz w:val="22"/>
          <w:szCs w:val="22"/>
        </w:rPr>
        <w:t xml:space="preserve"> decreased from 4.6% in 5-year-olds to 2.5% in 16-year-olds, and was less abundant again in adults, ranging between 1.2% in 35-40-year-olds to 1.6% in &gt;65-year-olds; and (iv) </w:t>
      </w:r>
      <w:proofErr w:type="spellStart"/>
      <w:r w:rsidR="4FA23002" w:rsidRPr="00417158">
        <w:rPr>
          <w:rFonts w:ascii="Calibri" w:hAnsi="Calibri" w:cs="Calibri"/>
          <w:i/>
          <w:iCs/>
          <w:sz w:val="22"/>
          <w:szCs w:val="22"/>
        </w:rPr>
        <w:t>Cloacibacterium</w:t>
      </w:r>
      <w:proofErr w:type="spellEnd"/>
      <w:r w:rsidR="4FA23002" w:rsidRPr="00417158">
        <w:rPr>
          <w:rFonts w:ascii="Calibri" w:hAnsi="Calibri" w:cs="Calibri"/>
          <w:sz w:val="22"/>
          <w:szCs w:val="22"/>
        </w:rPr>
        <w:t xml:space="preserve"> decreased from 0.63% in 5-year-olds to 0.24% in 16-year-olds, and was less abundant again in adults, ranging between 0.80% in 35-40-year-olds to 0.02% in &gt;65-year-olds, however, it is worth noting that this pattern in </w:t>
      </w:r>
      <w:proofErr w:type="spellStart"/>
      <w:r w:rsidR="4FA23002" w:rsidRPr="00417158">
        <w:rPr>
          <w:rFonts w:ascii="Calibri" w:hAnsi="Calibri" w:cs="Calibri"/>
          <w:i/>
          <w:iCs/>
          <w:sz w:val="22"/>
          <w:szCs w:val="22"/>
        </w:rPr>
        <w:t>Cloacibacterium</w:t>
      </w:r>
      <w:proofErr w:type="spellEnd"/>
      <w:r w:rsidR="4FA23002" w:rsidRPr="00417158">
        <w:rPr>
          <w:rFonts w:ascii="Calibri" w:hAnsi="Calibri" w:cs="Calibri"/>
          <w:sz w:val="22"/>
          <w:szCs w:val="22"/>
        </w:rPr>
        <w:t xml:space="preserve"> may be driven by prevalence, as it is present in only 51% of children and 11% of adults (the other genera mentioned for patterns in children and adults are present in &gt;80% of both children and adults). Note that we give the abundance in 16-year-olds as the highest age group due to the small sample size in 17- and 18-year-olds.</w:t>
      </w:r>
    </w:p>
    <w:p w14:paraId="4B0061B7" w14:textId="2F01DD93" w:rsidR="00906A43" w:rsidRPr="00417158" w:rsidRDefault="00906A43">
      <w:pPr>
        <w:rPr>
          <w:rFonts w:ascii="Calibri" w:hAnsi="Calibri" w:cs="Calibri"/>
          <w:color w:val="000000" w:themeColor="text1"/>
          <w:sz w:val="22"/>
          <w:szCs w:val="22"/>
        </w:rPr>
      </w:pPr>
      <w:r w:rsidRPr="00417158">
        <w:rPr>
          <w:rFonts w:ascii="Calibri" w:hAnsi="Calibri" w:cs="Calibri"/>
          <w:b/>
          <w:bCs/>
          <w:i/>
          <w:iCs/>
          <w:color w:val="000000" w:themeColor="text1"/>
          <w:sz w:val="22"/>
          <w:szCs w:val="22"/>
        </w:rPr>
        <w:t>Household environment has a larger effect on saliva bacteriome similarity in children and adolescents than genetic relatedness</w:t>
      </w:r>
      <w:r w:rsidRPr="00417158">
        <w:rPr>
          <w:rFonts w:ascii="Calibri" w:hAnsi="Calibri" w:cs="Calibri"/>
          <w:b/>
          <w:bCs/>
          <w:i/>
          <w:iCs/>
          <w:color w:val="000000" w:themeColor="text1"/>
          <w:sz w:val="22"/>
          <w:szCs w:val="22"/>
        </w:rPr>
        <w:br/>
      </w:r>
      <w:r w:rsidR="006F7F35" w:rsidRPr="00417158">
        <w:rPr>
          <w:rFonts w:ascii="Calibri" w:hAnsi="Calibri" w:cs="Calibri"/>
          <w:color w:val="000000" w:themeColor="text1"/>
          <w:sz w:val="22"/>
          <w:szCs w:val="22"/>
        </w:rPr>
        <w:t>The kinship coefficients also allowed us to calculate the degree of relatedness between pairs of participants, with participants being classified as monozygotic twins, first degree (full siblings), second degree (half siblings), or third degree (cousins) relatives. There were 9, 869, 25, and 86 pairs of twins, full siblings, half siblings or cousins, respectively, with the other 9,160,351 pairs of participants not being related. Within only related individuals, the relationship between saliva bacteriome similarity and genetic relatedness is stronger, but the Spearman’s correlation is still only R</w:t>
      </w:r>
      <w:r w:rsidR="006F7F35" w:rsidRPr="00417158">
        <w:rPr>
          <w:rFonts w:ascii="Calibri" w:hAnsi="Calibri" w:cs="Calibri"/>
          <w:color w:val="000000" w:themeColor="text1"/>
          <w:sz w:val="22"/>
          <w:szCs w:val="22"/>
          <w:vertAlign w:val="superscript"/>
        </w:rPr>
        <w:t xml:space="preserve">2 </w:t>
      </w:r>
      <w:r w:rsidR="006F7F35" w:rsidRPr="00417158">
        <w:rPr>
          <w:rFonts w:ascii="Calibri" w:hAnsi="Calibri" w:cs="Calibri"/>
          <w:color w:val="000000" w:themeColor="text1"/>
          <w:sz w:val="22"/>
          <w:szCs w:val="22"/>
        </w:rPr>
        <w:t>= -0.023 (</w:t>
      </w:r>
      <w:r w:rsidR="006F7F35" w:rsidRPr="00417158">
        <w:rPr>
          <w:rFonts w:ascii="Calibri" w:hAnsi="Calibri" w:cs="Calibri"/>
          <w:i/>
          <w:iCs/>
          <w:color w:val="000000" w:themeColor="text1"/>
          <w:sz w:val="22"/>
          <w:szCs w:val="22"/>
        </w:rPr>
        <w:t xml:space="preserve">p </w:t>
      </w:r>
      <w:r w:rsidR="006F7F35" w:rsidRPr="00417158">
        <w:rPr>
          <w:rFonts w:ascii="Calibri" w:hAnsi="Calibri" w:cs="Calibri"/>
          <w:color w:val="000000" w:themeColor="text1"/>
          <w:sz w:val="22"/>
          <w:szCs w:val="22"/>
        </w:rPr>
        <w:t xml:space="preserve">= 0.001; Fig. 4B). When we grouped participants by their calculated relationships (twins/first degree relationships, second/third degree relationships, or unrelated), we find significant differences between these groups (Kruskal-Wallis H = 119.8, </w:t>
      </w:r>
      <w:r w:rsidR="006F7F35" w:rsidRPr="00417158">
        <w:rPr>
          <w:rFonts w:ascii="Calibri" w:hAnsi="Calibri" w:cs="Calibri"/>
          <w:i/>
          <w:iCs/>
          <w:color w:val="000000" w:themeColor="text1"/>
          <w:sz w:val="22"/>
          <w:szCs w:val="22"/>
        </w:rPr>
        <w:t xml:space="preserve">p </w:t>
      </w:r>
      <w:r w:rsidR="006F7F35" w:rsidRPr="00417158">
        <w:rPr>
          <w:rFonts w:ascii="Calibri" w:hAnsi="Calibri" w:cs="Calibri"/>
          <w:color w:val="000000" w:themeColor="text1"/>
          <w:sz w:val="22"/>
          <w:szCs w:val="22"/>
        </w:rPr>
        <w:t>&lt; 0.001). Dunn’s tests with Holm-Bonferroni False Discovery Rate correction revealed significant differences between twins/first degree relationships and unrelated participants as well as between second/third degree relationships and unrelated participants, but not between twins/first degree relationships and second/third degree relationships (Fig. 4C).</w:t>
      </w:r>
    </w:p>
    <w:p w14:paraId="270E827B" w14:textId="12FC4A4E" w:rsidR="00E739DA" w:rsidRPr="00417158" w:rsidRDefault="00E739DA">
      <w:pPr>
        <w:rPr>
          <w:rFonts w:ascii="Calibri" w:hAnsi="Calibri" w:cs="Calibri"/>
          <w:color w:val="000000" w:themeColor="text1"/>
          <w:sz w:val="22"/>
          <w:szCs w:val="22"/>
        </w:rPr>
      </w:pPr>
      <w:r w:rsidRPr="00417158">
        <w:rPr>
          <w:rFonts w:ascii="Calibri" w:hAnsi="Calibri" w:cs="Calibri"/>
          <w:color w:val="000000" w:themeColor="text1"/>
          <w:sz w:val="22"/>
          <w:szCs w:val="22"/>
        </w:rPr>
        <w:t>To confirm that the associations between the saliva bacteriome, gender, ethnicity and diagnosed health condition identified in the above sections were robust, we also assessed overall beta diversity using only one participant chosen at random from each family ID (</w:t>
      </w:r>
      <w:r w:rsidRPr="00417158">
        <w:rPr>
          <w:rFonts w:ascii="Calibri" w:hAnsi="Calibri" w:cs="Calibri"/>
          <w:i/>
          <w:iCs/>
          <w:color w:val="000000" w:themeColor="text1"/>
          <w:sz w:val="22"/>
          <w:szCs w:val="22"/>
        </w:rPr>
        <w:t>n</w:t>
      </w:r>
      <w:r w:rsidRPr="00417158">
        <w:rPr>
          <w:rFonts w:ascii="Calibri" w:hAnsi="Calibri" w:cs="Calibri"/>
          <w:color w:val="000000" w:themeColor="text1"/>
          <w:sz w:val="22"/>
          <w:szCs w:val="22"/>
        </w:rPr>
        <w:t>=3,817). Age, ethnicity, and gender remained significant (</w:t>
      </w:r>
      <w:r w:rsidRPr="00417158">
        <w:rPr>
          <w:rFonts w:ascii="Calibri" w:hAnsi="Calibri" w:cs="Calibri"/>
          <w:i/>
          <w:iCs/>
          <w:color w:val="000000" w:themeColor="text1"/>
          <w:sz w:val="22"/>
          <w:szCs w:val="22"/>
        </w:rPr>
        <w:t xml:space="preserve">p </w:t>
      </w:r>
      <w:r w:rsidRPr="00417158">
        <w:rPr>
          <w:rFonts w:ascii="Calibri" w:hAnsi="Calibri" w:cs="Calibri"/>
          <w:color w:val="000000" w:themeColor="text1"/>
          <w:sz w:val="22"/>
          <w:szCs w:val="22"/>
        </w:rPr>
        <w:t>&lt; 0.05) with only slightly reduced R</w:t>
      </w:r>
      <w:r w:rsidRPr="00417158">
        <w:rPr>
          <w:rFonts w:ascii="Calibri" w:hAnsi="Calibri" w:cs="Calibri"/>
          <w:color w:val="000000" w:themeColor="text1"/>
          <w:sz w:val="22"/>
          <w:szCs w:val="22"/>
          <w:vertAlign w:val="superscript"/>
        </w:rPr>
        <w:t>2</w:t>
      </w:r>
      <w:r w:rsidRPr="00417158">
        <w:rPr>
          <w:rFonts w:ascii="Calibri" w:hAnsi="Calibri" w:cs="Calibri"/>
          <w:color w:val="000000" w:themeColor="text1"/>
          <w:sz w:val="22"/>
          <w:szCs w:val="22"/>
        </w:rPr>
        <w:t xml:space="preserve"> values but diagnosed health condition was no longer significantly associated with saliva bacteriome composition (Table S</w:t>
      </w:r>
      <w:r w:rsidR="001A5448" w:rsidRPr="00417158">
        <w:rPr>
          <w:rFonts w:ascii="Calibri" w:hAnsi="Calibri" w:cs="Calibri"/>
          <w:color w:val="000000" w:themeColor="text1"/>
          <w:sz w:val="22"/>
          <w:szCs w:val="22"/>
        </w:rPr>
        <w:t>6</w:t>
      </w:r>
      <w:r w:rsidRPr="00417158">
        <w:rPr>
          <w:rFonts w:ascii="Calibri" w:hAnsi="Calibri" w:cs="Calibri"/>
          <w:color w:val="000000" w:themeColor="text1"/>
          <w:sz w:val="22"/>
          <w:szCs w:val="22"/>
        </w:rPr>
        <w:t>).</w:t>
      </w:r>
    </w:p>
    <w:p w14:paraId="6712E899" w14:textId="731887A4" w:rsidR="00840439" w:rsidRPr="00417158" w:rsidRDefault="00840439">
      <w:pPr>
        <w:rPr>
          <w:rFonts w:ascii="Calibri" w:hAnsi="Calibri" w:cs="Calibri"/>
          <w:color w:val="000000" w:themeColor="text1"/>
          <w:sz w:val="22"/>
          <w:szCs w:val="22"/>
        </w:rPr>
      </w:pPr>
      <w:r w:rsidRPr="00417158">
        <w:rPr>
          <w:rFonts w:ascii="Calibri" w:hAnsi="Calibri" w:cs="Calibri"/>
          <w:b/>
          <w:bCs/>
          <w:i/>
          <w:iCs/>
          <w:color w:val="000000" w:themeColor="text1"/>
          <w:sz w:val="22"/>
          <w:szCs w:val="22"/>
        </w:rPr>
        <w:t>Alternate alleles at 7 loci in the human genome have minimal association with the saliva bacteriome in the Spit for Science cohort</w:t>
      </w:r>
      <w:r w:rsidRPr="00417158">
        <w:rPr>
          <w:color w:val="000000" w:themeColor="text1"/>
        </w:rPr>
        <w:br/>
      </w:r>
      <w:proofErr w:type="spellStart"/>
      <w:r w:rsidRPr="00417158">
        <w:rPr>
          <w:rFonts w:ascii="Calibri" w:hAnsi="Calibri" w:cs="Calibri"/>
          <w:color w:val="000000" w:themeColor="text1"/>
          <w:sz w:val="22"/>
          <w:szCs w:val="22"/>
        </w:rPr>
        <w:t>Kamitaki</w:t>
      </w:r>
      <w:proofErr w:type="spellEnd"/>
      <w:r w:rsidRPr="00417158">
        <w:rPr>
          <w:rFonts w:ascii="Calibri" w:hAnsi="Calibri" w:cs="Calibri"/>
          <w:color w:val="000000" w:themeColor="text1"/>
          <w:sz w:val="22"/>
          <w:szCs w:val="22"/>
        </w:rPr>
        <w:t xml:space="preserve"> </w:t>
      </w:r>
      <w:r w:rsidRPr="00417158">
        <w:rPr>
          <w:rFonts w:ascii="Calibri" w:hAnsi="Calibri" w:cs="Calibri"/>
          <w:i/>
          <w:iCs/>
          <w:color w:val="000000" w:themeColor="text1"/>
          <w:sz w:val="22"/>
          <w:szCs w:val="22"/>
        </w:rPr>
        <w:t>et al.</w:t>
      </w:r>
      <w:r w:rsidRPr="00417158">
        <w:rPr>
          <w:rFonts w:ascii="Calibri" w:hAnsi="Calibri" w:cs="Calibri"/>
          <w:color w:val="000000" w:themeColor="text1"/>
          <w:sz w:val="22"/>
          <w:szCs w:val="22"/>
        </w:rPr>
        <w:t xml:space="preserve"> </w:t>
      </w:r>
      <w:sdt>
        <w:sdtPr>
          <w:rPr>
            <w:rFonts w:ascii="Calibri" w:hAnsi="Calibri" w:cs="Calibri"/>
            <w:color w:val="000000" w:themeColor="text1"/>
            <w:sz w:val="22"/>
            <w:szCs w:val="22"/>
          </w:rPr>
          <w:tag w:val="MENDELEY_CITATION_v3_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"/>
          <w:id w:val="-1018241315"/>
          <w:placeholder>
            <w:docPart w:val="C27E68DD3C98FF488D4CF4B03BE83F5F"/>
          </w:placeholder>
        </w:sdtPr>
        <w:sdtContent>
          <w:r w:rsidRPr="00417158">
            <w:rPr>
              <w:rFonts w:ascii="Calibri" w:hAnsi="Calibri" w:cs="Calibri"/>
              <w:color w:val="000000" w:themeColor="text1"/>
              <w:sz w:val="22"/>
              <w:szCs w:val="22"/>
            </w:rPr>
            <w:t>[40]</w:t>
          </w:r>
        </w:sdtContent>
      </w:sdt>
      <w:r w:rsidRPr="00417158">
        <w:rPr>
          <w:rFonts w:ascii="Calibri" w:hAnsi="Calibri" w:cs="Calibri"/>
          <w:color w:val="000000" w:themeColor="text1"/>
          <w:sz w:val="22"/>
          <w:szCs w:val="22"/>
        </w:rPr>
        <w:t xml:space="preserve"> identified variants at 11 loci in the human genome that they found to be associated with saliva bacteriome composition that we investigated within the 4,28</w:t>
      </w:r>
      <w:r w:rsidR="008A44C9" w:rsidRPr="00417158">
        <w:rPr>
          <w:rFonts w:ascii="Calibri" w:hAnsi="Calibri" w:cs="Calibri"/>
          <w:color w:val="000000" w:themeColor="text1"/>
          <w:sz w:val="22"/>
          <w:szCs w:val="22"/>
        </w:rPr>
        <w:t>1</w:t>
      </w:r>
      <w:r w:rsidRPr="00417158">
        <w:rPr>
          <w:rFonts w:ascii="Calibri" w:hAnsi="Calibri" w:cs="Calibri"/>
          <w:color w:val="000000" w:themeColor="text1"/>
          <w:sz w:val="22"/>
          <w:szCs w:val="22"/>
        </w:rPr>
        <w:t xml:space="preserve"> Spit for Science oral microbiome participants with genotyping data. The variants at four of these loci were present within </w:t>
      </w:r>
      <w:proofErr w:type="gramStart"/>
      <w:r w:rsidRPr="00417158">
        <w:rPr>
          <w:rFonts w:ascii="Calibri" w:hAnsi="Calibri" w:cs="Calibri"/>
          <w:color w:val="000000" w:themeColor="text1"/>
          <w:sz w:val="22"/>
          <w:szCs w:val="22"/>
        </w:rPr>
        <w:t>all of</w:t>
      </w:r>
      <w:proofErr w:type="gramEnd"/>
      <w:r w:rsidRPr="00417158">
        <w:rPr>
          <w:rFonts w:ascii="Calibri" w:hAnsi="Calibri" w:cs="Calibri"/>
          <w:color w:val="000000" w:themeColor="text1"/>
          <w:sz w:val="22"/>
          <w:szCs w:val="22"/>
        </w:rPr>
        <w:t xml:space="preserve"> the ethnicity/ancestry groups that we include here (SLC2A9, PITX1, ABO, and PPP1R3C/HECTD2) while the variants at an additional three loci were found in White/European and South Asian participants only (TLR1, POLI/RAB27B, and FUT2). The variants </w:t>
      </w:r>
      <w:proofErr w:type="gramStart"/>
      <w:r w:rsidRPr="00417158">
        <w:rPr>
          <w:rFonts w:ascii="Calibri" w:hAnsi="Calibri" w:cs="Calibri"/>
          <w:color w:val="000000" w:themeColor="text1"/>
          <w:sz w:val="22"/>
          <w:szCs w:val="22"/>
        </w:rPr>
        <w:t>not present</w:t>
      </w:r>
      <w:proofErr w:type="gramEnd"/>
      <w:r w:rsidRPr="00417158">
        <w:rPr>
          <w:rFonts w:ascii="Calibri" w:hAnsi="Calibri" w:cs="Calibri"/>
          <w:color w:val="000000" w:themeColor="text1"/>
          <w:sz w:val="22"/>
          <w:szCs w:val="22"/>
        </w:rPr>
        <w:t xml:space="preserve"> in our data were either a collection of copy number variants (AMY1) or were tri-allelic (PRB1-PRB4, HLA, and SMR3A/B; Table S</w:t>
      </w:r>
      <w:r w:rsidR="001A5448" w:rsidRPr="00417158">
        <w:rPr>
          <w:rFonts w:ascii="Calibri" w:hAnsi="Calibri" w:cs="Calibri"/>
          <w:color w:val="000000" w:themeColor="text1"/>
          <w:sz w:val="22"/>
          <w:szCs w:val="22"/>
        </w:rPr>
        <w:t>4</w:t>
      </w:r>
      <w:r w:rsidRPr="00417158">
        <w:rPr>
          <w:rFonts w:ascii="Calibri" w:hAnsi="Calibri" w:cs="Calibri"/>
          <w:color w:val="000000" w:themeColor="text1"/>
          <w:sz w:val="22"/>
          <w:szCs w:val="22"/>
        </w:rPr>
        <w:t xml:space="preserve">). We tested for associations between the alternate allele at each of these loci and alpha/beta diversity or the abundances of specific genera. Tests were performed separately for each </w:t>
      </w:r>
      <w:r w:rsidRPr="00417158">
        <w:rPr>
          <w:rFonts w:ascii="Calibri" w:hAnsi="Calibri" w:cs="Calibri"/>
          <w:color w:val="000000" w:themeColor="text1"/>
          <w:sz w:val="22"/>
          <w:szCs w:val="22"/>
        </w:rPr>
        <w:lastRenderedPageBreak/>
        <w:t>ancestry group (see Methods for more details). We found that the variant at the TLR1 locus was significantly associated with alpha diversity (</w:t>
      </w:r>
      <w:r w:rsidRPr="00417158">
        <w:rPr>
          <w:rFonts w:ascii="Calibri" w:hAnsi="Calibri" w:cs="Calibri"/>
          <w:i/>
          <w:iCs/>
          <w:color w:val="000000" w:themeColor="text1"/>
          <w:sz w:val="22"/>
          <w:szCs w:val="22"/>
        </w:rPr>
        <w:t>p</w:t>
      </w:r>
      <w:r w:rsidRPr="00417158">
        <w:rPr>
          <w:rFonts w:ascii="Calibri" w:hAnsi="Calibri" w:cs="Calibri"/>
          <w:color w:val="000000" w:themeColor="text1"/>
          <w:sz w:val="22"/>
          <w:szCs w:val="22"/>
        </w:rPr>
        <w:t xml:space="preserve"> </w:t>
      </w:r>
      <w:r w:rsidRPr="00417158">
        <w:rPr>
          <w:rFonts w:ascii="Symbol" w:eastAsia="Symbol" w:hAnsi="Symbol" w:cs="Symbol"/>
          <w:color w:val="000000" w:themeColor="text1"/>
          <w:sz w:val="22"/>
          <w:szCs w:val="22"/>
        </w:rPr>
        <w:t>£</w:t>
      </w:r>
      <w:r w:rsidRPr="00417158">
        <w:rPr>
          <w:rFonts w:ascii="Calibri" w:hAnsi="Calibri" w:cs="Calibri"/>
          <w:color w:val="000000" w:themeColor="text1"/>
          <w:sz w:val="22"/>
          <w:szCs w:val="22"/>
        </w:rPr>
        <w:t xml:space="preserve"> 0.05 in ANOVA tests) in the European/White participants, while the variant at the PPP1R3C/HECTD2 locus was significantly associated with beta diversity (</w:t>
      </w:r>
      <w:r w:rsidRPr="00417158">
        <w:rPr>
          <w:rFonts w:ascii="Calibri" w:hAnsi="Calibri" w:cs="Calibri"/>
          <w:i/>
          <w:iCs/>
          <w:color w:val="000000" w:themeColor="text1"/>
          <w:sz w:val="22"/>
          <w:szCs w:val="22"/>
        </w:rPr>
        <w:t>p</w:t>
      </w:r>
      <w:r w:rsidRPr="00417158">
        <w:rPr>
          <w:rFonts w:ascii="Calibri" w:hAnsi="Calibri" w:cs="Calibri"/>
          <w:color w:val="000000" w:themeColor="text1"/>
          <w:sz w:val="22"/>
          <w:szCs w:val="22"/>
        </w:rPr>
        <w:t xml:space="preserve"> </w:t>
      </w:r>
      <w:r w:rsidRPr="00417158">
        <w:rPr>
          <w:rFonts w:ascii="Symbol" w:eastAsia="Symbol" w:hAnsi="Symbol" w:cs="Symbol"/>
          <w:color w:val="000000" w:themeColor="text1"/>
          <w:sz w:val="22"/>
          <w:szCs w:val="22"/>
        </w:rPr>
        <w:t>£</w:t>
      </w:r>
      <w:r w:rsidRPr="00417158">
        <w:rPr>
          <w:rFonts w:ascii="Calibri" w:hAnsi="Calibri" w:cs="Calibri"/>
          <w:color w:val="000000" w:themeColor="text1"/>
          <w:sz w:val="22"/>
          <w:szCs w:val="22"/>
        </w:rPr>
        <w:t xml:space="preserve"> 0.05 in PERMANOVA tests) in South Asian participants; the effect sizes were small for both (Fig. S11). Furthermore, only two genera were significantly associated with variants at any of these loci – unclassified Bacilli was positively associated with the PITX1 locus in European/White participants and </w:t>
      </w:r>
      <w:proofErr w:type="spellStart"/>
      <w:r w:rsidRPr="00417158">
        <w:rPr>
          <w:rFonts w:ascii="Calibri" w:hAnsi="Calibri" w:cs="Calibri"/>
          <w:i/>
          <w:iCs/>
          <w:color w:val="000000" w:themeColor="text1"/>
          <w:sz w:val="22"/>
          <w:szCs w:val="22"/>
        </w:rPr>
        <w:t>Sneathia</w:t>
      </w:r>
      <w:proofErr w:type="spellEnd"/>
      <w:r w:rsidRPr="00417158">
        <w:rPr>
          <w:rFonts w:ascii="Calibri" w:hAnsi="Calibri" w:cs="Calibri"/>
          <w:color w:val="000000" w:themeColor="text1"/>
          <w:sz w:val="22"/>
          <w:szCs w:val="22"/>
        </w:rPr>
        <w:t xml:space="preserve"> was negatively associated with the FUT2 locus in South Asian participants (Fig. S11 and Tables S</w:t>
      </w:r>
      <w:r w:rsidR="00EC7242" w:rsidRPr="00417158">
        <w:rPr>
          <w:rFonts w:ascii="Calibri" w:hAnsi="Calibri" w:cs="Calibri"/>
          <w:color w:val="000000" w:themeColor="text1"/>
          <w:sz w:val="22"/>
          <w:szCs w:val="22"/>
        </w:rPr>
        <w:t>4</w:t>
      </w:r>
      <w:r w:rsidRPr="00417158">
        <w:rPr>
          <w:rFonts w:ascii="Calibri" w:hAnsi="Calibri" w:cs="Calibri"/>
          <w:color w:val="000000" w:themeColor="text1"/>
          <w:sz w:val="22"/>
          <w:szCs w:val="22"/>
        </w:rPr>
        <w:t xml:space="preserve"> and S7).</w:t>
      </w:r>
    </w:p>
    <w:p w14:paraId="1DC5B206" w14:textId="41E55B9C" w:rsidR="00601723" w:rsidRPr="00417158" w:rsidRDefault="00601723" w:rsidP="00601723">
      <w:pPr>
        <w:rPr>
          <w:rFonts w:ascii="Calibri" w:hAnsi="Calibri" w:cs="Calibri"/>
          <w:color w:val="000000" w:themeColor="text1"/>
          <w:sz w:val="22"/>
          <w:szCs w:val="22"/>
        </w:rPr>
      </w:pPr>
      <w:r w:rsidRPr="00417158">
        <w:rPr>
          <w:rFonts w:ascii="Calibri" w:hAnsi="Calibri" w:cs="Calibri"/>
          <w:b/>
          <w:bCs/>
          <w:i/>
          <w:iCs/>
          <w:color w:val="000000" w:themeColor="text1"/>
          <w:sz w:val="22"/>
          <w:szCs w:val="22"/>
        </w:rPr>
        <w:t>Neighbourhood-level measures of marginalisation and environmental characteristics have little association with the saliva bacteriome in children and adolescents</w:t>
      </w:r>
      <w:r w:rsidRPr="00417158">
        <w:rPr>
          <w:color w:val="000000" w:themeColor="text1"/>
        </w:rPr>
        <w:br/>
      </w:r>
      <w:r w:rsidRPr="00417158">
        <w:rPr>
          <w:rFonts w:ascii="Calibri" w:hAnsi="Calibri" w:cs="Calibri"/>
          <w:color w:val="000000" w:themeColor="text1"/>
          <w:sz w:val="22"/>
          <w:szCs w:val="22"/>
        </w:rPr>
        <w:t>We investigated marginalisation at the neighbourhood-level (census dissemination area) and environmental variables assigned from Postal Code points within the 4,178 participants with this information (social and material deprivation, whether participants lived in the GTA, index of rurality, greenspace, and PM</w:t>
      </w:r>
      <w:r w:rsidRPr="00417158">
        <w:rPr>
          <w:rFonts w:ascii="Calibri" w:hAnsi="Calibri" w:cs="Calibri"/>
          <w:color w:val="000000" w:themeColor="text1"/>
          <w:sz w:val="22"/>
          <w:szCs w:val="22"/>
          <w:vertAlign w:val="subscript"/>
        </w:rPr>
        <w:t>2.5</w:t>
      </w:r>
      <w:r w:rsidRPr="00417158">
        <w:rPr>
          <w:rFonts w:ascii="Calibri" w:hAnsi="Calibri" w:cs="Calibri"/>
          <w:color w:val="000000" w:themeColor="text1"/>
          <w:sz w:val="22"/>
          <w:szCs w:val="22"/>
        </w:rPr>
        <w:t xml:space="preserve">; Table S1) and found that most beta diversity associations had small effect sizes and were predominantly significant (PERMANOVA </w:t>
      </w:r>
      <w:r w:rsidRPr="00417158">
        <w:rPr>
          <w:rFonts w:ascii="Calibri" w:hAnsi="Calibri" w:cs="Calibri"/>
          <w:i/>
          <w:iCs/>
          <w:color w:val="000000" w:themeColor="text1"/>
          <w:sz w:val="22"/>
          <w:szCs w:val="22"/>
        </w:rPr>
        <w:t>p</w:t>
      </w:r>
      <w:r w:rsidRPr="00417158">
        <w:rPr>
          <w:rFonts w:ascii="Calibri" w:hAnsi="Calibri" w:cs="Calibri"/>
          <w:color w:val="000000" w:themeColor="text1"/>
          <w:sz w:val="22"/>
          <w:szCs w:val="22"/>
        </w:rPr>
        <w:t xml:space="preserve"> </w:t>
      </w:r>
      <w:r w:rsidRPr="00417158">
        <w:rPr>
          <w:rFonts w:ascii="Symbol" w:eastAsia="Symbol" w:hAnsi="Symbol" w:cs="Symbol"/>
          <w:color w:val="000000" w:themeColor="text1"/>
          <w:sz w:val="22"/>
          <w:szCs w:val="22"/>
        </w:rPr>
        <w:t>£</w:t>
      </w:r>
      <w:r w:rsidRPr="00417158">
        <w:rPr>
          <w:rFonts w:ascii="Calibri" w:hAnsi="Calibri" w:cs="Calibri"/>
          <w:color w:val="000000" w:themeColor="text1"/>
          <w:sz w:val="22"/>
          <w:szCs w:val="22"/>
        </w:rPr>
        <w:t xml:space="preserve"> 0.05) in univariate models only (Figs. 1 and S12 and Table S</w:t>
      </w:r>
      <w:r w:rsidR="00A11C5E" w:rsidRPr="00417158">
        <w:rPr>
          <w:rFonts w:ascii="Calibri" w:hAnsi="Calibri" w:cs="Calibri"/>
          <w:color w:val="000000" w:themeColor="text1"/>
          <w:sz w:val="22"/>
          <w:szCs w:val="22"/>
        </w:rPr>
        <w:t>6</w:t>
      </w:r>
      <w:r w:rsidRPr="00417158">
        <w:rPr>
          <w:rFonts w:ascii="Calibri" w:hAnsi="Calibri" w:cs="Calibri"/>
          <w:color w:val="000000" w:themeColor="text1"/>
          <w:sz w:val="22"/>
          <w:szCs w:val="22"/>
        </w:rPr>
        <w:t>). In multivariate models, only greenspace and the index of rurality were significant, and these contributed to only a small amount of variation between participants (R</w:t>
      </w:r>
      <w:r w:rsidRPr="00417158">
        <w:rPr>
          <w:rFonts w:ascii="Calibri" w:hAnsi="Calibri" w:cs="Calibri"/>
          <w:color w:val="000000" w:themeColor="text1"/>
          <w:sz w:val="22"/>
          <w:szCs w:val="22"/>
          <w:vertAlign w:val="superscript"/>
        </w:rPr>
        <w:t>2</w:t>
      </w:r>
      <w:r w:rsidRPr="00417158">
        <w:rPr>
          <w:rFonts w:ascii="Calibri" w:hAnsi="Calibri" w:cs="Calibri"/>
          <w:color w:val="000000" w:themeColor="text1"/>
          <w:sz w:val="22"/>
          <w:szCs w:val="22"/>
        </w:rPr>
        <w:t xml:space="preserve"> = 0.0007 and R</w:t>
      </w:r>
      <w:r w:rsidRPr="00417158">
        <w:rPr>
          <w:rFonts w:ascii="Calibri" w:hAnsi="Calibri" w:cs="Calibri"/>
          <w:color w:val="000000" w:themeColor="text1"/>
          <w:sz w:val="22"/>
          <w:szCs w:val="22"/>
          <w:vertAlign w:val="superscript"/>
        </w:rPr>
        <w:t>2</w:t>
      </w:r>
      <w:r w:rsidRPr="00417158">
        <w:rPr>
          <w:rFonts w:ascii="Calibri" w:hAnsi="Calibri" w:cs="Calibri"/>
          <w:color w:val="000000" w:themeColor="text1"/>
          <w:sz w:val="22"/>
          <w:szCs w:val="22"/>
        </w:rPr>
        <w:t xml:space="preserve"> = 0.0001, respectively; Fig. 1, Fig. S1</w:t>
      </w:r>
      <w:r w:rsidR="00C228E6" w:rsidRPr="00417158">
        <w:rPr>
          <w:rFonts w:ascii="Calibri" w:hAnsi="Calibri" w:cs="Calibri"/>
          <w:color w:val="000000" w:themeColor="text1"/>
          <w:sz w:val="22"/>
          <w:szCs w:val="22"/>
        </w:rPr>
        <w:t>4</w:t>
      </w:r>
      <w:r w:rsidRPr="00417158">
        <w:rPr>
          <w:rFonts w:ascii="Calibri" w:hAnsi="Calibri" w:cs="Calibri"/>
          <w:color w:val="000000" w:themeColor="text1"/>
          <w:sz w:val="22"/>
          <w:szCs w:val="22"/>
        </w:rPr>
        <w:t xml:space="preserve"> and Table S</w:t>
      </w:r>
      <w:r w:rsidR="00A11C5E" w:rsidRPr="00417158">
        <w:rPr>
          <w:rFonts w:ascii="Calibri" w:hAnsi="Calibri" w:cs="Calibri"/>
          <w:color w:val="000000" w:themeColor="text1"/>
          <w:sz w:val="22"/>
          <w:szCs w:val="22"/>
        </w:rPr>
        <w:t>6</w:t>
      </w:r>
      <w:r w:rsidRPr="00417158">
        <w:rPr>
          <w:rFonts w:ascii="Calibri" w:hAnsi="Calibri" w:cs="Calibri"/>
          <w:color w:val="000000" w:themeColor="text1"/>
          <w:sz w:val="22"/>
          <w:szCs w:val="22"/>
        </w:rPr>
        <w:t xml:space="preserve">). In alpha diversity analyses we again see that many of the significant associations are with univariate models only, however, the index of rurality, residing in the GTA, and greenspace were all significantly (ANOVA </w:t>
      </w:r>
      <w:r w:rsidRPr="00417158">
        <w:rPr>
          <w:rFonts w:ascii="Calibri" w:hAnsi="Calibri" w:cs="Calibri"/>
          <w:i/>
          <w:iCs/>
          <w:color w:val="000000" w:themeColor="text1"/>
          <w:sz w:val="22"/>
          <w:szCs w:val="22"/>
        </w:rPr>
        <w:t>p</w:t>
      </w:r>
      <w:r w:rsidRPr="00417158">
        <w:rPr>
          <w:rFonts w:ascii="Calibri" w:hAnsi="Calibri" w:cs="Calibri"/>
          <w:color w:val="000000" w:themeColor="text1"/>
          <w:sz w:val="22"/>
          <w:szCs w:val="22"/>
        </w:rPr>
        <w:t xml:space="preserve"> </w:t>
      </w:r>
      <w:r w:rsidRPr="00417158">
        <w:rPr>
          <w:rFonts w:ascii="Symbol" w:eastAsia="Symbol" w:hAnsi="Symbol" w:cs="Symbol"/>
          <w:color w:val="000000" w:themeColor="text1"/>
          <w:sz w:val="22"/>
          <w:szCs w:val="22"/>
        </w:rPr>
        <w:t>£</w:t>
      </w:r>
      <w:r w:rsidRPr="00417158">
        <w:rPr>
          <w:rFonts w:ascii="Calibri" w:hAnsi="Calibri" w:cs="Calibri"/>
          <w:color w:val="000000" w:themeColor="text1"/>
          <w:sz w:val="22"/>
          <w:szCs w:val="22"/>
        </w:rPr>
        <w:t xml:space="preserve"> 0.05) associated with richness and the combined diversity metrics, but not evenness; the index of rurality and greenspace were both negatively associated with these alpha diversity metrics, while residing in the GTA was positively associated with them (Fig. S1</w:t>
      </w:r>
      <w:r w:rsidR="00C228E6" w:rsidRPr="00417158">
        <w:rPr>
          <w:rFonts w:ascii="Calibri" w:hAnsi="Calibri" w:cs="Calibri"/>
          <w:color w:val="000000" w:themeColor="text1"/>
          <w:sz w:val="22"/>
          <w:szCs w:val="22"/>
        </w:rPr>
        <w:t>4</w:t>
      </w:r>
      <w:r w:rsidRPr="00417158">
        <w:rPr>
          <w:rFonts w:ascii="Calibri" w:hAnsi="Calibri" w:cs="Calibri"/>
          <w:color w:val="000000" w:themeColor="text1"/>
          <w:sz w:val="22"/>
          <w:szCs w:val="22"/>
        </w:rPr>
        <w:t xml:space="preserve"> and Table S</w:t>
      </w:r>
      <w:r w:rsidR="00A11C5E" w:rsidRPr="00417158">
        <w:rPr>
          <w:rFonts w:ascii="Calibri" w:hAnsi="Calibri" w:cs="Calibri"/>
          <w:color w:val="000000" w:themeColor="text1"/>
          <w:sz w:val="22"/>
          <w:szCs w:val="22"/>
        </w:rPr>
        <w:t>5</w:t>
      </w:r>
      <w:r w:rsidRPr="00417158">
        <w:rPr>
          <w:rFonts w:ascii="Calibri" w:hAnsi="Calibri" w:cs="Calibri"/>
          <w:color w:val="000000" w:themeColor="text1"/>
          <w:sz w:val="22"/>
          <w:szCs w:val="22"/>
        </w:rPr>
        <w:t>). Differential abundance testing identified nine genera as significantly DA (</w:t>
      </w:r>
      <w:r w:rsidRPr="00417158">
        <w:rPr>
          <w:rFonts w:ascii="Calibri" w:hAnsi="Calibri" w:cs="Calibri"/>
          <w:i/>
          <w:iCs/>
          <w:color w:val="000000" w:themeColor="text1"/>
          <w:sz w:val="22"/>
          <w:szCs w:val="22"/>
        </w:rPr>
        <w:t>q</w:t>
      </w:r>
      <w:r w:rsidRPr="00417158">
        <w:rPr>
          <w:rFonts w:ascii="Calibri" w:hAnsi="Calibri" w:cs="Calibri"/>
          <w:color w:val="000000" w:themeColor="text1"/>
          <w:sz w:val="22"/>
          <w:szCs w:val="22"/>
        </w:rPr>
        <w:t xml:space="preserve"> </w:t>
      </w:r>
      <w:r w:rsidRPr="00417158">
        <w:rPr>
          <w:rFonts w:ascii="Symbol" w:eastAsia="Symbol" w:hAnsi="Symbol" w:cs="Symbol"/>
          <w:color w:val="000000" w:themeColor="text1"/>
          <w:sz w:val="22"/>
          <w:szCs w:val="22"/>
        </w:rPr>
        <w:t>£</w:t>
      </w:r>
      <w:r w:rsidRPr="00417158">
        <w:rPr>
          <w:rFonts w:ascii="Calibri" w:hAnsi="Calibri" w:cs="Calibri"/>
          <w:color w:val="000000" w:themeColor="text1"/>
          <w:sz w:val="22"/>
          <w:szCs w:val="22"/>
        </w:rPr>
        <w:t xml:space="preserve"> 0.1) with one or more variables, but most associations were small (Table S</w:t>
      </w:r>
      <w:r w:rsidR="00A11C5E" w:rsidRPr="00417158">
        <w:rPr>
          <w:rFonts w:ascii="Calibri" w:hAnsi="Calibri" w:cs="Calibri"/>
          <w:color w:val="000000" w:themeColor="text1"/>
          <w:sz w:val="22"/>
          <w:szCs w:val="22"/>
        </w:rPr>
        <w:t>8</w:t>
      </w:r>
      <w:r w:rsidRPr="00417158">
        <w:rPr>
          <w:rFonts w:ascii="Calibri" w:hAnsi="Calibri" w:cs="Calibri"/>
          <w:color w:val="000000" w:themeColor="text1"/>
          <w:sz w:val="22"/>
          <w:szCs w:val="22"/>
        </w:rPr>
        <w:t xml:space="preserve">). The strongest significant associations were for </w:t>
      </w:r>
      <w:r w:rsidRPr="00417158">
        <w:rPr>
          <w:rFonts w:ascii="Calibri" w:hAnsi="Calibri" w:cs="Calibri"/>
          <w:i/>
          <w:iCs/>
          <w:color w:val="000000" w:themeColor="text1"/>
          <w:sz w:val="22"/>
          <w:szCs w:val="22"/>
        </w:rPr>
        <w:t>Lactococcus</w:t>
      </w:r>
      <w:r w:rsidRPr="00417158">
        <w:rPr>
          <w:rFonts w:ascii="Calibri" w:hAnsi="Calibri" w:cs="Calibri"/>
          <w:color w:val="000000" w:themeColor="text1"/>
          <w:sz w:val="22"/>
          <w:szCs w:val="22"/>
        </w:rPr>
        <w:t>, which was positively associated with residence in the GTA (or negatively associated with the index of rurality), and Bacteroidetes [G-3], which was positively associated with PM</w:t>
      </w:r>
      <w:r w:rsidRPr="00417158">
        <w:rPr>
          <w:rFonts w:ascii="Calibri" w:hAnsi="Calibri" w:cs="Calibri"/>
          <w:color w:val="000000" w:themeColor="text1"/>
          <w:sz w:val="22"/>
          <w:szCs w:val="22"/>
          <w:vertAlign w:val="subscript"/>
        </w:rPr>
        <w:t>2.5</w:t>
      </w:r>
      <w:r w:rsidRPr="00417158">
        <w:rPr>
          <w:rFonts w:ascii="Calibri" w:hAnsi="Calibri" w:cs="Calibri"/>
          <w:color w:val="000000" w:themeColor="text1"/>
          <w:sz w:val="22"/>
          <w:szCs w:val="22"/>
        </w:rPr>
        <w:t>.</w:t>
      </w:r>
    </w:p>
    <w:p w14:paraId="2B357E24" w14:textId="2C8D1543" w:rsidR="00361669" w:rsidRPr="00417158" w:rsidRDefault="002C0A92">
      <w:pPr>
        <w:rPr>
          <w:rFonts w:ascii="Calibri" w:hAnsi="Calibri" w:cs="Calibri"/>
          <w:sz w:val="22"/>
          <w:szCs w:val="22"/>
        </w:rPr>
      </w:pPr>
      <w:r w:rsidRPr="00417158">
        <w:rPr>
          <w:rFonts w:ascii="Calibri" w:hAnsi="Calibri" w:cs="Calibri"/>
          <w:sz w:val="22"/>
          <w:szCs w:val="22"/>
        </w:rPr>
        <w:t>We also had</w:t>
      </w:r>
      <w:r w:rsidRPr="00417158">
        <w:rPr>
          <w:rFonts w:ascii="Calibri" w:hAnsi="Calibri" w:cs="Calibri"/>
          <w:b/>
          <w:bCs/>
          <w:i/>
          <w:iCs/>
          <w:sz w:val="22"/>
          <w:szCs w:val="22"/>
        </w:rPr>
        <w:t xml:space="preserve"> </w:t>
      </w:r>
      <w:r w:rsidR="00361669" w:rsidRPr="00417158">
        <w:rPr>
          <w:rFonts w:ascii="Calibri" w:hAnsi="Calibri" w:cs="Calibri"/>
          <w:sz w:val="22"/>
          <w:szCs w:val="22"/>
        </w:rPr>
        <w:t xml:space="preserve">Ontario marginalisation indices (ON-Marg) for household and dwellings, material resources, age and labour force, and racialized and newcomer populations </w:t>
      </w:r>
      <w:r w:rsidRPr="00417158">
        <w:rPr>
          <w:rFonts w:ascii="Calibri" w:hAnsi="Calibri" w:cs="Calibri"/>
          <w:sz w:val="22"/>
          <w:szCs w:val="22"/>
        </w:rPr>
        <w:t xml:space="preserve">for </w:t>
      </w:r>
      <w:r w:rsidR="00361669" w:rsidRPr="00417158">
        <w:rPr>
          <w:rFonts w:ascii="Calibri" w:hAnsi="Calibri" w:cs="Calibri"/>
          <w:sz w:val="22"/>
          <w:szCs w:val="22"/>
        </w:rPr>
        <w:t>3,805</w:t>
      </w:r>
      <w:r w:rsidRPr="00417158">
        <w:rPr>
          <w:rFonts w:ascii="Calibri" w:hAnsi="Calibri" w:cs="Calibri"/>
          <w:sz w:val="22"/>
          <w:szCs w:val="22"/>
        </w:rPr>
        <w:t xml:space="preserve"> Spit for Science oral microbiome participants</w:t>
      </w:r>
      <w:r w:rsidR="00361669" w:rsidRPr="00417158">
        <w:rPr>
          <w:rFonts w:ascii="Calibri" w:hAnsi="Calibri" w:cs="Calibri"/>
          <w:sz w:val="22"/>
          <w:szCs w:val="22"/>
        </w:rPr>
        <w:t>. The ON-Marg indices are calculated based on seven, six, three, or two census variables, respectively, where higher values indicate higher levels of marginalisation. Median values within our cohort are -0.41, -0.41, -0.42, and 0.23, respectively, indicating low levels of marginalisation.</w:t>
      </w:r>
      <w:r w:rsidR="00BA6CC3" w:rsidRPr="00417158">
        <w:rPr>
          <w:rFonts w:ascii="Calibri" w:hAnsi="Calibri" w:cs="Calibri"/>
          <w:sz w:val="22"/>
          <w:szCs w:val="22"/>
        </w:rPr>
        <w:t xml:space="preserve"> </w:t>
      </w:r>
    </w:p>
    <w:p w14:paraId="16D30B38" w14:textId="75C02B99" w:rsidR="00BA6CC3" w:rsidRPr="00417158" w:rsidRDefault="00BA6CC3">
      <w:pPr>
        <w:rPr>
          <w:rFonts w:ascii="Calibri" w:hAnsi="Calibri" w:cs="Calibri"/>
          <w:sz w:val="22"/>
          <w:szCs w:val="22"/>
        </w:rPr>
      </w:pPr>
      <w:r w:rsidRPr="00417158">
        <w:rPr>
          <w:rFonts w:ascii="Calibri" w:hAnsi="Calibri" w:cs="Calibri"/>
          <w:sz w:val="22"/>
          <w:szCs w:val="22"/>
        </w:rPr>
        <w:t>For a smaller subset of participants (</w:t>
      </w:r>
      <w:r w:rsidRPr="00417158">
        <w:rPr>
          <w:rFonts w:ascii="Calibri" w:hAnsi="Calibri" w:cs="Calibri"/>
          <w:i/>
          <w:iCs/>
          <w:sz w:val="22"/>
          <w:szCs w:val="22"/>
        </w:rPr>
        <w:t>n</w:t>
      </w:r>
      <w:r w:rsidRPr="00417158">
        <w:rPr>
          <w:rFonts w:ascii="Calibri" w:hAnsi="Calibri" w:cs="Calibri"/>
          <w:sz w:val="22"/>
          <w:szCs w:val="22"/>
        </w:rPr>
        <w:t xml:space="preserve">=2,571) we also had these variables for where the participants currently went to school and where they resided in-utero (Table S1); patterns were very similar to those observed for variables based on where participants currently live, and the strongest associations were again with </w:t>
      </w:r>
      <w:r w:rsidRPr="00417158">
        <w:rPr>
          <w:rFonts w:ascii="Calibri" w:hAnsi="Calibri" w:cs="Calibri"/>
          <w:i/>
          <w:iCs/>
          <w:sz w:val="22"/>
          <w:szCs w:val="22"/>
        </w:rPr>
        <w:t>Lactococcus</w:t>
      </w:r>
      <w:r w:rsidRPr="00417158">
        <w:rPr>
          <w:rFonts w:ascii="Calibri" w:hAnsi="Calibri" w:cs="Calibri"/>
          <w:sz w:val="22"/>
          <w:szCs w:val="22"/>
        </w:rPr>
        <w:t xml:space="preserve"> (current and school GTA/index of rurality) and Bacteroidetes [G-3] (current and in-utero PM</w:t>
      </w:r>
      <w:r w:rsidRPr="00417158">
        <w:rPr>
          <w:rFonts w:ascii="Calibri" w:hAnsi="Calibri" w:cs="Calibri"/>
          <w:sz w:val="22"/>
          <w:szCs w:val="22"/>
          <w:vertAlign w:val="subscript"/>
        </w:rPr>
        <w:t>2.5</w:t>
      </w:r>
      <w:r w:rsidRPr="00417158">
        <w:rPr>
          <w:rFonts w:ascii="Calibri" w:hAnsi="Calibri" w:cs="Calibri"/>
          <w:sz w:val="22"/>
          <w:szCs w:val="22"/>
        </w:rPr>
        <w:t xml:space="preserve">) in addition to </w:t>
      </w:r>
      <w:r w:rsidRPr="00417158">
        <w:rPr>
          <w:rFonts w:ascii="Calibri" w:hAnsi="Calibri" w:cs="Calibri"/>
          <w:i/>
          <w:iCs/>
          <w:sz w:val="22"/>
          <w:szCs w:val="22"/>
        </w:rPr>
        <w:t>Bifidobacterium</w:t>
      </w:r>
      <w:r w:rsidRPr="00417158">
        <w:rPr>
          <w:rFonts w:ascii="Calibri" w:hAnsi="Calibri" w:cs="Calibri"/>
          <w:sz w:val="22"/>
          <w:szCs w:val="22"/>
        </w:rPr>
        <w:t xml:space="preserve"> (negatively associated with in-utero material deprivation index) and </w:t>
      </w:r>
      <w:proofErr w:type="spellStart"/>
      <w:r w:rsidRPr="00417158">
        <w:rPr>
          <w:rFonts w:ascii="Calibri" w:hAnsi="Calibri" w:cs="Calibri"/>
          <w:sz w:val="22"/>
          <w:szCs w:val="22"/>
        </w:rPr>
        <w:t>Pasturellaceae</w:t>
      </w:r>
      <w:proofErr w:type="spellEnd"/>
      <w:r w:rsidRPr="00417158">
        <w:rPr>
          <w:rFonts w:ascii="Calibri" w:hAnsi="Calibri" w:cs="Calibri"/>
          <w:sz w:val="22"/>
          <w:szCs w:val="22"/>
        </w:rPr>
        <w:t xml:space="preserve"> (negatively associated with school greenspace; Fig. S1</w:t>
      </w:r>
      <w:r w:rsidR="00C228E6" w:rsidRPr="00417158">
        <w:rPr>
          <w:rFonts w:ascii="Calibri" w:hAnsi="Calibri" w:cs="Calibri"/>
          <w:sz w:val="22"/>
          <w:szCs w:val="22"/>
        </w:rPr>
        <w:t>5</w:t>
      </w:r>
      <w:r w:rsidRPr="00417158">
        <w:rPr>
          <w:rFonts w:ascii="Calibri" w:hAnsi="Calibri" w:cs="Calibri"/>
          <w:sz w:val="22"/>
          <w:szCs w:val="22"/>
        </w:rPr>
        <w:t xml:space="preserve"> and Tables S</w:t>
      </w:r>
      <w:r w:rsidR="000B2B46" w:rsidRPr="00417158">
        <w:rPr>
          <w:rFonts w:ascii="Calibri" w:hAnsi="Calibri" w:cs="Calibri"/>
          <w:sz w:val="22"/>
          <w:szCs w:val="22"/>
        </w:rPr>
        <w:t>5</w:t>
      </w:r>
      <w:r w:rsidRPr="00417158">
        <w:rPr>
          <w:rFonts w:ascii="Calibri" w:hAnsi="Calibri" w:cs="Calibri"/>
          <w:sz w:val="22"/>
          <w:szCs w:val="22"/>
        </w:rPr>
        <w:t>, S</w:t>
      </w:r>
      <w:r w:rsidR="000B2B46" w:rsidRPr="00417158">
        <w:rPr>
          <w:rFonts w:ascii="Calibri" w:hAnsi="Calibri" w:cs="Calibri"/>
          <w:sz w:val="22"/>
          <w:szCs w:val="22"/>
        </w:rPr>
        <w:t>6</w:t>
      </w:r>
      <w:r w:rsidRPr="00417158">
        <w:rPr>
          <w:rFonts w:ascii="Calibri" w:hAnsi="Calibri" w:cs="Calibri"/>
          <w:sz w:val="22"/>
          <w:szCs w:val="22"/>
        </w:rPr>
        <w:t xml:space="preserve"> and S</w:t>
      </w:r>
      <w:r w:rsidR="000B2B46" w:rsidRPr="00417158">
        <w:rPr>
          <w:rFonts w:ascii="Calibri" w:hAnsi="Calibri" w:cs="Calibri"/>
          <w:sz w:val="22"/>
          <w:szCs w:val="22"/>
        </w:rPr>
        <w:t>8</w:t>
      </w:r>
      <w:r w:rsidRPr="00417158">
        <w:rPr>
          <w:rFonts w:ascii="Calibri" w:hAnsi="Calibri" w:cs="Calibri"/>
          <w:sz w:val="22"/>
          <w:szCs w:val="22"/>
        </w:rPr>
        <w:t>). We also investigated the Ontario Marginalisation Index variables (ON-Marg household &amp; dwellings, ON-Marg material resources, ON-Marg age &amp; labour, and ON-Marg racialised &amp; newcomer populations) instead of the material and social deprivation indices in the participants these were available for (</w:t>
      </w:r>
      <w:r w:rsidRPr="00417158">
        <w:rPr>
          <w:rFonts w:ascii="Calibri" w:hAnsi="Calibri" w:cs="Calibri"/>
          <w:i/>
          <w:iCs/>
          <w:sz w:val="22"/>
          <w:szCs w:val="22"/>
        </w:rPr>
        <w:t>n</w:t>
      </w:r>
      <w:r w:rsidRPr="00417158">
        <w:rPr>
          <w:rFonts w:ascii="Calibri" w:hAnsi="Calibri" w:cs="Calibri"/>
          <w:sz w:val="22"/>
          <w:szCs w:val="22"/>
        </w:rPr>
        <w:t xml:space="preserve">=3,776) and found that none were </w:t>
      </w:r>
      <w:r w:rsidRPr="00417158">
        <w:rPr>
          <w:rFonts w:ascii="Calibri" w:hAnsi="Calibri" w:cs="Calibri"/>
          <w:sz w:val="22"/>
          <w:szCs w:val="22"/>
        </w:rPr>
        <w:lastRenderedPageBreak/>
        <w:t xml:space="preserve">significantly associated with alpha or beta diversity in multivariate models, although significant positive associations between </w:t>
      </w:r>
      <w:r w:rsidRPr="00417158">
        <w:rPr>
          <w:rFonts w:ascii="Calibri" w:hAnsi="Calibri" w:cs="Calibri"/>
          <w:i/>
          <w:iCs/>
          <w:sz w:val="22"/>
          <w:szCs w:val="22"/>
        </w:rPr>
        <w:t>Pseudomonas</w:t>
      </w:r>
      <w:r w:rsidRPr="00417158">
        <w:rPr>
          <w:rFonts w:ascii="Calibri" w:hAnsi="Calibri" w:cs="Calibri"/>
          <w:sz w:val="22"/>
          <w:szCs w:val="22"/>
        </w:rPr>
        <w:t xml:space="preserve"> and the ON-Marg age &amp; labour and </w:t>
      </w:r>
      <w:proofErr w:type="spellStart"/>
      <w:r w:rsidRPr="00417158">
        <w:rPr>
          <w:rFonts w:ascii="Calibri" w:hAnsi="Calibri" w:cs="Calibri"/>
          <w:i/>
          <w:iCs/>
          <w:sz w:val="22"/>
          <w:szCs w:val="22"/>
        </w:rPr>
        <w:t>Lacticaseibacillus</w:t>
      </w:r>
      <w:proofErr w:type="spellEnd"/>
      <w:r w:rsidRPr="00417158">
        <w:rPr>
          <w:rFonts w:ascii="Calibri" w:hAnsi="Calibri" w:cs="Calibri"/>
          <w:sz w:val="22"/>
          <w:szCs w:val="22"/>
        </w:rPr>
        <w:t xml:space="preserve"> and ON-Marg material resources and a negative association between </w:t>
      </w:r>
      <w:proofErr w:type="spellStart"/>
      <w:r w:rsidRPr="00417158">
        <w:rPr>
          <w:rFonts w:ascii="Calibri" w:hAnsi="Calibri" w:cs="Calibri"/>
          <w:sz w:val="22"/>
          <w:szCs w:val="22"/>
        </w:rPr>
        <w:t>Clostridiales</w:t>
      </w:r>
      <w:proofErr w:type="spellEnd"/>
      <w:r w:rsidRPr="00417158">
        <w:rPr>
          <w:rFonts w:ascii="Calibri" w:hAnsi="Calibri" w:cs="Calibri"/>
          <w:sz w:val="22"/>
          <w:szCs w:val="22"/>
        </w:rPr>
        <w:t xml:space="preserve"> [F-1][G-1] and ON-Marg racialised &amp; newcomer populations were identified (Fig. S1</w:t>
      </w:r>
      <w:r w:rsidR="00C228E6" w:rsidRPr="00417158">
        <w:rPr>
          <w:rFonts w:ascii="Calibri" w:hAnsi="Calibri" w:cs="Calibri"/>
          <w:sz w:val="22"/>
          <w:szCs w:val="22"/>
        </w:rPr>
        <w:t>6</w:t>
      </w:r>
      <w:r w:rsidRPr="00417158">
        <w:rPr>
          <w:rFonts w:ascii="Calibri" w:hAnsi="Calibri" w:cs="Calibri"/>
          <w:sz w:val="22"/>
          <w:szCs w:val="22"/>
        </w:rPr>
        <w:t xml:space="preserve"> and Tables S</w:t>
      </w:r>
      <w:r w:rsidR="000B2B46" w:rsidRPr="00417158">
        <w:rPr>
          <w:rFonts w:ascii="Calibri" w:hAnsi="Calibri" w:cs="Calibri"/>
          <w:sz w:val="22"/>
          <w:szCs w:val="22"/>
        </w:rPr>
        <w:t>5</w:t>
      </w:r>
      <w:r w:rsidRPr="00417158">
        <w:rPr>
          <w:rFonts w:ascii="Calibri" w:hAnsi="Calibri" w:cs="Calibri"/>
          <w:sz w:val="22"/>
          <w:szCs w:val="22"/>
        </w:rPr>
        <w:t>, S</w:t>
      </w:r>
      <w:r w:rsidR="000B2B46" w:rsidRPr="00417158">
        <w:rPr>
          <w:rFonts w:ascii="Calibri" w:hAnsi="Calibri" w:cs="Calibri"/>
          <w:sz w:val="22"/>
          <w:szCs w:val="22"/>
        </w:rPr>
        <w:t>6</w:t>
      </w:r>
      <w:r w:rsidRPr="00417158">
        <w:rPr>
          <w:rFonts w:ascii="Calibri" w:hAnsi="Calibri" w:cs="Calibri"/>
          <w:sz w:val="22"/>
          <w:szCs w:val="22"/>
        </w:rPr>
        <w:t xml:space="preserve"> and S</w:t>
      </w:r>
      <w:r w:rsidR="000B2B46" w:rsidRPr="00417158">
        <w:rPr>
          <w:rFonts w:ascii="Calibri" w:hAnsi="Calibri" w:cs="Calibri"/>
          <w:sz w:val="22"/>
          <w:szCs w:val="22"/>
        </w:rPr>
        <w:t>8</w:t>
      </w:r>
      <w:r w:rsidRPr="00417158">
        <w:rPr>
          <w:rFonts w:ascii="Calibri" w:hAnsi="Calibri" w:cs="Calibri"/>
          <w:sz w:val="22"/>
          <w:szCs w:val="22"/>
        </w:rPr>
        <w:t xml:space="preserve">). </w:t>
      </w:r>
      <w:r w:rsidR="00E93F81" w:rsidRPr="00417158">
        <w:rPr>
          <w:rFonts w:ascii="Calibri" w:hAnsi="Calibri" w:cs="Calibri"/>
          <w:sz w:val="22"/>
          <w:szCs w:val="22"/>
        </w:rPr>
        <w:t>We next examined the individual-level information on household income, and whether participants had a second parent/caregiver. The median annual household income within these participants was $100,000-199,000, Table S1). We had information on whether participants had a second parent/caregiver for 2,061 participants, 87% of which (n=1,785) indicated that they did. Due to the smaller numbers of participants with this individual-level information (n=1,741-2,061), we only performed univariate statistical tests for alpha and beta diversity associations and did not include them in the analyses that included other metadata variables. Neither variable had a significant association with any of the alpha or beta diversity metrics tested (Tables S</w:t>
      </w:r>
      <w:r w:rsidR="000B2B46" w:rsidRPr="00417158">
        <w:rPr>
          <w:rFonts w:ascii="Calibri" w:hAnsi="Calibri" w:cs="Calibri"/>
          <w:sz w:val="22"/>
          <w:szCs w:val="22"/>
        </w:rPr>
        <w:t>5</w:t>
      </w:r>
      <w:r w:rsidR="00E93F81" w:rsidRPr="00417158">
        <w:rPr>
          <w:rFonts w:ascii="Calibri" w:hAnsi="Calibri" w:cs="Calibri"/>
          <w:sz w:val="22"/>
          <w:szCs w:val="22"/>
        </w:rPr>
        <w:t>, S</w:t>
      </w:r>
      <w:r w:rsidR="000B2B46" w:rsidRPr="00417158">
        <w:rPr>
          <w:rFonts w:ascii="Calibri" w:hAnsi="Calibri" w:cs="Calibri"/>
          <w:sz w:val="22"/>
          <w:szCs w:val="22"/>
        </w:rPr>
        <w:t>6</w:t>
      </w:r>
      <w:r w:rsidR="00E93F81" w:rsidRPr="00417158">
        <w:rPr>
          <w:rFonts w:ascii="Calibri" w:hAnsi="Calibri" w:cs="Calibri"/>
          <w:sz w:val="22"/>
          <w:szCs w:val="22"/>
        </w:rPr>
        <w:t xml:space="preserve"> and S</w:t>
      </w:r>
      <w:r w:rsidR="000B2B46" w:rsidRPr="00417158">
        <w:rPr>
          <w:rFonts w:ascii="Calibri" w:hAnsi="Calibri" w:cs="Calibri"/>
          <w:sz w:val="22"/>
          <w:szCs w:val="22"/>
        </w:rPr>
        <w:t>8</w:t>
      </w:r>
      <w:r w:rsidR="00E93F81" w:rsidRPr="00417158">
        <w:rPr>
          <w:rFonts w:ascii="Calibri" w:hAnsi="Calibri" w:cs="Calibri"/>
          <w:sz w:val="22"/>
          <w:szCs w:val="22"/>
        </w:rPr>
        <w:t>).</w:t>
      </w:r>
    </w:p>
    <w:p w14:paraId="5573B41A" w14:textId="33CA9AFE" w:rsidR="000E3428" w:rsidRPr="00417158" w:rsidRDefault="000E3428" w:rsidP="000E3428">
      <w:pPr>
        <w:rPr>
          <w:rFonts w:ascii="Calibri" w:hAnsi="Calibri" w:cs="Calibri"/>
          <w:sz w:val="22"/>
          <w:szCs w:val="22"/>
        </w:rPr>
      </w:pPr>
      <w:r w:rsidRPr="00417158">
        <w:rPr>
          <w:rFonts w:ascii="Calibri" w:hAnsi="Calibri" w:cs="Calibri"/>
          <w:b/>
          <w:bCs/>
          <w:i/>
          <w:iCs/>
          <w:sz w:val="22"/>
          <w:szCs w:val="22"/>
        </w:rPr>
        <w:t>Overview of diet in the Spit for Science microbiome cohort</w:t>
      </w:r>
      <w:r w:rsidRPr="00417158">
        <w:rPr>
          <w:rFonts w:ascii="Calibri" w:hAnsi="Calibri" w:cs="Calibri"/>
          <w:b/>
          <w:bCs/>
          <w:i/>
          <w:iCs/>
          <w:sz w:val="22"/>
          <w:szCs w:val="22"/>
        </w:rPr>
        <w:br/>
      </w:r>
      <w:r w:rsidRPr="00417158">
        <w:rPr>
          <w:rFonts w:ascii="Calibri" w:hAnsi="Calibri" w:cs="Calibri"/>
          <w:sz w:val="22"/>
          <w:szCs w:val="22"/>
        </w:rPr>
        <w:t>A subset of participants (</w:t>
      </w:r>
      <w:r w:rsidRPr="00417158">
        <w:rPr>
          <w:rFonts w:ascii="Calibri" w:hAnsi="Calibri" w:cs="Calibri"/>
          <w:i/>
          <w:iCs/>
          <w:sz w:val="22"/>
          <w:szCs w:val="22"/>
        </w:rPr>
        <w:t>n</w:t>
      </w:r>
      <w:r w:rsidRPr="00417158">
        <w:rPr>
          <w:rFonts w:ascii="Calibri" w:hAnsi="Calibri" w:cs="Calibri"/>
          <w:sz w:val="22"/>
          <w:szCs w:val="22"/>
        </w:rPr>
        <w:t>=2,978) also answered an additional questionnaire that included 23 questions, most of which (</w:t>
      </w:r>
      <w:r w:rsidRPr="00417158">
        <w:rPr>
          <w:rFonts w:ascii="Calibri" w:hAnsi="Calibri" w:cs="Calibri"/>
          <w:i/>
          <w:iCs/>
          <w:sz w:val="22"/>
          <w:szCs w:val="22"/>
        </w:rPr>
        <w:t>n</w:t>
      </w:r>
      <w:r w:rsidRPr="00417158">
        <w:rPr>
          <w:rFonts w:ascii="Calibri" w:hAnsi="Calibri" w:cs="Calibri"/>
          <w:sz w:val="22"/>
          <w:szCs w:val="22"/>
        </w:rPr>
        <w:t xml:space="preserve">=20) required them to say how many times in the past month they had eaten a variety of different foods. These had nine different answers possible, ranging from never to two or more times per day. The other questions asked to this subset of participants included whether they were a strict vegetarian or vegan, as well as how often they took probiotics, prebiotics or food supplements, or how often they have taken prescription antibiotics (Fig. </w:t>
      </w:r>
      <w:r w:rsidR="00997407" w:rsidRPr="00417158">
        <w:rPr>
          <w:rFonts w:ascii="Calibri" w:hAnsi="Calibri" w:cs="Calibri"/>
          <w:sz w:val="22"/>
          <w:szCs w:val="22"/>
        </w:rPr>
        <w:t>S1</w:t>
      </w:r>
      <w:r w:rsidR="00C228E6" w:rsidRPr="00417158">
        <w:rPr>
          <w:rFonts w:ascii="Calibri" w:hAnsi="Calibri" w:cs="Calibri"/>
          <w:sz w:val="22"/>
          <w:szCs w:val="22"/>
        </w:rPr>
        <w:t>7</w:t>
      </w:r>
      <w:r w:rsidR="00997407" w:rsidRPr="00417158">
        <w:rPr>
          <w:rFonts w:ascii="Calibri" w:hAnsi="Calibri" w:cs="Calibri"/>
          <w:sz w:val="22"/>
          <w:szCs w:val="22"/>
        </w:rPr>
        <w:t xml:space="preserve"> </w:t>
      </w:r>
      <w:r w:rsidRPr="00417158">
        <w:rPr>
          <w:rFonts w:ascii="Calibri" w:hAnsi="Calibri" w:cs="Calibri"/>
          <w:sz w:val="22"/>
          <w:szCs w:val="22"/>
        </w:rPr>
        <w:t xml:space="preserve">and Table S1). We also calculated both a Healthy Eating Index and a weekly diet variety score. The Healthy Eating Index was adapted from </w:t>
      </w:r>
      <w:proofErr w:type="spellStart"/>
      <w:r w:rsidRPr="00417158">
        <w:rPr>
          <w:rFonts w:ascii="Calibri" w:hAnsi="Calibri" w:cs="Calibri"/>
          <w:i/>
          <w:iCs/>
          <w:sz w:val="22"/>
          <w:szCs w:val="22"/>
        </w:rPr>
        <w:t>Hewawitharana</w:t>
      </w:r>
      <w:proofErr w:type="spellEnd"/>
      <w:r w:rsidRPr="00417158">
        <w:rPr>
          <w:rFonts w:ascii="Calibri" w:hAnsi="Calibri" w:cs="Calibri"/>
          <w:sz w:val="22"/>
          <w:szCs w:val="22"/>
        </w:rPr>
        <w:t xml:space="preserve"> </w:t>
      </w:r>
      <w:r w:rsidRPr="00417158">
        <w:rPr>
          <w:rFonts w:ascii="Calibri" w:hAnsi="Calibri" w:cs="Calibri"/>
          <w:i/>
          <w:iCs/>
          <w:sz w:val="22"/>
          <w:szCs w:val="22"/>
        </w:rPr>
        <w:t>et al</w:t>
      </w:r>
      <w:r w:rsidRPr="00417158">
        <w:rPr>
          <w:rFonts w:ascii="Calibri" w:hAnsi="Calibri" w:cs="Calibri"/>
          <w:sz w:val="22"/>
          <w:szCs w:val="22"/>
        </w:rPr>
        <w:t xml:space="preserve">. </w:t>
      </w:r>
      <w:sdt>
        <w:sdtPr>
          <w:rPr>
            <w:rFonts w:ascii="Calibri" w:hAnsi="Calibri" w:cs="Calibri"/>
            <w:color w:val="000000"/>
            <w:sz w:val="22"/>
            <w:szCs w:val="22"/>
            <w:vertAlign w:val="superscript"/>
          </w:rPr>
          <w:tag w:val="MENDELEY_CITATION_v3_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"/>
          <w:id w:val="749092577"/>
          <w:placeholder>
            <w:docPart w:val="DefaultPlaceholder_-1854013440"/>
          </w:placeholder>
        </w:sdtPr>
        <w:sdtEndPr/>
        <w:sdtContent>
          <w:r w:rsidR="005D4FD5" w:rsidRPr="00417158">
            <w:rPr>
              <w:rFonts w:ascii="Calibri" w:hAnsi="Calibri" w:cs="Calibri"/>
              <w:color w:val="000000"/>
              <w:sz w:val="22"/>
              <w:szCs w:val="22"/>
              <w:vertAlign w:val="superscript"/>
            </w:rPr>
            <w:t>6</w:t>
          </w:r>
        </w:sdtContent>
      </w:sdt>
      <w:r w:rsidRPr="00417158">
        <w:rPr>
          <w:rFonts w:ascii="Calibri" w:hAnsi="Calibri" w:cs="Calibri"/>
          <w:sz w:val="22"/>
          <w:szCs w:val="22"/>
        </w:rPr>
        <w:t xml:space="preserve"> and indicates adherence to healthy eating guidelines, with a higher value indicating higher adherence. Participants’ answers to 18 of the 20 food-related questions were used (Table S1). The Healthy Eating Index may take any value between 0-60, and values within this cohort ranged between 6.74 and 51.04 (median 35.79; Fig. 1C). The weekly diet variety score is simply a count of the number of different food items that the participants indicated that they consumed at least once per week (using only the food items included in the Healthy Eating Index). Values for the diet variety score could therefore take any value between 0-18, and values within this cohort ranged between 0 and 18 (median 14). When we look in the subset of participants that answered the diet questionnaire (</w:t>
      </w:r>
      <w:r w:rsidRPr="00417158">
        <w:rPr>
          <w:rFonts w:ascii="Calibri" w:hAnsi="Calibri" w:cs="Calibri"/>
          <w:i/>
          <w:iCs/>
          <w:sz w:val="22"/>
          <w:szCs w:val="22"/>
        </w:rPr>
        <w:t>n</w:t>
      </w:r>
      <w:r w:rsidRPr="00417158">
        <w:rPr>
          <w:rFonts w:ascii="Calibri" w:hAnsi="Calibri" w:cs="Calibri"/>
          <w:sz w:val="22"/>
          <w:szCs w:val="22"/>
        </w:rPr>
        <w:t xml:space="preserve">=2,978), age, ethnicity, and gender still have significant associations with beta diversity – although the effect sizes are smaller – while the presence of a </w:t>
      </w:r>
      <w:r w:rsidR="004A4A38" w:rsidRPr="00417158">
        <w:rPr>
          <w:rFonts w:ascii="Calibri" w:hAnsi="Calibri" w:cs="Calibri"/>
          <w:sz w:val="22"/>
          <w:szCs w:val="22"/>
        </w:rPr>
        <w:t>diagnosed</w:t>
      </w:r>
      <w:r w:rsidRPr="00417158">
        <w:rPr>
          <w:rFonts w:ascii="Calibri" w:hAnsi="Calibri" w:cs="Calibri"/>
          <w:sz w:val="22"/>
          <w:szCs w:val="22"/>
        </w:rPr>
        <w:t xml:space="preserve"> health condition is no longer significant. When we also include diet variables, ethnicity is no longer significant, and the effect sizes of </w:t>
      </w:r>
      <w:proofErr w:type="gramStart"/>
      <w:r w:rsidRPr="00417158">
        <w:rPr>
          <w:rFonts w:ascii="Calibri" w:hAnsi="Calibri" w:cs="Calibri"/>
          <w:sz w:val="22"/>
          <w:szCs w:val="22"/>
        </w:rPr>
        <w:t>all of</w:t>
      </w:r>
      <w:proofErr w:type="gramEnd"/>
      <w:r w:rsidRPr="00417158">
        <w:rPr>
          <w:rFonts w:ascii="Calibri" w:hAnsi="Calibri" w:cs="Calibri"/>
          <w:sz w:val="22"/>
          <w:szCs w:val="22"/>
        </w:rPr>
        <w:t xml:space="preserve"> these variables are smaller again (Table S</w:t>
      </w:r>
      <w:r w:rsidR="000B2B46" w:rsidRPr="00417158">
        <w:rPr>
          <w:rFonts w:ascii="Calibri" w:hAnsi="Calibri" w:cs="Calibri"/>
          <w:sz w:val="22"/>
          <w:szCs w:val="22"/>
        </w:rPr>
        <w:t>6</w:t>
      </w:r>
      <w:r w:rsidRPr="00417158">
        <w:rPr>
          <w:rFonts w:ascii="Calibri" w:hAnsi="Calibri" w:cs="Calibri"/>
          <w:sz w:val="22"/>
          <w:szCs w:val="22"/>
        </w:rPr>
        <w:t xml:space="preserve">). Associations with alpha diversity remain similar, although gender is no longer significantly associated with Simpson’s evenness or diversity, age is no longer significantly associated with observed </w:t>
      </w:r>
      <w:proofErr w:type="gramStart"/>
      <w:r w:rsidRPr="00417158">
        <w:rPr>
          <w:rFonts w:ascii="Calibri" w:hAnsi="Calibri" w:cs="Calibri"/>
          <w:sz w:val="22"/>
          <w:szCs w:val="22"/>
        </w:rPr>
        <w:t>taxa, and</w:t>
      </w:r>
      <w:proofErr w:type="gramEnd"/>
      <w:r w:rsidRPr="00417158">
        <w:rPr>
          <w:rFonts w:ascii="Calibri" w:hAnsi="Calibri" w:cs="Calibri"/>
          <w:sz w:val="22"/>
          <w:szCs w:val="22"/>
        </w:rPr>
        <w:t xml:space="preserve"> </w:t>
      </w:r>
      <w:r w:rsidR="004A4A38" w:rsidRPr="00417158">
        <w:rPr>
          <w:rFonts w:ascii="Calibri" w:hAnsi="Calibri" w:cs="Calibri"/>
          <w:sz w:val="22"/>
          <w:szCs w:val="22"/>
        </w:rPr>
        <w:t>diagnosed</w:t>
      </w:r>
      <w:r w:rsidRPr="00417158">
        <w:rPr>
          <w:rFonts w:ascii="Calibri" w:hAnsi="Calibri" w:cs="Calibri"/>
          <w:sz w:val="22"/>
          <w:szCs w:val="22"/>
        </w:rPr>
        <w:t xml:space="preserve"> health condition becomes significant with Shannon diversity (Table S</w:t>
      </w:r>
      <w:r w:rsidR="000B2B46" w:rsidRPr="00417158">
        <w:rPr>
          <w:rFonts w:ascii="Calibri" w:hAnsi="Calibri" w:cs="Calibri"/>
          <w:sz w:val="22"/>
          <w:szCs w:val="22"/>
        </w:rPr>
        <w:t>5</w:t>
      </w:r>
      <w:r w:rsidRPr="00417158">
        <w:rPr>
          <w:rFonts w:ascii="Calibri" w:hAnsi="Calibri" w:cs="Calibri"/>
          <w:sz w:val="22"/>
          <w:szCs w:val="22"/>
        </w:rPr>
        <w:t xml:space="preserve">). </w:t>
      </w:r>
    </w:p>
    <w:p w14:paraId="0DF320F3" w14:textId="2EFCF71D" w:rsidR="000E3428" w:rsidRDefault="5ED23283">
      <w:pPr>
        <w:rPr>
          <w:rFonts w:ascii="Calibri" w:hAnsi="Calibri" w:cs="Calibri"/>
          <w:sz w:val="22"/>
          <w:szCs w:val="22"/>
        </w:rPr>
      </w:pPr>
      <w:r w:rsidRPr="00417158">
        <w:rPr>
          <w:rFonts w:ascii="Calibri" w:hAnsi="Calibri" w:cs="Calibri"/>
          <w:sz w:val="22"/>
          <w:szCs w:val="22"/>
        </w:rPr>
        <w:t>Although the diet variables were collected with the intent of examining their associations with the microbiome, we were initially curious to see whether the diet variables (</w:t>
      </w:r>
      <w:r w:rsidRPr="00417158">
        <w:rPr>
          <w:rFonts w:ascii="Calibri" w:hAnsi="Calibri" w:cs="Calibri"/>
          <w:i/>
          <w:iCs/>
          <w:sz w:val="22"/>
          <w:szCs w:val="22"/>
        </w:rPr>
        <w:t>n</w:t>
      </w:r>
      <w:r w:rsidRPr="00417158">
        <w:rPr>
          <w:rFonts w:ascii="Calibri" w:hAnsi="Calibri" w:cs="Calibri"/>
          <w:sz w:val="22"/>
          <w:szCs w:val="22"/>
        </w:rPr>
        <w:t xml:space="preserve">=22; </w:t>
      </w:r>
      <w:r w:rsidRPr="00417158">
        <w:rPr>
          <w:rFonts w:ascii="Calibri" w:hAnsi="Calibri" w:cs="Calibri"/>
          <w:i/>
          <w:iCs/>
          <w:sz w:val="22"/>
          <w:szCs w:val="22"/>
        </w:rPr>
        <w:t>i.e.</w:t>
      </w:r>
      <w:r w:rsidRPr="00417158">
        <w:rPr>
          <w:rFonts w:ascii="Calibri" w:hAnsi="Calibri" w:cs="Calibri"/>
          <w:sz w:val="22"/>
          <w:szCs w:val="22"/>
        </w:rPr>
        <w:t xml:space="preserve">, answers to the 20 questions on frequency of consumption, the Healthy Eating Index and weekly diet richness) were associated with age, ethnicity, gender, or </w:t>
      </w:r>
      <w:r w:rsidR="004A4A38" w:rsidRPr="00417158">
        <w:rPr>
          <w:rFonts w:ascii="Calibri" w:hAnsi="Calibri" w:cs="Calibri"/>
          <w:sz w:val="22"/>
          <w:szCs w:val="22"/>
        </w:rPr>
        <w:t>diagnosed</w:t>
      </w:r>
      <w:r w:rsidRPr="00417158">
        <w:rPr>
          <w:rFonts w:ascii="Calibri" w:hAnsi="Calibri" w:cs="Calibri"/>
          <w:sz w:val="22"/>
          <w:szCs w:val="22"/>
        </w:rPr>
        <w:t xml:space="preserve"> health condition. All variables aside from dairy milk consumption were significantly associated with ethnicity (ANOVA </w:t>
      </w:r>
      <w:r w:rsidRPr="00417158">
        <w:rPr>
          <w:rFonts w:ascii="Calibri" w:hAnsi="Calibri" w:cs="Calibri"/>
          <w:i/>
          <w:iCs/>
          <w:sz w:val="22"/>
          <w:szCs w:val="22"/>
        </w:rPr>
        <w:t>p</w:t>
      </w:r>
      <w:r w:rsidRPr="00417158">
        <w:rPr>
          <w:rFonts w:ascii="Calibri" w:hAnsi="Calibri" w:cs="Calibri"/>
          <w:sz w:val="22"/>
          <w:szCs w:val="22"/>
        </w:rPr>
        <w:t xml:space="preserve"> </w:t>
      </w:r>
      <w:r w:rsidRPr="00417158">
        <w:rPr>
          <w:rFonts w:ascii="Symbol" w:eastAsia="Symbol" w:hAnsi="Symbol" w:cs="Symbol"/>
          <w:sz w:val="22"/>
          <w:szCs w:val="22"/>
        </w:rPr>
        <w:t>£</w:t>
      </w:r>
      <w:r w:rsidRPr="00417158">
        <w:rPr>
          <w:rFonts w:ascii="Calibri" w:hAnsi="Calibri" w:cs="Calibri"/>
          <w:sz w:val="22"/>
          <w:szCs w:val="22"/>
        </w:rPr>
        <w:t xml:space="preserve"> 0.05) and 15, 6 and 8 of the 22 examined variables were significantly associated with age, gender, and </w:t>
      </w:r>
      <w:r w:rsidR="004A4A38" w:rsidRPr="00417158">
        <w:rPr>
          <w:rFonts w:ascii="Calibri" w:hAnsi="Calibri" w:cs="Calibri"/>
          <w:sz w:val="22"/>
          <w:szCs w:val="22"/>
        </w:rPr>
        <w:t>diagnosed</w:t>
      </w:r>
      <w:r w:rsidRPr="00417158">
        <w:rPr>
          <w:rFonts w:ascii="Calibri" w:hAnsi="Calibri" w:cs="Calibri"/>
          <w:sz w:val="22"/>
          <w:szCs w:val="22"/>
        </w:rPr>
        <w:t xml:space="preserve"> health condition, respectively. Only fruit consumption was significantly associated with ethnicity, age, gender, and </w:t>
      </w:r>
      <w:r w:rsidR="004A4A38" w:rsidRPr="00417158">
        <w:rPr>
          <w:rFonts w:ascii="Calibri" w:hAnsi="Calibri" w:cs="Calibri"/>
          <w:sz w:val="22"/>
          <w:szCs w:val="22"/>
        </w:rPr>
        <w:t>diagnosed</w:t>
      </w:r>
      <w:r w:rsidRPr="00417158">
        <w:rPr>
          <w:rFonts w:ascii="Calibri" w:hAnsi="Calibri" w:cs="Calibri"/>
          <w:sz w:val="22"/>
          <w:szCs w:val="22"/>
        </w:rPr>
        <w:t xml:space="preserve"> health condition (Table S</w:t>
      </w:r>
      <w:r w:rsidR="00604DB1" w:rsidRPr="00417158">
        <w:rPr>
          <w:rFonts w:ascii="Calibri" w:hAnsi="Calibri" w:cs="Calibri"/>
          <w:sz w:val="22"/>
          <w:szCs w:val="22"/>
        </w:rPr>
        <w:t>9</w:t>
      </w:r>
      <w:r w:rsidRPr="00417158">
        <w:rPr>
          <w:rFonts w:ascii="Calibri" w:hAnsi="Calibri" w:cs="Calibri"/>
          <w:sz w:val="22"/>
          <w:szCs w:val="22"/>
        </w:rPr>
        <w:t xml:space="preserve">). As ethnicity was significantly associated with the </w:t>
      </w:r>
      <w:r w:rsidRPr="00417158">
        <w:rPr>
          <w:rFonts w:ascii="Calibri" w:hAnsi="Calibri" w:cs="Calibri"/>
          <w:sz w:val="22"/>
          <w:szCs w:val="22"/>
        </w:rPr>
        <w:lastRenderedPageBreak/>
        <w:t>most variables, we examined the most frequent answer as well as the median answer given for each diet question within each of the ethnicity groups (Fig. S1</w:t>
      </w:r>
      <w:r w:rsidR="00C228E6" w:rsidRPr="00417158">
        <w:rPr>
          <w:rFonts w:ascii="Calibri" w:hAnsi="Calibri" w:cs="Calibri"/>
          <w:sz w:val="22"/>
          <w:szCs w:val="22"/>
        </w:rPr>
        <w:t>2</w:t>
      </w:r>
      <w:r w:rsidRPr="00417158">
        <w:rPr>
          <w:rFonts w:ascii="Calibri" w:hAnsi="Calibri" w:cs="Calibri"/>
          <w:sz w:val="22"/>
          <w:szCs w:val="22"/>
        </w:rPr>
        <w:t>). Some differences observed here are that: (</w:t>
      </w:r>
      <w:proofErr w:type="spellStart"/>
      <w:r w:rsidRPr="00417158">
        <w:rPr>
          <w:rFonts w:ascii="Calibri" w:hAnsi="Calibri" w:cs="Calibri"/>
          <w:sz w:val="22"/>
          <w:szCs w:val="22"/>
        </w:rPr>
        <w:t>i</w:t>
      </w:r>
      <w:proofErr w:type="spellEnd"/>
      <w:r w:rsidRPr="00417158">
        <w:rPr>
          <w:rFonts w:ascii="Calibri" w:hAnsi="Calibri" w:cs="Calibri"/>
          <w:sz w:val="22"/>
          <w:szCs w:val="22"/>
        </w:rPr>
        <w:t>) beans/legumes are consumed more frequently by South Asian (median 3-4 times per week) than East Asian or White participants (median once per week); (ii) red meat and processed meat are consumed less frequently by South Asian (most frequent answer never for both) than East Asian or White participants (2-4 times per week); (iii) fish/seafood is consumed more frequently by East Asian (median twice per week) than South Asian or White participants (median 2-3 times per month); (iv) tofu/soy is consumed more frequently by East Asian (median once per week) than South Asian or White participants (median</w:t>
      </w:r>
      <w:r w:rsidRPr="5ED23283">
        <w:rPr>
          <w:rFonts w:ascii="Calibri" w:hAnsi="Calibri" w:cs="Calibri"/>
          <w:sz w:val="22"/>
          <w:szCs w:val="22"/>
        </w:rPr>
        <w:t xml:space="preserve"> never).</w:t>
      </w:r>
    </w:p>
    <w:p w14:paraId="2B7DD1AE" w14:textId="370FC06B" w:rsidR="009C43F8" w:rsidRPr="009D1D0F" w:rsidRDefault="00E76010">
      <w:pPr>
        <w:rPr>
          <w:rFonts w:ascii="Calibri" w:hAnsi="Calibri" w:cs="Calibri"/>
          <w:sz w:val="22"/>
          <w:szCs w:val="22"/>
        </w:rPr>
      </w:pPr>
      <w:r>
        <w:rPr>
          <w:rFonts w:ascii="Calibri" w:hAnsi="Calibri" w:cs="Calibri"/>
          <w:b/>
          <w:bCs/>
          <w:i/>
          <w:iCs/>
          <w:sz w:val="22"/>
          <w:szCs w:val="22"/>
        </w:rPr>
        <w:t>D</w:t>
      </w:r>
      <w:r w:rsidR="00914BC3">
        <w:rPr>
          <w:rFonts w:ascii="Calibri" w:hAnsi="Calibri" w:cs="Calibri"/>
          <w:b/>
          <w:bCs/>
          <w:i/>
          <w:iCs/>
          <w:sz w:val="22"/>
          <w:szCs w:val="22"/>
        </w:rPr>
        <w:t>iet variables partially mediate the association between ethnicity and beta diversity</w:t>
      </w:r>
      <w:r w:rsidR="00914BC3">
        <w:rPr>
          <w:rFonts w:ascii="Calibri" w:hAnsi="Calibri" w:cs="Calibri"/>
          <w:i/>
          <w:iCs/>
          <w:sz w:val="22"/>
          <w:szCs w:val="22"/>
        </w:rPr>
        <w:br/>
      </w:r>
      <w:r w:rsidR="001D1B00">
        <w:rPr>
          <w:rFonts w:ascii="Calibri" w:hAnsi="Calibri" w:cs="Calibri"/>
          <w:sz w:val="22"/>
          <w:szCs w:val="22"/>
        </w:rPr>
        <w:t>We carried out mediation modelling using linear regression models on phylogenetic RPCA PC1 to determine the association between diet variables, ethnicity, and the oral bacteriome</w:t>
      </w:r>
      <w:r w:rsidR="00CE71DD">
        <w:rPr>
          <w:rFonts w:ascii="Calibri" w:hAnsi="Calibri" w:cs="Calibri"/>
          <w:sz w:val="22"/>
          <w:szCs w:val="22"/>
        </w:rPr>
        <w:t xml:space="preserve"> in children and adolescents. This was carried out separately for White </w:t>
      </w:r>
      <w:r w:rsidR="00CE71DD" w:rsidRPr="004E421A">
        <w:rPr>
          <w:rFonts w:ascii="Calibri" w:hAnsi="Calibri" w:cs="Calibri"/>
          <w:i/>
          <w:iCs/>
          <w:sz w:val="22"/>
          <w:szCs w:val="22"/>
        </w:rPr>
        <w:t>vs</w:t>
      </w:r>
      <w:r w:rsidR="00CE71DD">
        <w:rPr>
          <w:rFonts w:ascii="Calibri" w:hAnsi="Calibri" w:cs="Calibri"/>
          <w:sz w:val="22"/>
          <w:szCs w:val="22"/>
        </w:rPr>
        <w:t xml:space="preserve"> East Asian, White </w:t>
      </w:r>
      <w:r w:rsidR="00CE71DD" w:rsidRPr="004E421A">
        <w:rPr>
          <w:rFonts w:ascii="Calibri" w:hAnsi="Calibri" w:cs="Calibri"/>
          <w:i/>
          <w:iCs/>
          <w:sz w:val="22"/>
          <w:szCs w:val="22"/>
        </w:rPr>
        <w:t>vs</w:t>
      </w:r>
      <w:r w:rsidR="00CE71DD">
        <w:rPr>
          <w:rFonts w:ascii="Calibri" w:hAnsi="Calibri" w:cs="Calibri"/>
          <w:sz w:val="22"/>
          <w:szCs w:val="22"/>
        </w:rPr>
        <w:t xml:space="preserve"> South Asian and East Asian </w:t>
      </w:r>
      <w:r w:rsidR="00CE71DD" w:rsidRPr="004E421A">
        <w:rPr>
          <w:rFonts w:ascii="Calibri" w:hAnsi="Calibri" w:cs="Calibri"/>
          <w:i/>
          <w:iCs/>
          <w:sz w:val="22"/>
          <w:szCs w:val="22"/>
        </w:rPr>
        <w:t>vs</w:t>
      </w:r>
      <w:r w:rsidR="00CE71DD">
        <w:rPr>
          <w:rFonts w:ascii="Calibri" w:hAnsi="Calibri" w:cs="Calibri"/>
          <w:sz w:val="22"/>
          <w:szCs w:val="22"/>
        </w:rPr>
        <w:t xml:space="preserve"> South Asian participants</w:t>
      </w:r>
      <w:r w:rsidR="001408EA">
        <w:rPr>
          <w:rFonts w:ascii="Calibri" w:hAnsi="Calibri" w:cs="Calibri"/>
          <w:sz w:val="22"/>
          <w:szCs w:val="22"/>
        </w:rPr>
        <w:t xml:space="preserve"> (Table S</w:t>
      </w:r>
      <w:r w:rsidR="00C821B6">
        <w:rPr>
          <w:rFonts w:ascii="Calibri" w:hAnsi="Calibri" w:cs="Calibri"/>
          <w:sz w:val="22"/>
          <w:szCs w:val="22"/>
        </w:rPr>
        <w:t>2</w:t>
      </w:r>
      <w:r w:rsidR="001408EA">
        <w:rPr>
          <w:rFonts w:ascii="Calibri" w:hAnsi="Calibri" w:cs="Calibri"/>
          <w:sz w:val="22"/>
          <w:szCs w:val="22"/>
        </w:rPr>
        <w:t xml:space="preserve">). </w:t>
      </w:r>
      <w:r w:rsidR="00445879">
        <w:rPr>
          <w:rFonts w:ascii="Calibri" w:hAnsi="Calibri" w:cs="Calibri"/>
          <w:sz w:val="22"/>
          <w:szCs w:val="22"/>
        </w:rPr>
        <w:t xml:space="preserve">Note that for comparisons between East Asian and South Asian participants, there were no significant direct effects of ethnicity on the oral bacteriome, although there were significant mediated effects. </w:t>
      </w:r>
      <w:r w:rsidR="00F85EE5">
        <w:rPr>
          <w:rFonts w:ascii="Calibri" w:hAnsi="Calibri" w:cs="Calibri"/>
          <w:sz w:val="22"/>
          <w:szCs w:val="22"/>
        </w:rPr>
        <w:t xml:space="preserve">Only </w:t>
      </w:r>
      <w:r w:rsidR="00042B86">
        <w:rPr>
          <w:rFonts w:ascii="Calibri" w:hAnsi="Calibri" w:cs="Calibri"/>
          <w:sz w:val="22"/>
          <w:szCs w:val="22"/>
        </w:rPr>
        <w:t>salty snack</w:t>
      </w:r>
      <w:r w:rsidR="00F85EE5">
        <w:rPr>
          <w:rFonts w:ascii="Calibri" w:hAnsi="Calibri" w:cs="Calibri"/>
          <w:sz w:val="22"/>
          <w:szCs w:val="22"/>
        </w:rPr>
        <w:t xml:space="preserve"> consumption</w:t>
      </w:r>
      <w:r w:rsidR="00042B86">
        <w:rPr>
          <w:rFonts w:ascii="Calibri" w:hAnsi="Calibri" w:cs="Calibri"/>
          <w:sz w:val="22"/>
          <w:szCs w:val="22"/>
        </w:rPr>
        <w:t xml:space="preserve"> is a </w:t>
      </w:r>
      <w:r w:rsidR="00F85EE5">
        <w:rPr>
          <w:rFonts w:ascii="Calibri" w:hAnsi="Calibri" w:cs="Calibri"/>
          <w:sz w:val="22"/>
          <w:szCs w:val="22"/>
        </w:rPr>
        <w:t xml:space="preserve">statistically significant </w:t>
      </w:r>
      <w:r w:rsidR="00042B86">
        <w:rPr>
          <w:rFonts w:ascii="Calibri" w:hAnsi="Calibri" w:cs="Calibri"/>
          <w:sz w:val="22"/>
          <w:szCs w:val="22"/>
        </w:rPr>
        <w:t>mediator across all ethnicity comparisons (proportion mediated 0.26</w:t>
      </w:r>
      <w:r w:rsidR="00C87872">
        <w:rPr>
          <w:rFonts w:ascii="Calibri" w:hAnsi="Calibri" w:cs="Calibri"/>
          <w:sz w:val="22"/>
          <w:szCs w:val="22"/>
        </w:rPr>
        <w:t xml:space="preserve"> [</w:t>
      </w:r>
      <w:r w:rsidR="00C87872">
        <w:rPr>
          <w:rFonts w:ascii="Calibri" w:hAnsi="Calibri" w:cs="Calibri"/>
          <w:i/>
          <w:iCs/>
          <w:sz w:val="22"/>
          <w:szCs w:val="22"/>
        </w:rPr>
        <w:t>p</w:t>
      </w:r>
      <w:r w:rsidR="00C87872">
        <w:rPr>
          <w:rFonts w:ascii="Calibri" w:hAnsi="Calibri" w:cs="Calibri"/>
          <w:sz w:val="22"/>
          <w:szCs w:val="22"/>
        </w:rPr>
        <w:t>&lt;0.001]</w:t>
      </w:r>
      <w:r w:rsidR="00042B86">
        <w:rPr>
          <w:rFonts w:ascii="Calibri" w:hAnsi="Calibri" w:cs="Calibri"/>
          <w:sz w:val="22"/>
          <w:szCs w:val="22"/>
        </w:rPr>
        <w:t>, 0.10</w:t>
      </w:r>
      <w:r w:rsidR="00C87872">
        <w:rPr>
          <w:rFonts w:ascii="Calibri" w:hAnsi="Calibri" w:cs="Calibri"/>
          <w:sz w:val="22"/>
          <w:szCs w:val="22"/>
        </w:rPr>
        <w:t xml:space="preserve"> [</w:t>
      </w:r>
      <w:r w:rsidR="00C87872">
        <w:rPr>
          <w:rFonts w:ascii="Calibri" w:hAnsi="Calibri" w:cs="Calibri"/>
          <w:i/>
          <w:iCs/>
          <w:sz w:val="22"/>
          <w:szCs w:val="22"/>
        </w:rPr>
        <w:t>p</w:t>
      </w:r>
      <w:r w:rsidR="00C87872">
        <w:rPr>
          <w:rFonts w:ascii="Calibri" w:hAnsi="Calibri" w:cs="Calibri"/>
          <w:sz w:val="22"/>
          <w:szCs w:val="22"/>
        </w:rPr>
        <w:t>&lt;0.001]</w:t>
      </w:r>
      <w:r w:rsidR="00042B86">
        <w:rPr>
          <w:rFonts w:ascii="Calibri" w:hAnsi="Calibri" w:cs="Calibri"/>
          <w:sz w:val="22"/>
          <w:szCs w:val="22"/>
        </w:rPr>
        <w:t xml:space="preserve"> and -0.12</w:t>
      </w:r>
      <w:r w:rsidR="00C87872">
        <w:rPr>
          <w:rFonts w:ascii="Calibri" w:hAnsi="Calibri" w:cs="Calibri"/>
          <w:sz w:val="22"/>
          <w:szCs w:val="22"/>
        </w:rPr>
        <w:t xml:space="preserve"> [</w:t>
      </w:r>
      <w:r w:rsidR="00C87872">
        <w:rPr>
          <w:rFonts w:ascii="Calibri" w:hAnsi="Calibri" w:cs="Calibri"/>
          <w:i/>
          <w:iCs/>
          <w:sz w:val="22"/>
          <w:szCs w:val="22"/>
        </w:rPr>
        <w:t>p</w:t>
      </w:r>
      <w:r w:rsidR="00C87872">
        <w:rPr>
          <w:rFonts w:ascii="Calibri" w:hAnsi="Calibri" w:cs="Calibri"/>
          <w:sz w:val="22"/>
          <w:szCs w:val="22"/>
        </w:rPr>
        <w:t>=0.392]</w:t>
      </w:r>
      <w:r w:rsidR="00042B86">
        <w:rPr>
          <w:rFonts w:ascii="Calibri" w:hAnsi="Calibri" w:cs="Calibri"/>
          <w:sz w:val="22"/>
          <w:szCs w:val="22"/>
        </w:rPr>
        <w:t xml:space="preserve"> for White </w:t>
      </w:r>
      <w:r w:rsidR="00042B86">
        <w:rPr>
          <w:rFonts w:ascii="Calibri" w:hAnsi="Calibri" w:cs="Calibri"/>
          <w:i/>
          <w:iCs/>
          <w:sz w:val="22"/>
          <w:szCs w:val="22"/>
        </w:rPr>
        <w:t>vs</w:t>
      </w:r>
      <w:r w:rsidR="00042B86">
        <w:rPr>
          <w:rFonts w:ascii="Calibri" w:hAnsi="Calibri" w:cs="Calibri"/>
          <w:sz w:val="22"/>
          <w:szCs w:val="22"/>
        </w:rPr>
        <w:t xml:space="preserve"> East Asian, White </w:t>
      </w:r>
      <w:r w:rsidR="00042B86">
        <w:rPr>
          <w:rFonts w:ascii="Calibri" w:hAnsi="Calibri" w:cs="Calibri"/>
          <w:i/>
          <w:iCs/>
          <w:sz w:val="22"/>
          <w:szCs w:val="22"/>
        </w:rPr>
        <w:t>vs</w:t>
      </w:r>
      <w:r w:rsidR="00042B86">
        <w:rPr>
          <w:rFonts w:ascii="Calibri" w:hAnsi="Calibri" w:cs="Calibri"/>
          <w:sz w:val="22"/>
          <w:szCs w:val="22"/>
        </w:rPr>
        <w:t xml:space="preserve"> South Asian and East Asian </w:t>
      </w:r>
      <w:r w:rsidR="00042B86">
        <w:rPr>
          <w:rFonts w:ascii="Calibri" w:hAnsi="Calibri" w:cs="Calibri"/>
          <w:i/>
          <w:iCs/>
          <w:sz w:val="22"/>
          <w:szCs w:val="22"/>
        </w:rPr>
        <w:t>vs</w:t>
      </w:r>
      <w:r w:rsidR="00042B86">
        <w:rPr>
          <w:rFonts w:ascii="Calibri" w:hAnsi="Calibri" w:cs="Calibri"/>
          <w:sz w:val="22"/>
          <w:szCs w:val="22"/>
        </w:rPr>
        <w:t xml:space="preserve"> South Asian participants, respectively)</w:t>
      </w:r>
      <w:r w:rsidR="009C43F8">
        <w:rPr>
          <w:rFonts w:ascii="Calibri" w:hAnsi="Calibri" w:cs="Calibri"/>
          <w:sz w:val="22"/>
          <w:szCs w:val="22"/>
        </w:rPr>
        <w:t>, but other variables are significant within one or two comparisons: (</w:t>
      </w:r>
      <w:proofErr w:type="spellStart"/>
      <w:r w:rsidR="009C43F8">
        <w:rPr>
          <w:rFonts w:ascii="Calibri" w:hAnsi="Calibri" w:cs="Calibri"/>
          <w:sz w:val="22"/>
          <w:szCs w:val="22"/>
        </w:rPr>
        <w:t>i</w:t>
      </w:r>
      <w:proofErr w:type="spellEnd"/>
      <w:r w:rsidR="009C43F8">
        <w:rPr>
          <w:rFonts w:ascii="Calibri" w:hAnsi="Calibri" w:cs="Calibri"/>
          <w:sz w:val="22"/>
          <w:szCs w:val="22"/>
        </w:rPr>
        <w:t>) desserts/sweets (proportion mediated 0.28</w:t>
      </w:r>
      <w:r w:rsidR="00B17405">
        <w:rPr>
          <w:rFonts w:ascii="Calibri" w:hAnsi="Calibri" w:cs="Calibri"/>
          <w:sz w:val="22"/>
          <w:szCs w:val="22"/>
        </w:rPr>
        <w:t xml:space="preserve"> [</w:t>
      </w:r>
      <w:r w:rsidR="00B17405">
        <w:rPr>
          <w:rFonts w:ascii="Calibri" w:hAnsi="Calibri" w:cs="Calibri"/>
          <w:i/>
          <w:iCs/>
          <w:sz w:val="22"/>
          <w:szCs w:val="22"/>
        </w:rPr>
        <w:t>p</w:t>
      </w:r>
      <w:r w:rsidR="00B17405">
        <w:rPr>
          <w:rFonts w:ascii="Calibri" w:hAnsi="Calibri" w:cs="Calibri"/>
          <w:sz w:val="22"/>
          <w:szCs w:val="22"/>
        </w:rPr>
        <w:t>&lt;0.001]</w:t>
      </w:r>
      <w:r w:rsidR="009C43F8">
        <w:rPr>
          <w:rFonts w:ascii="Calibri" w:hAnsi="Calibri" w:cs="Calibri"/>
          <w:sz w:val="22"/>
          <w:szCs w:val="22"/>
        </w:rPr>
        <w:t xml:space="preserve"> or 0.24</w:t>
      </w:r>
      <w:r w:rsidR="00B17405">
        <w:rPr>
          <w:rFonts w:ascii="Calibri" w:hAnsi="Calibri" w:cs="Calibri"/>
          <w:sz w:val="22"/>
          <w:szCs w:val="22"/>
        </w:rPr>
        <w:t xml:space="preserve"> [</w:t>
      </w:r>
      <w:r w:rsidR="00B17405">
        <w:rPr>
          <w:rFonts w:ascii="Calibri" w:hAnsi="Calibri" w:cs="Calibri"/>
          <w:i/>
          <w:iCs/>
          <w:sz w:val="22"/>
          <w:szCs w:val="22"/>
        </w:rPr>
        <w:t>p</w:t>
      </w:r>
      <w:r w:rsidR="00B17405">
        <w:rPr>
          <w:rFonts w:ascii="Calibri" w:hAnsi="Calibri" w:cs="Calibri"/>
          <w:sz w:val="22"/>
          <w:szCs w:val="22"/>
        </w:rPr>
        <w:t>&lt;0.001]</w:t>
      </w:r>
      <w:r w:rsidR="009C43F8">
        <w:rPr>
          <w:rFonts w:ascii="Calibri" w:hAnsi="Calibri" w:cs="Calibri"/>
          <w:sz w:val="22"/>
          <w:szCs w:val="22"/>
        </w:rPr>
        <w:t xml:space="preserve"> in White </w:t>
      </w:r>
      <w:r w:rsidR="009C43F8">
        <w:rPr>
          <w:rFonts w:ascii="Calibri" w:hAnsi="Calibri" w:cs="Calibri"/>
          <w:i/>
          <w:iCs/>
          <w:sz w:val="22"/>
          <w:szCs w:val="22"/>
        </w:rPr>
        <w:t>vs</w:t>
      </w:r>
      <w:r w:rsidR="009C43F8">
        <w:rPr>
          <w:rFonts w:ascii="Calibri" w:hAnsi="Calibri" w:cs="Calibri"/>
          <w:sz w:val="22"/>
          <w:szCs w:val="22"/>
        </w:rPr>
        <w:t xml:space="preserve"> East Asian or White </w:t>
      </w:r>
      <w:r w:rsidR="009C43F8">
        <w:rPr>
          <w:rFonts w:ascii="Calibri" w:hAnsi="Calibri" w:cs="Calibri"/>
          <w:i/>
          <w:iCs/>
          <w:sz w:val="22"/>
          <w:szCs w:val="22"/>
        </w:rPr>
        <w:t>vs</w:t>
      </w:r>
      <w:r w:rsidR="009C43F8">
        <w:rPr>
          <w:rFonts w:ascii="Calibri" w:hAnsi="Calibri" w:cs="Calibri"/>
          <w:sz w:val="22"/>
          <w:szCs w:val="22"/>
        </w:rPr>
        <w:t xml:space="preserve"> South Asian participants, respectively); (ii) </w:t>
      </w:r>
      <w:r w:rsidR="00C87872">
        <w:rPr>
          <w:rFonts w:ascii="Calibri" w:hAnsi="Calibri" w:cs="Calibri"/>
          <w:sz w:val="22"/>
          <w:szCs w:val="22"/>
        </w:rPr>
        <w:t>refined grains (proportion mediated 0.16 [</w:t>
      </w:r>
      <w:r w:rsidR="00C87872">
        <w:rPr>
          <w:rFonts w:ascii="Calibri" w:hAnsi="Calibri" w:cs="Calibri"/>
          <w:i/>
          <w:iCs/>
          <w:sz w:val="22"/>
          <w:szCs w:val="22"/>
        </w:rPr>
        <w:t>p</w:t>
      </w:r>
      <w:r w:rsidR="00C87872">
        <w:rPr>
          <w:rFonts w:ascii="Calibri" w:hAnsi="Calibri" w:cs="Calibri"/>
          <w:sz w:val="22"/>
          <w:szCs w:val="22"/>
        </w:rPr>
        <w:t xml:space="preserve">=0.402] in East Asian </w:t>
      </w:r>
      <w:r w:rsidR="00C87872">
        <w:rPr>
          <w:rFonts w:ascii="Calibri" w:hAnsi="Calibri" w:cs="Calibri"/>
          <w:i/>
          <w:iCs/>
          <w:sz w:val="22"/>
          <w:szCs w:val="22"/>
        </w:rPr>
        <w:t>vs</w:t>
      </w:r>
      <w:r w:rsidR="00C87872">
        <w:rPr>
          <w:rFonts w:ascii="Calibri" w:hAnsi="Calibri" w:cs="Calibri"/>
          <w:sz w:val="22"/>
          <w:szCs w:val="22"/>
        </w:rPr>
        <w:t xml:space="preserve"> South Asian)</w:t>
      </w:r>
      <w:r w:rsidR="00542477">
        <w:rPr>
          <w:rFonts w:ascii="Calibri" w:hAnsi="Calibri" w:cs="Calibri"/>
          <w:sz w:val="22"/>
          <w:szCs w:val="22"/>
        </w:rPr>
        <w:t>; (iii) dairy yoghurt (proportion mediated -0.06 [</w:t>
      </w:r>
      <w:r w:rsidR="00542477">
        <w:rPr>
          <w:rFonts w:ascii="Calibri" w:hAnsi="Calibri" w:cs="Calibri"/>
          <w:i/>
          <w:iCs/>
          <w:sz w:val="22"/>
          <w:szCs w:val="22"/>
        </w:rPr>
        <w:t>p</w:t>
      </w:r>
      <w:r w:rsidR="00542477">
        <w:rPr>
          <w:rFonts w:ascii="Calibri" w:hAnsi="Calibri" w:cs="Calibri"/>
          <w:sz w:val="22"/>
          <w:szCs w:val="22"/>
        </w:rPr>
        <w:t xml:space="preserve">=0.034] in White </w:t>
      </w:r>
      <w:r w:rsidR="00542477">
        <w:rPr>
          <w:rFonts w:ascii="Calibri" w:hAnsi="Calibri" w:cs="Calibri"/>
          <w:i/>
          <w:iCs/>
          <w:sz w:val="22"/>
          <w:szCs w:val="22"/>
        </w:rPr>
        <w:t>vs</w:t>
      </w:r>
      <w:r w:rsidR="00542477">
        <w:rPr>
          <w:rFonts w:ascii="Calibri" w:hAnsi="Calibri" w:cs="Calibri"/>
          <w:sz w:val="22"/>
          <w:szCs w:val="22"/>
        </w:rPr>
        <w:t xml:space="preserve"> South Asian; (iv) dairy cheese (proportion mediated -0.19 [</w:t>
      </w:r>
      <w:r w:rsidR="00542477">
        <w:rPr>
          <w:rFonts w:ascii="Calibri" w:hAnsi="Calibri" w:cs="Calibri"/>
          <w:i/>
          <w:iCs/>
          <w:sz w:val="22"/>
          <w:szCs w:val="22"/>
        </w:rPr>
        <w:t>p</w:t>
      </w:r>
      <w:r w:rsidR="00542477">
        <w:rPr>
          <w:rFonts w:ascii="Calibri" w:hAnsi="Calibri" w:cs="Calibri"/>
          <w:sz w:val="22"/>
          <w:szCs w:val="22"/>
        </w:rPr>
        <w:t xml:space="preserve">=0.418] in East Asian </w:t>
      </w:r>
      <w:r w:rsidR="00542477">
        <w:rPr>
          <w:rFonts w:ascii="Calibri" w:hAnsi="Calibri" w:cs="Calibri"/>
          <w:i/>
          <w:iCs/>
          <w:sz w:val="22"/>
          <w:szCs w:val="22"/>
        </w:rPr>
        <w:t>vs</w:t>
      </w:r>
      <w:r w:rsidR="00542477">
        <w:rPr>
          <w:rFonts w:ascii="Calibri" w:hAnsi="Calibri" w:cs="Calibri"/>
          <w:sz w:val="22"/>
          <w:szCs w:val="22"/>
        </w:rPr>
        <w:t xml:space="preserve"> South Asian); (v)</w:t>
      </w:r>
      <w:r w:rsidR="009D1D0F">
        <w:rPr>
          <w:rFonts w:ascii="Calibri" w:hAnsi="Calibri" w:cs="Calibri"/>
          <w:sz w:val="22"/>
          <w:szCs w:val="22"/>
        </w:rPr>
        <w:t xml:space="preserve"> soda/sugary drinks (proportion mediated 0.08 [</w:t>
      </w:r>
      <w:r w:rsidR="009D1D0F">
        <w:rPr>
          <w:rFonts w:ascii="Calibri" w:hAnsi="Calibri" w:cs="Calibri"/>
          <w:i/>
          <w:iCs/>
          <w:sz w:val="22"/>
          <w:szCs w:val="22"/>
        </w:rPr>
        <w:t>p</w:t>
      </w:r>
      <w:r w:rsidR="009D1D0F">
        <w:rPr>
          <w:rFonts w:ascii="Calibri" w:hAnsi="Calibri" w:cs="Calibri"/>
          <w:sz w:val="22"/>
          <w:szCs w:val="22"/>
        </w:rPr>
        <w:t xml:space="preserve">=0.028] in White </w:t>
      </w:r>
      <w:r w:rsidR="009D1D0F">
        <w:rPr>
          <w:rFonts w:ascii="Calibri" w:hAnsi="Calibri" w:cs="Calibri"/>
          <w:i/>
          <w:iCs/>
          <w:sz w:val="22"/>
          <w:szCs w:val="22"/>
        </w:rPr>
        <w:t>vs</w:t>
      </w:r>
      <w:r w:rsidR="009D1D0F">
        <w:rPr>
          <w:rFonts w:ascii="Calibri" w:hAnsi="Calibri" w:cs="Calibri"/>
          <w:sz w:val="22"/>
          <w:szCs w:val="22"/>
        </w:rPr>
        <w:t xml:space="preserve"> South Asian); (vi) fruit juices (proportion mediated 0.10 [</w:t>
      </w:r>
      <w:r w:rsidR="009D1D0F">
        <w:rPr>
          <w:rFonts w:ascii="Calibri" w:hAnsi="Calibri" w:cs="Calibri"/>
          <w:i/>
          <w:iCs/>
          <w:sz w:val="22"/>
          <w:szCs w:val="22"/>
        </w:rPr>
        <w:t>p</w:t>
      </w:r>
      <w:r w:rsidR="009D1D0F">
        <w:rPr>
          <w:rFonts w:ascii="Calibri" w:hAnsi="Calibri" w:cs="Calibri"/>
          <w:sz w:val="22"/>
          <w:szCs w:val="22"/>
        </w:rPr>
        <w:t xml:space="preserve">=0.008] in White </w:t>
      </w:r>
      <w:r w:rsidR="009D1D0F">
        <w:rPr>
          <w:rFonts w:ascii="Calibri" w:hAnsi="Calibri" w:cs="Calibri"/>
          <w:i/>
          <w:iCs/>
          <w:sz w:val="22"/>
          <w:szCs w:val="22"/>
        </w:rPr>
        <w:t>vs</w:t>
      </w:r>
      <w:r w:rsidR="009D1D0F">
        <w:rPr>
          <w:rFonts w:ascii="Calibri" w:hAnsi="Calibri" w:cs="Calibri"/>
          <w:sz w:val="22"/>
          <w:szCs w:val="22"/>
        </w:rPr>
        <w:t xml:space="preserve"> East Asian); (vii) fruit (proportion mediated 0.23 [</w:t>
      </w:r>
      <w:r w:rsidR="009D1D0F">
        <w:rPr>
          <w:rFonts w:ascii="Calibri" w:hAnsi="Calibri" w:cs="Calibri"/>
          <w:i/>
          <w:iCs/>
          <w:sz w:val="22"/>
          <w:szCs w:val="22"/>
        </w:rPr>
        <w:t>p</w:t>
      </w:r>
      <w:r w:rsidR="009D1D0F">
        <w:rPr>
          <w:rFonts w:ascii="Calibri" w:hAnsi="Calibri" w:cs="Calibri"/>
          <w:sz w:val="22"/>
          <w:szCs w:val="22"/>
        </w:rPr>
        <w:t xml:space="preserve">=0.412] in East Asian </w:t>
      </w:r>
      <w:r w:rsidR="009D1D0F">
        <w:rPr>
          <w:rFonts w:ascii="Calibri" w:hAnsi="Calibri" w:cs="Calibri"/>
          <w:i/>
          <w:iCs/>
          <w:sz w:val="22"/>
          <w:szCs w:val="22"/>
        </w:rPr>
        <w:t>vs</w:t>
      </w:r>
      <w:r w:rsidR="009D1D0F">
        <w:rPr>
          <w:rFonts w:ascii="Calibri" w:hAnsi="Calibri" w:cs="Calibri"/>
          <w:sz w:val="22"/>
          <w:szCs w:val="22"/>
        </w:rPr>
        <w:t xml:space="preserve"> South Asian); and (viii) processed meat (proportion mediated 0.28 [</w:t>
      </w:r>
      <w:r w:rsidR="009D1D0F">
        <w:rPr>
          <w:rFonts w:ascii="Calibri" w:hAnsi="Calibri" w:cs="Calibri"/>
          <w:i/>
          <w:iCs/>
          <w:sz w:val="22"/>
          <w:szCs w:val="22"/>
        </w:rPr>
        <w:t>p</w:t>
      </w:r>
      <w:r w:rsidR="009D1D0F">
        <w:rPr>
          <w:rFonts w:ascii="Calibri" w:hAnsi="Calibri" w:cs="Calibri"/>
          <w:sz w:val="22"/>
          <w:szCs w:val="22"/>
        </w:rPr>
        <w:t xml:space="preserve">=0.004] in White </w:t>
      </w:r>
      <w:r w:rsidR="009D1D0F">
        <w:rPr>
          <w:rFonts w:ascii="Calibri" w:hAnsi="Calibri" w:cs="Calibri"/>
          <w:i/>
          <w:iCs/>
          <w:sz w:val="22"/>
          <w:szCs w:val="22"/>
        </w:rPr>
        <w:t>vs</w:t>
      </w:r>
      <w:r w:rsidR="009D1D0F">
        <w:rPr>
          <w:rFonts w:ascii="Calibri" w:hAnsi="Calibri" w:cs="Calibri"/>
          <w:sz w:val="22"/>
          <w:szCs w:val="22"/>
        </w:rPr>
        <w:t xml:space="preserve"> South Asian). </w:t>
      </w:r>
    </w:p>
    <w:p w14:paraId="6173497B" w14:textId="6E9024C4" w:rsidR="00DE239C" w:rsidRPr="007655A8" w:rsidRDefault="00DE239C" w:rsidP="00DE239C">
      <w:pPr>
        <w:rPr>
          <w:rFonts w:ascii="Calibri" w:hAnsi="Calibri" w:cs="Calibri"/>
          <w:sz w:val="22"/>
          <w:szCs w:val="22"/>
        </w:rPr>
      </w:pPr>
      <w:r w:rsidRPr="07D10D65">
        <w:rPr>
          <w:rFonts w:ascii="Calibri" w:hAnsi="Calibri" w:cs="Calibri"/>
          <w:b/>
          <w:bCs/>
          <w:i/>
          <w:iCs/>
          <w:sz w:val="22"/>
          <w:szCs w:val="22"/>
        </w:rPr>
        <w:t>Antibiotic use has a significant impact on the salivary microbiome of children and adolescents</w:t>
      </w:r>
      <w:r>
        <w:t xml:space="preserve"> </w:t>
      </w:r>
      <w:r>
        <w:br/>
      </w:r>
      <w:r w:rsidRPr="007655A8">
        <w:rPr>
          <w:rFonts w:ascii="Calibri" w:hAnsi="Calibri" w:cs="Calibri"/>
          <w:sz w:val="22"/>
          <w:szCs w:val="22"/>
        </w:rPr>
        <w:t>Of the 2,978 participants that answered the question on whether they had taken antibiotics or not, 201 (6.75%) indicated that they had taken antibiotics within the last month. There were significant associations between antibiotic use and phylogenetic-RPCA beta diversity (R</w:t>
      </w:r>
      <w:r w:rsidRPr="007655A8">
        <w:rPr>
          <w:rFonts w:ascii="Calibri" w:hAnsi="Calibri" w:cs="Calibri"/>
          <w:sz w:val="22"/>
          <w:szCs w:val="22"/>
          <w:vertAlign w:val="superscript"/>
        </w:rPr>
        <w:t xml:space="preserve">2 </w:t>
      </w:r>
      <w:r w:rsidRPr="007655A8">
        <w:rPr>
          <w:rFonts w:ascii="Calibri" w:hAnsi="Calibri" w:cs="Calibri"/>
          <w:sz w:val="22"/>
          <w:szCs w:val="22"/>
        </w:rPr>
        <w:t>= 0.0041 and R</w:t>
      </w:r>
      <w:r w:rsidRPr="007655A8">
        <w:rPr>
          <w:rFonts w:ascii="Calibri" w:hAnsi="Calibri" w:cs="Calibri"/>
          <w:sz w:val="22"/>
          <w:szCs w:val="22"/>
          <w:vertAlign w:val="superscript"/>
        </w:rPr>
        <w:t xml:space="preserve">2 </w:t>
      </w:r>
      <w:r w:rsidRPr="007655A8">
        <w:rPr>
          <w:rFonts w:ascii="Calibri" w:hAnsi="Calibri" w:cs="Calibri"/>
          <w:sz w:val="22"/>
          <w:szCs w:val="22"/>
        </w:rPr>
        <w:t>= 0.00</w:t>
      </w:r>
      <w:r w:rsidR="001C7106" w:rsidRPr="007655A8">
        <w:rPr>
          <w:rFonts w:ascii="Calibri" w:hAnsi="Calibri" w:cs="Calibri"/>
          <w:sz w:val="22"/>
          <w:szCs w:val="22"/>
        </w:rPr>
        <w:t>60</w:t>
      </w:r>
      <w:r w:rsidRPr="007655A8">
        <w:rPr>
          <w:rFonts w:ascii="Calibri" w:hAnsi="Calibri" w:cs="Calibri"/>
          <w:sz w:val="22"/>
          <w:szCs w:val="22"/>
        </w:rPr>
        <w:t xml:space="preserve">, for univariate and multivariate analyses, respectively) and alpha diversity; all richness metrics as well as Shannon diversity were significantly decreased in those that had taken antibiotics in the last month </w:t>
      </w:r>
      <w:r w:rsidRPr="007655A8">
        <w:rPr>
          <w:rFonts w:ascii="Calibri" w:hAnsi="Calibri" w:cs="Calibri"/>
          <w:i/>
          <w:iCs/>
          <w:sz w:val="22"/>
          <w:szCs w:val="22"/>
        </w:rPr>
        <w:t>vs</w:t>
      </w:r>
      <w:r w:rsidRPr="007655A8">
        <w:rPr>
          <w:rFonts w:ascii="Calibri" w:hAnsi="Calibri" w:cs="Calibri"/>
          <w:sz w:val="22"/>
          <w:szCs w:val="22"/>
        </w:rPr>
        <w:t xml:space="preserve"> those that hadn’t (Fig. 1AB and S1</w:t>
      </w:r>
      <w:r w:rsidR="005F5D56">
        <w:rPr>
          <w:rFonts w:ascii="Calibri" w:hAnsi="Calibri" w:cs="Calibri"/>
          <w:sz w:val="22"/>
          <w:szCs w:val="22"/>
        </w:rPr>
        <w:t>3</w:t>
      </w:r>
      <w:r w:rsidRPr="007655A8">
        <w:rPr>
          <w:rFonts w:ascii="Calibri" w:hAnsi="Calibri" w:cs="Calibri"/>
          <w:sz w:val="22"/>
          <w:szCs w:val="22"/>
        </w:rPr>
        <w:t xml:space="preserve">). Four genera were differentially abundant with antibiotic use: </w:t>
      </w:r>
      <w:proofErr w:type="spellStart"/>
      <w:r w:rsidRPr="007655A8">
        <w:rPr>
          <w:rFonts w:ascii="Calibri" w:hAnsi="Calibri" w:cs="Calibri"/>
          <w:i/>
          <w:iCs/>
          <w:sz w:val="22"/>
          <w:szCs w:val="22"/>
        </w:rPr>
        <w:t>Lautropia</w:t>
      </w:r>
      <w:proofErr w:type="spellEnd"/>
      <w:r w:rsidRPr="007655A8">
        <w:rPr>
          <w:rFonts w:ascii="Calibri" w:hAnsi="Calibri" w:cs="Calibri"/>
          <w:sz w:val="22"/>
          <w:szCs w:val="22"/>
        </w:rPr>
        <w:t xml:space="preserve">, </w:t>
      </w:r>
      <w:proofErr w:type="spellStart"/>
      <w:r w:rsidRPr="007655A8">
        <w:rPr>
          <w:rFonts w:ascii="Calibri" w:hAnsi="Calibri" w:cs="Calibri"/>
          <w:i/>
          <w:iCs/>
          <w:sz w:val="22"/>
          <w:szCs w:val="22"/>
        </w:rPr>
        <w:t>Abiotrophia</w:t>
      </w:r>
      <w:proofErr w:type="spellEnd"/>
      <w:r w:rsidRPr="007655A8">
        <w:rPr>
          <w:rFonts w:ascii="Calibri" w:hAnsi="Calibri" w:cs="Calibri"/>
          <w:sz w:val="22"/>
          <w:szCs w:val="22"/>
        </w:rPr>
        <w:t xml:space="preserve"> and </w:t>
      </w:r>
      <w:proofErr w:type="spellStart"/>
      <w:r w:rsidRPr="007655A8">
        <w:rPr>
          <w:rFonts w:ascii="Calibri" w:hAnsi="Calibri" w:cs="Calibri"/>
          <w:i/>
          <w:iCs/>
          <w:sz w:val="22"/>
          <w:szCs w:val="22"/>
        </w:rPr>
        <w:t>Mitsuokella</w:t>
      </w:r>
      <w:proofErr w:type="spellEnd"/>
      <w:r w:rsidRPr="007655A8">
        <w:rPr>
          <w:rFonts w:ascii="Calibri" w:hAnsi="Calibri" w:cs="Calibri"/>
          <w:sz w:val="22"/>
          <w:szCs w:val="22"/>
        </w:rPr>
        <w:t xml:space="preserve"> were more abundant in those that had taken antibiotics in the last month </w:t>
      </w:r>
      <w:r w:rsidRPr="007655A8">
        <w:rPr>
          <w:rFonts w:ascii="Calibri" w:hAnsi="Calibri" w:cs="Calibri"/>
          <w:i/>
          <w:iCs/>
          <w:sz w:val="22"/>
          <w:szCs w:val="22"/>
        </w:rPr>
        <w:t xml:space="preserve">vs </w:t>
      </w:r>
      <w:r w:rsidRPr="007655A8">
        <w:rPr>
          <w:rFonts w:ascii="Calibri" w:hAnsi="Calibri" w:cs="Calibri"/>
          <w:sz w:val="22"/>
          <w:szCs w:val="22"/>
        </w:rPr>
        <w:t xml:space="preserve">those that hadn’t, while </w:t>
      </w:r>
      <w:proofErr w:type="spellStart"/>
      <w:r w:rsidRPr="007655A8">
        <w:rPr>
          <w:rFonts w:ascii="Calibri" w:hAnsi="Calibri" w:cs="Calibri"/>
          <w:i/>
          <w:iCs/>
          <w:sz w:val="22"/>
          <w:szCs w:val="22"/>
        </w:rPr>
        <w:t>Colibacter</w:t>
      </w:r>
      <w:proofErr w:type="spellEnd"/>
      <w:r w:rsidRPr="007655A8">
        <w:rPr>
          <w:rFonts w:ascii="Calibri" w:hAnsi="Calibri" w:cs="Calibri"/>
          <w:sz w:val="22"/>
          <w:szCs w:val="22"/>
        </w:rPr>
        <w:t xml:space="preserve"> showed the opposite. Both </w:t>
      </w:r>
      <w:proofErr w:type="spellStart"/>
      <w:r w:rsidRPr="007655A8">
        <w:rPr>
          <w:rFonts w:ascii="Calibri" w:hAnsi="Calibri" w:cs="Calibri"/>
          <w:i/>
          <w:iCs/>
          <w:sz w:val="22"/>
          <w:szCs w:val="22"/>
        </w:rPr>
        <w:t>Mitsuokella</w:t>
      </w:r>
      <w:proofErr w:type="spellEnd"/>
      <w:r w:rsidRPr="007655A8">
        <w:rPr>
          <w:rFonts w:ascii="Calibri" w:hAnsi="Calibri" w:cs="Calibri"/>
          <w:sz w:val="22"/>
          <w:szCs w:val="22"/>
        </w:rPr>
        <w:t xml:space="preserve"> and </w:t>
      </w:r>
      <w:proofErr w:type="spellStart"/>
      <w:r w:rsidRPr="007655A8">
        <w:rPr>
          <w:rFonts w:ascii="Calibri" w:hAnsi="Calibri" w:cs="Calibri"/>
          <w:i/>
          <w:iCs/>
          <w:sz w:val="22"/>
          <w:szCs w:val="22"/>
        </w:rPr>
        <w:t>Colibacter</w:t>
      </w:r>
      <w:proofErr w:type="spellEnd"/>
      <w:r w:rsidRPr="007655A8">
        <w:rPr>
          <w:rFonts w:ascii="Calibri" w:hAnsi="Calibri" w:cs="Calibri"/>
          <w:sz w:val="22"/>
          <w:szCs w:val="22"/>
        </w:rPr>
        <w:t xml:space="preserve"> were very low in prevalence in both groups (present in 7% and 0.8% of participants that hadn’t taken antibiotics and 7.2% and 0.75% of participants that had taken antibiotics, respectively). While most that had taken antibiotics within the last month cluster within those that hadn’t, one participant that had taken antibiotics groups away from all others on the PCA plot (Fig. S1</w:t>
      </w:r>
      <w:r w:rsidR="005F5D56">
        <w:rPr>
          <w:rFonts w:ascii="Calibri" w:hAnsi="Calibri" w:cs="Calibri"/>
          <w:sz w:val="22"/>
          <w:szCs w:val="22"/>
        </w:rPr>
        <w:t>3</w:t>
      </w:r>
      <w:r w:rsidRPr="007655A8">
        <w:rPr>
          <w:rFonts w:ascii="Calibri" w:hAnsi="Calibri" w:cs="Calibri"/>
          <w:sz w:val="22"/>
          <w:szCs w:val="22"/>
        </w:rPr>
        <w:t>). This participant was a white female who was 10 years old and did not indicate having been diagnosed with any physical</w:t>
      </w:r>
      <w:r w:rsidR="004A4A38" w:rsidRPr="007655A8">
        <w:rPr>
          <w:rFonts w:ascii="Calibri" w:hAnsi="Calibri" w:cs="Calibri"/>
          <w:sz w:val="22"/>
          <w:szCs w:val="22"/>
        </w:rPr>
        <w:t xml:space="preserve"> health conditions</w:t>
      </w:r>
      <w:r w:rsidRPr="007655A8">
        <w:rPr>
          <w:rFonts w:ascii="Calibri" w:hAnsi="Calibri" w:cs="Calibri"/>
          <w:sz w:val="22"/>
          <w:szCs w:val="22"/>
        </w:rPr>
        <w:t xml:space="preserve"> or </w:t>
      </w:r>
      <w:r w:rsidR="004A4A38" w:rsidRPr="007655A8">
        <w:rPr>
          <w:rFonts w:ascii="Calibri" w:hAnsi="Calibri" w:cs="Calibri"/>
          <w:sz w:val="22"/>
          <w:szCs w:val="22"/>
        </w:rPr>
        <w:t>psychiatric/neurodevelopmental disorders</w:t>
      </w:r>
      <w:r w:rsidRPr="007655A8">
        <w:rPr>
          <w:rFonts w:ascii="Calibri" w:hAnsi="Calibri" w:cs="Calibri"/>
          <w:sz w:val="22"/>
          <w:szCs w:val="22"/>
        </w:rPr>
        <w:t xml:space="preserve"> (Figs. S2-S5). </w:t>
      </w:r>
    </w:p>
    <w:p w14:paraId="479219CB" w14:textId="470E29F8" w:rsidR="00DE239C" w:rsidRPr="000E3428" w:rsidRDefault="00DE239C" w:rsidP="00DE239C">
      <w:pPr>
        <w:rPr>
          <w:rFonts w:ascii="Calibri" w:hAnsi="Calibri" w:cs="Calibri"/>
          <w:sz w:val="22"/>
          <w:szCs w:val="22"/>
        </w:rPr>
      </w:pPr>
      <w:r w:rsidRPr="007655A8">
        <w:rPr>
          <w:rFonts w:ascii="Calibri" w:hAnsi="Calibri" w:cs="Calibri"/>
          <w:sz w:val="22"/>
          <w:szCs w:val="22"/>
        </w:rPr>
        <w:lastRenderedPageBreak/>
        <w:t>Due to the unbalanced group sizes between those that had or hadn’t taken antibiotics within the last month, we also performed a sensitivity analysis where we ran PERMANOVA tests on the phylogenetic-RPCA distances using participants that had complete metadata for all demographic and diet variables as well as had given a Postal Code (</w:t>
      </w:r>
      <w:r w:rsidRPr="007655A8">
        <w:rPr>
          <w:rFonts w:ascii="Calibri" w:hAnsi="Calibri" w:cs="Calibri"/>
          <w:i/>
          <w:iCs/>
          <w:sz w:val="22"/>
          <w:szCs w:val="22"/>
        </w:rPr>
        <w:t>n</w:t>
      </w:r>
      <w:r w:rsidRPr="007655A8">
        <w:rPr>
          <w:rFonts w:ascii="Calibri" w:hAnsi="Calibri" w:cs="Calibri"/>
          <w:sz w:val="22"/>
          <w:szCs w:val="22"/>
        </w:rPr>
        <w:t>=2,</w:t>
      </w:r>
      <w:r w:rsidR="004D18B1" w:rsidRPr="007655A8">
        <w:rPr>
          <w:rFonts w:ascii="Calibri" w:hAnsi="Calibri" w:cs="Calibri"/>
          <w:sz w:val="22"/>
          <w:szCs w:val="22"/>
        </w:rPr>
        <w:t>594</w:t>
      </w:r>
      <w:r w:rsidRPr="007655A8">
        <w:rPr>
          <w:rFonts w:ascii="Calibri" w:hAnsi="Calibri" w:cs="Calibri"/>
          <w:sz w:val="22"/>
          <w:szCs w:val="22"/>
        </w:rPr>
        <w:t>). We performed these both with (</w:t>
      </w:r>
      <w:r w:rsidRPr="007655A8">
        <w:rPr>
          <w:rFonts w:ascii="Calibri" w:hAnsi="Calibri" w:cs="Calibri"/>
          <w:i/>
          <w:iCs/>
          <w:sz w:val="22"/>
          <w:szCs w:val="22"/>
        </w:rPr>
        <w:t>n</w:t>
      </w:r>
      <w:r w:rsidRPr="007655A8">
        <w:rPr>
          <w:rFonts w:ascii="Calibri" w:hAnsi="Calibri" w:cs="Calibri"/>
          <w:sz w:val="22"/>
          <w:szCs w:val="22"/>
        </w:rPr>
        <w:t>=2,</w:t>
      </w:r>
      <w:r w:rsidR="004D18B1" w:rsidRPr="007655A8">
        <w:rPr>
          <w:rFonts w:ascii="Calibri" w:hAnsi="Calibri" w:cs="Calibri"/>
          <w:sz w:val="22"/>
          <w:szCs w:val="22"/>
        </w:rPr>
        <w:t>594</w:t>
      </w:r>
      <w:r w:rsidRPr="007655A8">
        <w:rPr>
          <w:rFonts w:ascii="Calibri" w:hAnsi="Calibri" w:cs="Calibri"/>
          <w:sz w:val="22"/>
          <w:szCs w:val="22"/>
        </w:rPr>
        <w:t>) and without (</w:t>
      </w:r>
      <w:r w:rsidRPr="007655A8">
        <w:rPr>
          <w:rFonts w:ascii="Calibri" w:hAnsi="Calibri" w:cs="Calibri"/>
          <w:i/>
          <w:iCs/>
          <w:sz w:val="22"/>
          <w:szCs w:val="22"/>
        </w:rPr>
        <w:t>n</w:t>
      </w:r>
      <w:r w:rsidRPr="007655A8">
        <w:rPr>
          <w:rFonts w:ascii="Calibri" w:hAnsi="Calibri" w:cs="Calibri"/>
          <w:sz w:val="22"/>
          <w:szCs w:val="22"/>
        </w:rPr>
        <w:t>=2,4</w:t>
      </w:r>
      <w:r w:rsidR="004D18B1" w:rsidRPr="007655A8">
        <w:rPr>
          <w:rFonts w:ascii="Calibri" w:hAnsi="Calibri" w:cs="Calibri"/>
          <w:sz w:val="22"/>
          <w:szCs w:val="22"/>
        </w:rPr>
        <w:t>2</w:t>
      </w:r>
      <w:r w:rsidRPr="007655A8">
        <w:rPr>
          <w:rFonts w:ascii="Calibri" w:hAnsi="Calibri" w:cs="Calibri"/>
          <w:sz w:val="22"/>
          <w:szCs w:val="22"/>
        </w:rPr>
        <w:t xml:space="preserve">6) participants that had taken antibiotics. When participants that had taken antibiotics were included, the results were </w:t>
      </w:r>
      <w:proofErr w:type="gramStart"/>
      <w:r w:rsidRPr="007655A8">
        <w:rPr>
          <w:rFonts w:ascii="Calibri" w:hAnsi="Calibri" w:cs="Calibri"/>
          <w:sz w:val="22"/>
          <w:szCs w:val="22"/>
        </w:rPr>
        <w:t>similar to</w:t>
      </w:r>
      <w:proofErr w:type="gramEnd"/>
      <w:r w:rsidRPr="007655A8">
        <w:rPr>
          <w:rFonts w:ascii="Calibri" w:hAnsi="Calibri" w:cs="Calibri"/>
          <w:sz w:val="22"/>
          <w:szCs w:val="22"/>
        </w:rPr>
        <w:t xml:space="preserve"> those seen in the full cohort, with significant associations being observed with antibiotic use, age, gender, and </w:t>
      </w:r>
      <w:r w:rsidR="00E41357" w:rsidRPr="007655A8">
        <w:rPr>
          <w:rFonts w:ascii="Calibri" w:hAnsi="Calibri" w:cs="Calibri"/>
          <w:sz w:val="22"/>
          <w:szCs w:val="22"/>
        </w:rPr>
        <w:t>greenspace</w:t>
      </w:r>
      <w:r w:rsidRPr="007655A8">
        <w:rPr>
          <w:rFonts w:ascii="Calibri" w:hAnsi="Calibri" w:cs="Calibri"/>
          <w:sz w:val="22"/>
          <w:szCs w:val="22"/>
        </w:rPr>
        <w:t xml:space="preserve">. Notably, ethnicity and </w:t>
      </w:r>
      <w:r w:rsidR="004A4A38" w:rsidRPr="007655A8">
        <w:rPr>
          <w:rFonts w:ascii="Calibri" w:hAnsi="Calibri" w:cs="Calibri"/>
          <w:sz w:val="22"/>
          <w:szCs w:val="22"/>
        </w:rPr>
        <w:t>diagnosed</w:t>
      </w:r>
      <w:r w:rsidRPr="007655A8">
        <w:rPr>
          <w:rFonts w:ascii="Calibri" w:hAnsi="Calibri" w:cs="Calibri"/>
          <w:sz w:val="22"/>
          <w:szCs w:val="22"/>
        </w:rPr>
        <w:t xml:space="preserve"> health condition were no longer significant, although this could be due to the reduced sample size. The proportions of participants within different ethnicity groups also shifts in this reduced cohort, from 23, 14 and 63% East Asian, South Asian and White, respectively, to 31, 17, and 52%, respectively. When participants that had taken antibiotics were removed, </w:t>
      </w:r>
      <w:r w:rsidR="00844C27" w:rsidRPr="007655A8">
        <w:rPr>
          <w:rFonts w:ascii="Calibri" w:hAnsi="Calibri" w:cs="Calibri"/>
          <w:sz w:val="22"/>
          <w:szCs w:val="22"/>
        </w:rPr>
        <w:t>greenspace</w:t>
      </w:r>
      <w:r w:rsidRPr="007655A8">
        <w:rPr>
          <w:rFonts w:ascii="Calibri" w:hAnsi="Calibri" w:cs="Calibri"/>
          <w:sz w:val="22"/>
          <w:szCs w:val="22"/>
        </w:rPr>
        <w:t xml:space="preserve"> was no longer significant, although the effect sizes for the significant variables remained similar.</w:t>
      </w:r>
    </w:p>
    <w:p w14:paraId="369B94AC" w14:textId="77777777" w:rsidR="00EE7FEC" w:rsidRDefault="00EE7FEC">
      <w:pPr>
        <w:rPr>
          <w:rFonts w:ascii="Calibri" w:hAnsi="Calibri" w:cs="Calibri"/>
          <w:b/>
          <w:bCs/>
          <w:sz w:val="28"/>
          <w:szCs w:val="28"/>
        </w:rPr>
      </w:pPr>
    </w:p>
    <w:p w14:paraId="6EFC5C49" w14:textId="5B4664F3" w:rsidR="0007608B" w:rsidRDefault="0007608B">
      <w:pPr>
        <w:rPr>
          <w:rFonts w:ascii="Calibri" w:hAnsi="Calibri" w:cs="Calibri"/>
          <w:b/>
          <w:bCs/>
          <w:sz w:val="28"/>
          <w:szCs w:val="28"/>
        </w:rPr>
      </w:pPr>
      <w:r w:rsidRPr="0007608B">
        <w:rPr>
          <w:rFonts w:ascii="Calibri" w:hAnsi="Calibri" w:cs="Calibri"/>
          <w:b/>
          <w:bCs/>
          <w:sz w:val="28"/>
          <w:szCs w:val="28"/>
        </w:rPr>
        <w:t>Discussion</w:t>
      </w:r>
    </w:p>
    <w:p w14:paraId="548F1869" w14:textId="0555871A" w:rsidR="00DE239C" w:rsidRPr="00CE0EAC" w:rsidRDefault="00DE239C" w:rsidP="00DE239C">
      <w:pPr>
        <w:rPr>
          <w:rFonts w:ascii="Calibri" w:hAnsi="Calibri" w:cs="Calibri"/>
          <w:color w:val="000000" w:themeColor="text1"/>
          <w:sz w:val="22"/>
          <w:szCs w:val="22"/>
        </w:rPr>
      </w:pPr>
      <w:r w:rsidRPr="6E233010">
        <w:rPr>
          <w:rFonts w:ascii="Calibri" w:hAnsi="Calibri" w:cs="Calibri"/>
          <w:color w:val="000000" w:themeColor="text1"/>
          <w:sz w:val="22"/>
          <w:szCs w:val="22"/>
        </w:rPr>
        <w:t xml:space="preserve">We find that </w:t>
      </w:r>
      <w:proofErr w:type="spellStart"/>
      <w:r w:rsidRPr="6E233010">
        <w:rPr>
          <w:rFonts w:ascii="Calibri" w:hAnsi="Calibri" w:cs="Calibri"/>
          <w:i/>
          <w:iCs/>
          <w:color w:val="000000" w:themeColor="text1"/>
          <w:sz w:val="22"/>
          <w:szCs w:val="22"/>
        </w:rPr>
        <w:t>Prevotella</w:t>
      </w:r>
      <w:proofErr w:type="spellEnd"/>
      <w:r w:rsidRPr="6E233010">
        <w:rPr>
          <w:rFonts w:ascii="Calibri" w:hAnsi="Calibri" w:cs="Calibri"/>
          <w:color w:val="000000" w:themeColor="text1"/>
          <w:sz w:val="22"/>
          <w:szCs w:val="22"/>
        </w:rPr>
        <w:t xml:space="preserve">, </w:t>
      </w:r>
      <w:proofErr w:type="spellStart"/>
      <w:r w:rsidRPr="6E233010">
        <w:rPr>
          <w:rFonts w:ascii="Calibri" w:hAnsi="Calibri" w:cs="Calibri"/>
          <w:i/>
          <w:iCs/>
          <w:sz w:val="22"/>
          <w:szCs w:val="22"/>
        </w:rPr>
        <w:t>Granulicatella</w:t>
      </w:r>
      <w:proofErr w:type="spellEnd"/>
      <w:r w:rsidRPr="6E233010">
        <w:rPr>
          <w:rFonts w:ascii="Calibri" w:hAnsi="Calibri" w:cs="Calibri"/>
          <w:sz w:val="22"/>
          <w:szCs w:val="22"/>
        </w:rPr>
        <w:t xml:space="preserve">, </w:t>
      </w:r>
      <w:proofErr w:type="spellStart"/>
      <w:r w:rsidRPr="6E233010">
        <w:rPr>
          <w:rFonts w:ascii="Calibri" w:hAnsi="Calibri" w:cs="Calibri"/>
          <w:i/>
          <w:iCs/>
          <w:sz w:val="22"/>
          <w:szCs w:val="22"/>
        </w:rPr>
        <w:t>Megasphaera</w:t>
      </w:r>
      <w:proofErr w:type="spellEnd"/>
      <w:r w:rsidRPr="6E233010">
        <w:rPr>
          <w:rFonts w:ascii="Calibri" w:hAnsi="Calibri" w:cs="Calibri"/>
          <w:sz w:val="22"/>
          <w:szCs w:val="22"/>
        </w:rPr>
        <w:t xml:space="preserve">, </w:t>
      </w:r>
      <w:r w:rsidRPr="6E233010">
        <w:rPr>
          <w:rFonts w:ascii="Calibri" w:hAnsi="Calibri" w:cs="Calibri"/>
          <w:i/>
          <w:iCs/>
          <w:sz w:val="22"/>
          <w:szCs w:val="22"/>
        </w:rPr>
        <w:t>Streptococcus</w:t>
      </w:r>
      <w:r w:rsidRPr="6E233010">
        <w:rPr>
          <w:rFonts w:ascii="Calibri" w:hAnsi="Calibri" w:cs="Calibri"/>
          <w:sz w:val="22"/>
          <w:szCs w:val="22"/>
        </w:rPr>
        <w:t xml:space="preserve">, </w:t>
      </w:r>
      <w:proofErr w:type="spellStart"/>
      <w:r w:rsidRPr="6E233010">
        <w:rPr>
          <w:rFonts w:ascii="Calibri" w:hAnsi="Calibri" w:cs="Calibri"/>
          <w:i/>
          <w:iCs/>
          <w:sz w:val="22"/>
          <w:szCs w:val="22"/>
        </w:rPr>
        <w:t>Veillonella</w:t>
      </w:r>
      <w:proofErr w:type="spellEnd"/>
      <w:r w:rsidRPr="6E233010">
        <w:rPr>
          <w:rFonts w:ascii="Calibri" w:hAnsi="Calibri" w:cs="Calibri"/>
          <w:sz w:val="22"/>
          <w:szCs w:val="22"/>
        </w:rPr>
        <w:t xml:space="preserve">, </w:t>
      </w:r>
      <w:r w:rsidRPr="6E233010">
        <w:rPr>
          <w:rFonts w:ascii="Calibri" w:hAnsi="Calibri" w:cs="Calibri"/>
          <w:i/>
          <w:iCs/>
          <w:sz w:val="22"/>
          <w:szCs w:val="22"/>
        </w:rPr>
        <w:t>Gemella</w:t>
      </w:r>
      <w:r w:rsidRPr="6E233010">
        <w:rPr>
          <w:rFonts w:ascii="Calibri" w:hAnsi="Calibri" w:cs="Calibri"/>
          <w:sz w:val="22"/>
          <w:szCs w:val="22"/>
        </w:rPr>
        <w:t xml:space="preserve">, </w:t>
      </w:r>
      <w:proofErr w:type="spellStart"/>
      <w:r w:rsidRPr="6E233010">
        <w:rPr>
          <w:rFonts w:ascii="Calibri" w:hAnsi="Calibri" w:cs="Calibri"/>
          <w:i/>
          <w:iCs/>
          <w:sz w:val="22"/>
          <w:szCs w:val="22"/>
        </w:rPr>
        <w:t>Oribacterium</w:t>
      </w:r>
      <w:proofErr w:type="spellEnd"/>
      <w:r w:rsidRPr="6E233010">
        <w:rPr>
          <w:rFonts w:ascii="Calibri" w:hAnsi="Calibri" w:cs="Calibri"/>
          <w:sz w:val="22"/>
          <w:szCs w:val="22"/>
        </w:rPr>
        <w:t xml:space="preserve">, and </w:t>
      </w:r>
      <w:proofErr w:type="spellStart"/>
      <w:r w:rsidRPr="6E233010">
        <w:rPr>
          <w:rFonts w:ascii="Calibri" w:hAnsi="Calibri" w:cs="Calibri"/>
          <w:i/>
          <w:iCs/>
          <w:sz w:val="22"/>
          <w:szCs w:val="22"/>
        </w:rPr>
        <w:t>Cloacibacterium</w:t>
      </w:r>
      <w:proofErr w:type="spellEnd"/>
      <w:r w:rsidRPr="6E233010">
        <w:rPr>
          <w:rFonts w:ascii="Calibri" w:hAnsi="Calibri" w:cs="Calibri"/>
          <w:sz w:val="22"/>
          <w:szCs w:val="22"/>
        </w:rPr>
        <w:t xml:space="preserve"> are more abundant in White than either East Asian or South Asian participants, while the reverse is true for </w:t>
      </w:r>
      <w:r w:rsidRPr="6E233010">
        <w:rPr>
          <w:rFonts w:ascii="Calibri" w:hAnsi="Calibri" w:cs="Calibri"/>
          <w:i/>
          <w:iCs/>
          <w:sz w:val="22"/>
          <w:szCs w:val="22"/>
        </w:rPr>
        <w:t>Porphyromonas</w:t>
      </w:r>
      <w:r w:rsidRPr="6E233010">
        <w:rPr>
          <w:rFonts w:ascii="Calibri" w:hAnsi="Calibri" w:cs="Calibri"/>
          <w:sz w:val="22"/>
          <w:szCs w:val="22"/>
        </w:rPr>
        <w:t xml:space="preserve">, </w:t>
      </w:r>
      <w:proofErr w:type="spellStart"/>
      <w:r w:rsidRPr="6E233010">
        <w:rPr>
          <w:rFonts w:ascii="Calibri" w:hAnsi="Calibri" w:cs="Calibri"/>
          <w:i/>
          <w:iCs/>
          <w:sz w:val="22"/>
          <w:szCs w:val="22"/>
        </w:rPr>
        <w:t>Aggregatibacter</w:t>
      </w:r>
      <w:proofErr w:type="spellEnd"/>
      <w:r w:rsidRPr="6E233010">
        <w:rPr>
          <w:rFonts w:ascii="Calibri" w:hAnsi="Calibri" w:cs="Calibri"/>
          <w:sz w:val="22"/>
          <w:szCs w:val="22"/>
        </w:rPr>
        <w:t xml:space="preserve">, </w:t>
      </w:r>
      <w:r w:rsidRPr="6E233010">
        <w:rPr>
          <w:rFonts w:ascii="Calibri" w:hAnsi="Calibri" w:cs="Calibri"/>
          <w:i/>
          <w:iCs/>
          <w:sz w:val="22"/>
          <w:szCs w:val="22"/>
        </w:rPr>
        <w:t>Neisseria</w:t>
      </w:r>
      <w:r w:rsidRPr="6E233010">
        <w:rPr>
          <w:rFonts w:ascii="Calibri" w:hAnsi="Calibri" w:cs="Calibri"/>
          <w:sz w:val="22"/>
          <w:szCs w:val="22"/>
        </w:rPr>
        <w:t xml:space="preserve"> and </w:t>
      </w:r>
      <w:proofErr w:type="spellStart"/>
      <w:r w:rsidRPr="6E233010">
        <w:rPr>
          <w:rFonts w:ascii="Calibri" w:hAnsi="Calibri" w:cs="Calibri"/>
          <w:i/>
          <w:iCs/>
          <w:sz w:val="22"/>
          <w:szCs w:val="22"/>
        </w:rPr>
        <w:t>Capnocytophaga</w:t>
      </w:r>
      <w:proofErr w:type="spellEnd"/>
      <w:r w:rsidRPr="6E233010">
        <w:rPr>
          <w:rFonts w:ascii="Calibri" w:hAnsi="Calibri" w:cs="Calibri"/>
          <w:sz w:val="22"/>
          <w:szCs w:val="22"/>
        </w:rPr>
        <w:t xml:space="preserve">. </w:t>
      </w:r>
      <w:r w:rsidRPr="6E233010">
        <w:rPr>
          <w:rFonts w:ascii="Calibri" w:hAnsi="Calibri" w:cs="Calibri"/>
          <w:color w:val="000000" w:themeColor="text1"/>
          <w:sz w:val="22"/>
          <w:szCs w:val="22"/>
        </w:rPr>
        <w:t xml:space="preserve">A previous study that explored differences in the oral microbiome according to race/ethnicity in adults identified only </w:t>
      </w:r>
      <w:r>
        <w:rPr>
          <w:rFonts w:ascii="Calibri" w:hAnsi="Calibri" w:cs="Calibri"/>
          <w:color w:val="000000" w:themeColor="text1"/>
          <w:sz w:val="22"/>
          <w:szCs w:val="22"/>
        </w:rPr>
        <w:t>Operational Taxonomic Units (</w:t>
      </w:r>
      <w:r w:rsidRPr="6E233010">
        <w:rPr>
          <w:rFonts w:ascii="Calibri" w:hAnsi="Calibri" w:cs="Calibri"/>
          <w:color w:val="000000" w:themeColor="text1"/>
          <w:sz w:val="22"/>
          <w:szCs w:val="22"/>
        </w:rPr>
        <w:t>OTUs</w:t>
      </w:r>
      <w:r>
        <w:rPr>
          <w:rFonts w:ascii="Calibri" w:hAnsi="Calibri" w:cs="Calibri"/>
          <w:color w:val="000000" w:themeColor="text1"/>
          <w:sz w:val="22"/>
          <w:szCs w:val="22"/>
        </w:rPr>
        <w:t>)</w:t>
      </w:r>
      <w:r w:rsidRPr="6E233010">
        <w:rPr>
          <w:rFonts w:ascii="Calibri" w:hAnsi="Calibri" w:cs="Calibri"/>
          <w:color w:val="000000" w:themeColor="text1"/>
          <w:sz w:val="22"/>
          <w:szCs w:val="22"/>
        </w:rPr>
        <w:t xml:space="preserve"> within </w:t>
      </w:r>
      <w:proofErr w:type="spellStart"/>
      <w:r w:rsidRPr="6E233010">
        <w:rPr>
          <w:rFonts w:ascii="Calibri" w:hAnsi="Calibri" w:cs="Calibri"/>
          <w:i/>
          <w:iCs/>
          <w:color w:val="000000" w:themeColor="text1"/>
          <w:sz w:val="22"/>
          <w:szCs w:val="22"/>
        </w:rPr>
        <w:t>Alloprevotella</w:t>
      </w:r>
      <w:proofErr w:type="spellEnd"/>
      <w:r w:rsidRPr="6E233010">
        <w:rPr>
          <w:rFonts w:ascii="Calibri" w:hAnsi="Calibri" w:cs="Calibri"/>
          <w:color w:val="000000" w:themeColor="text1"/>
          <w:sz w:val="22"/>
          <w:szCs w:val="22"/>
        </w:rPr>
        <w:t xml:space="preserve"> (</w:t>
      </w:r>
      <w:proofErr w:type="spellStart"/>
      <w:r w:rsidRPr="6E233010">
        <w:rPr>
          <w:rFonts w:ascii="Calibri" w:hAnsi="Calibri" w:cs="Calibri"/>
          <w:color w:val="000000" w:themeColor="text1"/>
          <w:sz w:val="22"/>
          <w:szCs w:val="22"/>
        </w:rPr>
        <w:t>Prevotellaceae</w:t>
      </w:r>
      <w:proofErr w:type="spellEnd"/>
      <w:r w:rsidRPr="6E233010">
        <w:rPr>
          <w:rFonts w:ascii="Calibri" w:hAnsi="Calibri" w:cs="Calibri"/>
          <w:color w:val="000000" w:themeColor="text1"/>
          <w:sz w:val="22"/>
          <w:szCs w:val="22"/>
        </w:rPr>
        <w:t xml:space="preserve">) as DA between White and Asian participants, although this included only 282 participants in total </w:t>
      </w:r>
      <w:sdt>
        <w:sdtPr>
          <w:rPr>
            <w:rFonts w:ascii="Calibri" w:hAnsi="Calibri" w:cs="Calibri"/>
            <w:color w:val="000000"/>
            <w:sz w:val="22"/>
            <w:szCs w:val="22"/>
            <w:vertAlign w:val="superscript"/>
          </w:rPr>
          <w:tag w:val="MENDELEY_CITATION_v3_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"/>
          <w:id w:val="139857087"/>
          <w:placeholder>
            <w:docPart w:val="FDB02D9B2F04484587DEA4BB88A0B9B1"/>
          </w:placeholder>
        </w:sdtPr>
        <w:sdtEndPr/>
        <w:sdtContent>
          <w:r w:rsidR="005D4FD5" w:rsidRPr="005D4FD5">
            <w:rPr>
              <w:rFonts w:ascii="Calibri" w:hAnsi="Calibri" w:cs="Calibri"/>
              <w:color w:val="000000"/>
              <w:sz w:val="22"/>
              <w:szCs w:val="22"/>
              <w:vertAlign w:val="superscript"/>
            </w:rPr>
            <w:t>11</w:t>
          </w:r>
        </w:sdtContent>
      </w:sdt>
      <w:r w:rsidRPr="6E233010">
        <w:rPr>
          <w:rFonts w:ascii="Calibri" w:hAnsi="Calibri" w:cs="Calibri"/>
          <w:color w:val="000000" w:themeColor="text1"/>
          <w:sz w:val="22"/>
          <w:szCs w:val="22"/>
        </w:rPr>
        <w:t xml:space="preserve">; our previous study in adults did not examine differences due to race or ethnicity </w:t>
      </w:r>
      <w:sdt>
        <w:sdtPr>
          <w:rPr>
            <w:rFonts w:ascii="Calibri" w:hAnsi="Calibri" w:cs="Calibri"/>
            <w:color w:val="000000"/>
            <w:sz w:val="22"/>
            <w:szCs w:val="22"/>
            <w:vertAlign w:val="superscript"/>
          </w:rPr>
          <w:tag w:val="MENDELEY_CITATION_v3_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"/>
          <w:id w:val="1223945326"/>
          <w:placeholder>
            <w:docPart w:val="FDB02D9B2F04484587DEA4BB88A0B9B1"/>
          </w:placeholder>
        </w:sdtPr>
        <w:sdtEndPr/>
        <w:sdtContent>
          <w:r w:rsidR="005D4FD5" w:rsidRPr="005D4FD5">
            <w:rPr>
              <w:rFonts w:ascii="Calibri" w:hAnsi="Calibri" w:cs="Calibri"/>
              <w:color w:val="000000"/>
              <w:sz w:val="22"/>
              <w:szCs w:val="22"/>
              <w:vertAlign w:val="superscript"/>
            </w:rPr>
            <w:t>3</w:t>
          </w:r>
        </w:sdtContent>
      </w:sdt>
      <w:r w:rsidRPr="6E233010">
        <w:rPr>
          <w:rFonts w:ascii="Calibri" w:hAnsi="Calibri" w:cs="Calibri"/>
          <w:color w:val="000000" w:themeColor="text1"/>
          <w:sz w:val="22"/>
          <w:szCs w:val="22"/>
        </w:rPr>
        <w:t xml:space="preserve">. Another previous study examining the sub-gingival plaque microbiome in adults also reported that </w:t>
      </w:r>
      <w:r w:rsidRPr="6E233010">
        <w:rPr>
          <w:rFonts w:ascii="Calibri" w:hAnsi="Calibri" w:cs="Calibri"/>
          <w:i/>
          <w:iCs/>
          <w:color w:val="000000" w:themeColor="text1"/>
          <w:sz w:val="22"/>
          <w:szCs w:val="22"/>
        </w:rPr>
        <w:t>Prevotella</w:t>
      </w:r>
      <w:r w:rsidRPr="6E233010">
        <w:rPr>
          <w:rFonts w:ascii="Calibri" w:hAnsi="Calibri" w:cs="Calibri"/>
          <w:color w:val="000000" w:themeColor="text1"/>
          <w:sz w:val="22"/>
          <w:szCs w:val="22"/>
        </w:rPr>
        <w:t xml:space="preserve"> were associated with White participants while </w:t>
      </w:r>
      <w:proofErr w:type="spellStart"/>
      <w:r w:rsidRPr="6E233010">
        <w:rPr>
          <w:rFonts w:ascii="Calibri" w:hAnsi="Calibri" w:cs="Calibri"/>
          <w:i/>
          <w:iCs/>
          <w:color w:val="000000" w:themeColor="text1"/>
          <w:sz w:val="22"/>
          <w:szCs w:val="22"/>
        </w:rPr>
        <w:t>Capnocytophaga</w:t>
      </w:r>
      <w:proofErr w:type="spellEnd"/>
      <w:r w:rsidRPr="6E233010">
        <w:rPr>
          <w:rFonts w:ascii="Calibri" w:hAnsi="Calibri" w:cs="Calibri"/>
          <w:color w:val="000000" w:themeColor="text1"/>
          <w:sz w:val="22"/>
          <w:szCs w:val="22"/>
        </w:rPr>
        <w:t xml:space="preserve"> and </w:t>
      </w:r>
      <w:r w:rsidRPr="6E233010">
        <w:rPr>
          <w:rFonts w:ascii="Calibri" w:hAnsi="Calibri" w:cs="Calibri"/>
          <w:i/>
          <w:iCs/>
          <w:color w:val="000000" w:themeColor="text1"/>
          <w:sz w:val="22"/>
          <w:szCs w:val="22"/>
        </w:rPr>
        <w:t>Porphyromonas</w:t>
      </w:r>
      <w:r w:rsidRPr="6E233010">
        <w:rPr>
          <w:rFonts w:ascii="Calibri" w:hAnsi="Calibri" w:cs="Calibri"/>
          <w:color w:val="000000" w:themeColor="text1"/>
          <w:sz w:val="22"/>
          <w:szCs w:val="22"/>
        </w:rPr>
        <w:t xml:space="preserve"> were associated with Chinese (</w:t>
      </w:r>
      <w:r w:rsidRPr="6E233010">
        <w:rPr>
          <w:rFonts w:ascii="Calibri" w:hAnsi="Calibri" w:cs="Calibri"/>
          <w:i/>
          <w:iCs/>
          <w:color w:val="000000" w:themeColor="text1"/>
          <w:sz w:val="22"/>
          <w:szCs w:val="22"/>
        </w:rPr>
        <w:t>i.e.</w:t>
      </w:r>
      <w:r w:rsidRPr="6E233010">
        <w:rPr>
          <w:rFonts w:ascii="Calibri" w:hAnsi="Calibri" w:cs="Calibri"/>
          <w:color w:val="000000" w:themeColor="text1"/>
          <w:sz w:val="22"/>
          <w:szCs w:val="22"/>
        </w:rPr>
        <w:t xml:space="preserve">, East Asian) participants </w:t>
      </w:r>
      <w:sdt>
        <w:sdtPr>
          <w:rPr>
            <w:rFonts w:ascii="Calibri" w:hAnsi="Calibri" w:cs="Calibri"/>
            <w:color w:val="000000"/>
            <w:sz w:val="22"/>
            <w:szCs w:val="22"/>
            <w:vertAlign w:val="superscript"/>
          </w:rPr>
          <w:tag w:val="MENDELEY_CITATION_v3_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"/>
          <w:id w:val="-125544324"/>
          <w:placeholder>
            <w:docPart w:val="EFB04CCA5093454DB16F95B1A911395E"/>
          </w:placeholder>
        </w:sdtPr>
        <w:sdtEndPr/>
        <w:sdtContent>
          <w:r w:rsidR="005D4FD5" w:rsidRPr="005D4FD5">
            <w:rPr>
              <w:rFonts w:ascii="Calibri" w:hAnsi="Calibri" w:cs="Calibri"/>
              <w:color w:val="000000"/>
              <w:sz w:val="22"/>
              <w:szCs w:val="22"/>
              <w:vertAlign w:val="superscript"/>
            </w:rPr>
            <w:t>12</w:t>
          </w:r>
        </w:sdtContent>
      </w:sdt>
      <w:r w:rsidRPr="6E233010">
        <w:rPr>
          <w:rFonts w:ascii="Calibri" w:hAnsi="Calibri" w:cs="Calibri"/>
          <w:color w:val="000000" w:themeColor="text1"/>
          <w:sz w:val="22"/>
          <w:szCs w:val="22"/>
        </w:rPr>
        <w:t xml:space="preserve">. Unfortunately, in this cohort we were limited to including participants for which DNA extractions had already been performed on their saliva samples and this meant including only participants that were of East Asian, South Asian, or White ethnicity, preventing analyses that look across a wider range of ethnic or racial groups. </w:t>
      </w:r>
    </w:p>
    <w:p w14:paraId="10A860DE" w14:textId="461073F5" w:rsidR="00DE239C" w:rsidRDefault="00DE239C" w:rsidP="00DE239C">
      <w:pPr>
        <w:rPr>
          <w:rFonts w:ascii="Calibri" w:hAnsi="Calibri" w:cs="Calibri"/>
          <w:color w:val="000000"/>
          <w:sz w:val="22"/>
          <w:szCs w:val="22"/>
        </w:rPr>
      </w:pPr>
      <w:r>
        <w:rPr>
          <w:rFonts w:ascii="Calibri" w:hAnsi="Calibri" w:cs="Calibri"/>
          <w:color w:val="000000"/>
          <w:sz w:val="22"/>
          <w:szCs w:val="22"/>
        </w:rPr>
        <w:t xml:space="preserve">Gender was significantly associated with beta diversity as well as evenness and Simpson’s index of diversity, but not any measures of richness (Figs. 1 and S4). Both evenness and Simpson’s index of diversity were significantly higher in females than males, although the magnitude of differences was minor. Conversely, two previous studies reported higher diversity in males than females in saliva in children (using Inverse Simpson’s Index </w:t>
      </w:r>
      <w:sdt>
        <w:sdtPr>
          <w:rPr>
            <w:rFonts w:ascii="Calibri" w:hAnsi="Calibri" w:cs="Calibri"/>
            <w:color w:val="000000"/>
            <w:sz w:val="22"/>
            <w:szCs w:val="22"/>
            <w:vertAlign w:val="superscript"/>
          </w:rPr>
          <w:tag w:val="MENDELEY_CITATION_v3_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"/>
          <w:id w:val="586121305"/>
          <w:placeholder>
            <w:docPart w:val="FDB02D9B2F04484587DEA4BB88A0B9B1"/>
          </w:placeholder>
        </w:sdtPr>
        <w:sdtEndPr/>
        <w:sdtContent>
          <w:r w:rsidR="005D4FD5" w:rsidRPr="005D4FD5">
            <w:rPr>
              <w:rFonts w:ascii="Calibri" w:hAnsi="Calibri" w:cs="Calibri"/>
              <w:color w:val="000000"/>
              <w:sz w:val="22"/>
              <w:szCs w:val="22"/>
              <w:vertAlign w:val="superscript"/>
            </w:rPr>
            <w:t>13</w:t>
          </w:r>
        </w:sdtContent>
      </w:sdt>
      <w:r>
        <w:rPr>
          <w:rFonts w:ascii="Calibri" w:hAnsi="Calibri" w:cs="Calibri"/>
          <w:color w:val="000000"/>
          <w:sz w:val="22"/>
          <w:szCs w:val="22"/>
        </w:rPr>
        <w:t xml:space="preserve">, Chao1 richness and Fisher’s alpha </w:t>
      </w:r>
      <w:sdt>
        <w:sdtPr>
          <w:rPr>
            <w:rFonts w:ascii="Calibri" w:hAnsi="Calibri" w:cs="Calibri"/>
            <w:color w:val="000000"/>
            <w:sz w:val="22"/>
            <w:szCs w:val="22"/>
            <w:vertAlign w:val="superscript"/>
          </w:rPr>
          <w:tag w:val="MENDELEY_CITATION_v3_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"/>
          <w:id w:val="1404793496"/>
          <w:placeholder>
            <w:docPart w:val="FDB02D9B2F04484587DEA4BB88A0B9B1"/>
          </w:placeholder>
        </w:sdtPr>
        <w:sdtEndPr/>
        <w:sdtContent>
          <w:r w:rsidR="005D4FD5" w:rsidRPr="005D4FD5">
            <w:rPr>
              <w:rFonts w:ascii="Calibri" w:hAnsi="Calibri" w:cs="Calibri"/>
              <w:color w:val="000000"/>
              <w:sz w:val="22"/>
              <w:szCs w:val="22"/>
              <w:vertAlign w:val="superscript"/>
            </w:rPr>
            <w:t>14</w:t>
          </w:r>
        </w:sdtContent>
      </w:sdt>
      <w:r w:rsidRPr="00484A00">
        <w:rPr>
          <w:rFonts w:ascii="Calibri" w:hAnsi="Calibri" w:cs="Calibri"/>
          <w:color w:val="000000"/>
          <w:sz w:val="22"/>
          <w:szCs w:val="22"/>
        </w:rPr>
        <w:t>)</w:t>
      </w:r>
      <w:r>
        <w:rPr>
          <w:rFonts w:ascii="Calibri" w:hAnsi="Calibri" w:cs="Calibri"/>
          <w:color w:val="000000"/>
          <w:sz w:val="22"/>
          <w:szCs w:val="22"/>
        </w:rPr>
        <w:t xml:space="preserve"> and nasopharyngeal samples in children and young adults (using the Shannon Index </w:t>
      </w:r>
      <w:sdt>
        <w:sdtPr>
          <w:rPr>
            <w:rFonts w:ascii="Calibri" w:hAnsi="Calibri" w:cs="Calibri"/>
            <w:color w:val="000000"/>
            <w:sz w:val="22"/>
            <w:szCs w:val="22"/>
            <w:vertAlign w:val="superscript"/>
          </w:rPr>
          <w:tag w:val="MENDELEY_CITATION_v3_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"/>
          <w:id w:val="574783057"/>
          <w:placeholder>
            <w:docPart w:val="FDB02D9B2F04484587DEA4BB88A0B9B1"/>
          </w:placeholder>
        </w:sdtPr>
        <w:sdtEndPr/>
        <w:sdtContent>
          <w:r w:rsidR="005D4FD5" w:rsidRPr="005D4FD5">
            <w:rPr>
              <w:rFonts w:ascii="Calibri" w:hAnsi="Calibri" w:cs="Calibri"/>
              <w:color w:val="000000"/>
              <w:sz w:val="22"/>
              <w:szCs w:val="22"/>
              <w:vertAlign w:val="superscript"/>
            </w:rPr>
            <w:t>8</w:t>
          </w:r>
        </w:sdtContent>
      </w:sdt>
      <w:r w:rsidRPr="00157721">
        <w:rPr>
          <w:rFonts w:ascii="Calibri" w:hAnsi="Calibri" w:cs="Calibri"/>
          <w:color w:val="000000"/>
          <w:sz w:val="22"/>
          <w:szCs w:val="22"/>
        </w:rPr>
        <w:t>)</w:t>
      </w:r>
      <w:r>
        <w:rPr>
          <w:rFonts w:ascii="Calibri" w:hAnsi="Calibri" w:cs="Calibri"/>
          <w:color w:val="000000"/>
          <w:sz w:val="22"/>
          <w:szCs w:val="22"/>
        </w:rPr>
        <w:t xml:space="preserve">, although several of the other large oral microbiome studies in children and adolescents do not report on sex or gender differences in alpha diversity </w:t>
      </w:r>
      <w:sdt>
        <w:sdtPr>
          <w:rPr>
            <w:rFonts w:ascii="Calibri" w:hAnsi="Calibri" w:cs="Calibri"/>
            <w:color w:val="000000"/>
            <w:sz w:val="22"/>
            <w:szCs w:val="22"/>
            <w:vertAlign w:val="superscript"/>
          </w:rPr>
          <w:tag w:val="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"/>
          <w:id w:val="-513544498"/>
          <w:placeholder>
            <w:docPart w:val="FDB02D9B2F04484587DEA4BB88A0B9B1"/>
          </w:placeholder>
        </w:sdtPr>
        <w:sdtEndPr/>
        <w:sdtContent>
          <w:r w:rsidR="005D4FD5" w:rsidRPr="005D4FD5">
            <w:rPr>
              <w:rFonts w:ascii="Calibri" w:hAnsi="Calibri" w:cs="Calibri"/>
              <w:color w:val="000000"/>
              <w:sz w:val="22"/>
              <w:szCs w:val="22"/>
              <w:vertAlign w:val="superscript"/>
            </w:rPr>
            <w:t>15,16</w:t>
          </w:r>
        </w:sdtContent>
      </w:sdt>
      <w:r>
        <w:rPr>
          <w:rFonts w:ascii="Calibri" w:hAnsi="Calibri" w:cs="Calibri"/>
          <w:color w:val="000000"/>
          <w:sz w:val="22"/>
          <w:szCs w:val="22"/>
        </w:rPr>
        <w:t xml:space="preserve"> and our previous study in adults did not find significant associations between sex and alpha diversity </w:t>
      </w:r>
      <w:sdt>
        <w:sdtPr>
          <w:rPr>
            <w:rFonts w:ascii="Calibri" w:hAnsi="Calibri" w:cs="Calibri"/>
            <w:color w:val="000000"/>
            <w:sz w:val="22"/>
            <w:szCs w:val="22"/>
            <w:vertAlign w:val="superscript"/>
          </w:rPr>
          <w:tag w:val="MENDELEY_CITATION_v3_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"/>
          <w:id w:val="682564213"/>
          <w:placeholder>
            <w:docPart w:val="997376A6CC1A3248B35C48F57DB88385"/>
          </w:placeholder>
        </w:sdtPr>
        <w:sdtEndPr/>
        <w:sdtContent>
          <w:r w:rsidR="005D4FD5" w:rsidRPr="005D4FD5">
            <w:rPr>
              <w:rFonts w:ascii="Calibri" w:hAnsi="Calibri" w:cs="Calibri"/>
              <w:color w:val="000000"/>
              <w:sz w:val="22"/>
              <w:szCs w:val="22"/>
              <w:vertAlign w:val="superscript"/>
            </w:rPr>
            <w:t>3</w:t>
          </w:r>
        </w:sdtContent>
      </w:sdt>
      <w:r>
        <w:rPr>
          <w:rFonts w:ascii="Calibri" w:hAnsi="Calibri" w:cs="Calibri"/>
          <w:color w:val="000000"/>
          <w:sz w:val="22"/>
          <w:szCs w:val="22"/>
        </w:rPr>
        <w:t xml:space="preserve">. Four of the abundant genera that were DA with age were also DA with gender, with </w:t>
      </w:r>
      <w:r>
        <w:rPr>
          <w:rFonts w:ascii="Calibri" w:hAnsi="Calibri" w:cs="Calibri"/>
          <w:i/>
          <w:iCs/>
          <w:color w:val="000000"/>
          <w:sz w:val="22"/>
          <w:szCs w:val="22"/>
        </w:rPr>
        <w:t>Gemella</w:t>
      </w:r>
      <w:r>
        <w:rPr>
          <w:rFonts w:ascii="Calibri" w:hAnsi="Calibri" w:cs="Calibri"/>
          <w:color w:val="000000"/>
          <w:sz w:val="22"/>
          <w:szCs w:val="22"/>
        </w:rPr>
        <w:t xml:space="preserve">, </w:t>
      </w:r>
      <w:r>
        <w:rPr>
          <w:rFonts w:ascii="Calibri" w:hAnsi="Calibri" w:cs="Calibri"/>
          <w:i/>
          <w:iCs/>
          <w:color w:val="000000"/>
          <w:sz w:val="22"/>
          <w:szCs w:val="22"/>
        </w:rPr>
        <w:t>Haemophilus</w:t>
      </w:r>
      <w:r>
        <w:rPr>
          <w:rFonts w:ascii="Calibri" w:hAnsi="Calibri" w:cs="Calibri"/>
          <w:color w:val="000000"/>
          <w:sz w:val="22"/>
          <w:szCs w:val="22"/>
        </w:rPr>
        <w:t xml:space="preserve">, and </w:t>
      </w:r>
      <w:r>
        <w:rPr>
          <w:rFonts w:ascii="Calibri" w:hAnsi="Calibri" w:cs="Calibri"/>
          <w:i/>
          <w:iCs/>
          <w:color w:val="000000"/>
          <w:sz w:val="22"/>
          <w:szCs w:val="22"/>
        </w:rPr>
        <w:t>Neisseria</w:t>
      </w:r>
      <w:r>
        <w:rPr>
          <w:rFonts w:ascii="Calibri" w:hAnsi="Calibri" w:cs="Calibri"/>
          <w:color w:val="000000"/>
          <w:sz w:val="22"/>
          <w:szCs w:val="22"/>
        </w:rPr>
        <w:t xml:space="preserve"> being more abundant in males than females while </w:t>
      </w:r>
      <w:r>
        <w:rPr>
          <w:rFonts w:ascii="Calibri" w:hAnsi="Calibri" w:cs="Calibri"/>
          <w:i/>
          <w:iCs/>
          <w:color w:val="000000"/>
          <w:sz w:val="22"/>
          <w:szCs w:val="22"/>
        </w:rPr>
        <w:t>Prevotella</w:t>
      </w:r>
      <w:r>
        <w:rPr>
          <w:rFonts w:ascii="Calibri" w:hAnsi="Calibri" w:cs="Calibri"/>
          <w:color w:val="000000"/>
          <w:sz w:val="22"/>
          <w:szCs w:val="22"/>
        </w:rPr>
        <w:t xml:space="preserve"> is more abundant in females than males on average, but these trends appear to reverse in the oldest age groups where our sample size is limited (Figs. 2 and S9). Interestingly, ASVs classified as </w:t>
      </w:r>
      <w:r>
        <w:rPr>
          <w:rFonts w:ascii="Calibri" w:hAnsi="Calibri" w:cs="Calibri"/>
          <w:i/>
          <w:iCs/>
          <w:color w:val="000000"/>
          <w:sz w:val="22"/>
          <w:szCs w:val="22"/>
        </w:rPr>
        <w:t>Gemella</w:t>
      </w:r>
      <w:r>
        <w:rPr>
          <w:rFonts w:ascii="Calibri" w:hAnsi="Calibri" w:cs="Calibri"/>
          <w:color w:val="000000"/>
          <w:sz w:val="22"/>
          <w:szCs w:val="22"/>
        </w:rPr>
        <w:t xml:space="preserve">, </w:t>
      </w:r>
      <w:r>
        <w:rPr>
          <w:rFonts w:ascii="Calibri" w:hAnsi="Calibri" w:cs="Calibri"/>
          <w:i/>
          <w:iCs/>
          <w:color w:val="000000"/>
          <w:sz w:val="22"/>
          <w:szCs w:val="22"/>
        </w:rPr>
        <w:t>Haemophilus</w:t>
      </w:r>
      <w:r>
        <w:rPr>
          <w:rFonts w:ascii="Calibri" w:hAnsi="Calibri" w:cs="Calibri"/>
          <w:color w:val="000000"/>
          <w:sz w:val="22"/>
          <w:szCs w:val="22"/>
        </w:rPr>
        <w:t xml:space="preserve"> and </w:t>
      </w:r>
      <w:r>
        <w:rPr>
          <w:rFonts w:ascii="Calibri" w:hAnsi="Calibri" w:cs="Calibri"/>
          <w:i/>
          <w:iCs/>
          <w:color w:val="000000"/>
          <w:sz w:val="22"/>
          <w:szCs w:val="22"/>
        </w:rPr>
        <w:t>Neisseria</w:t>
      </w:r>
      <w:r>
        <w:rPr>
          <w:rFonts w:ascii="Calibri" w:hAnsi="Calibri" w:cs="Calibri"/>
          <w:color w:val="000000"/>
          <w:sz w:val="22"/>
          <w:szCs w:val="22"/>
        </w:rPr>
        <w:t xml:space="preserve"> were identified as being significantly more abundant in male than female 10–14-year-olds by Odendaal </w:t>
      </w:r>
      <w:r>
        <w:rPr>
          <w:rFonts w:ascii="Calibri" w:hAnsi="Calibri" w:cs="Calibri"/>
          <w:i/>
          <w:iCs/>
          <w:color w:val="000000"/>
          <w:sz w:val="22"/>
          <w:szCs w:val="22"/>
        </w:rPr>
        <w:t>et al.</w:t>
      </w:r>
      <w:r>
        <w:rPr>
          <w:rFonts w:ascii="Calibri" w:hAnsi="Calibri" w:cs="Calibri"/>
          <w:color w:val="000000"/>
          <w:sz w:val="22"/>
          <w:szCs w:val="22"/>
        </w:rPr>
        <w:t xml:space="preserve"> in nasopharyngeal – but not saliva/oropharyngeal – </w:t>
      </w:r>
      <w:r>
        <w:rPr>
          <w:rFonts w:ascii="Calibri" w:hAnsi="Calibri" w:cs="Calibri"/>
          <w:color w:val="000000"/>
          <w:sz w:val="22"/>
          <w:szCs w:val="22"/>
        </w:rPr>
        <w:lastRenderedPageBreak/>
        <w:t xml:space="preserve">samples </w:t>
      </w:r>
      <w:sdt>
        <w:sdtPr>
          <w:rPr>
            <w:rFonts w:ascii="Calibri" w:hAnsi="Calibri" w:cs="Calibri"/>
            <w:color w:val="000000"/>
            <w:sz w:val="22"/>
            <w:szCs w:val="22"/>
            <w:vertAlign w:val="superscript"/>
          </w:rPr>
          <w:tag w:val="MENDELEY_CITATION_v3_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"/>
          <w:id w:val="-1983295300"/>
          <w:placeholder>
            <w:docPart w:val="A6ED44AFB94AC14A9DB8E61A20A183F8"/>
          </w:placeholder>
        </w:sdtPr>
        <w:sdtEndPr/>
        <w:sdtContent>
          <w:r w:rsidR="005D4FD5" w:rsidRPr="005D4FD5">
            <w:rPr>
              <w:rFonts w:ascii="Calibri" w:hAnsi="Calibri" w:cs="Calibri"/>
              <w:color w:val="000000"/>
              <w:sz w:val="22"/>
              <w:szCs w:val="22"/>
              <w:vertAlign w:val="superscript"/>
            </w:rPr>
            <w:t>8</w:t>
          </w:r>
        </w:sdtContent>
      </w:sdt>
      <w:r>
        <w:rPr>
          <w:rFonts w:ascii="Calibri" w:hAnsi="Calibri" w:cs="Calibri"/>
          <w:color w:val="000000"/>
          <w:sz w:val="22"/>
          <w:szCs w:val="22"/>
        </w:rPr>
        <w:t xml:space="preserve"> while OTUs classified as </w:t>
      </w:r>
      <w:r>
        <w:rPr>
          <w:rFonts w:ascii="Calibri" w:hAnsi="Calibri" w:cs="Calibri"/>
          <w:i/>
          <w:iCs/>
          <w:color w:val="000000"/>
          <w:sz w:val="22"/>
          <w:szCs w:val="22"/>
        </w:rPr>
        <w:t>Haemophilus</w:t>
      </w:r>
      <w:r>
        <w:rPr>
          <w:rFonts w:ascii="Calibri" w:hAnsi="Calibri" w:cs="Calibri"/>
          <w:color w:val="000000"/>
          <w:sz w:val="22"/>
          <w:szCs w:val="22"/>
        </w:rPr>
        <w:t xml:space="preserve"> and </w:t>
      </w:r>
      <w:r>
        <w:rPr>
          <w:rFonts w:ascii="Calibri" w:hAnsi="Calibri" w:cs="Calibri"/>
          <w:i/>
          <w:iCs/>
          <w:color w:val="000000"/>
          <w:sz w:val="22"/>
          <w:szCs w:val="22"/>
        </w:rPr>
        <w:t>Neisseria</w:t>
      </w:r>
      <w:r>
        <w:rPr>
          <w:rFonts w:ascii="Calibri" w:hAnsi="Calibri" w:cs="Calibri"/>
          <w:color w:val="000000"/>
          <w:sz w:val="22"/>
          <w:szCs w:val="22"/>
        </w:rPr>
        <w:t xml:space="preserve"> were identified as being significantly more abundant in female than male 11–14-year-olds by Raju </w:t>
      </w:r>
      <w:r>
        <w:rPr>
          <w:rFonts w:ascii="Calibri" w:hAnsi="Calibri" w:cs="Calibri"/>
          <w:i/>
          <w:iCs/>
          <w:color w:val="000000"/>
          <w:sz w:val="22"/>
          <w:szCs w:val="22"/>
        </w:rPr>
        <w:t>et al.</w:t>
      </w:r>
      <w:r>
        <w:rPr>
          <w:rFonts w:ascii="Calibri" w:hAnsi="Calibri" w:cs="Calibri"/>
          <w:color w:val="000000"/>
          <w:sz w:val="22"/>
          <w:szCs w:val="22"/>
        </w:rPr>
        <w:t xml:space="preserve"> in saliva samples </w:t>
      </w:r>
      <w:sdt>
        <w:sdtPr>
          <w:rPr>
            <w:rFonts w:ascii="Calibri" w:hAnsi="Calibri" w:cs="Calibri"/>
            <w:color w:val="000000"/>
            <w:sz w:val="22"/>
            <w:szCs w:val="22"/>
            <w:vertAlign w:val="superscript"/>
          </w:rPr>
          <w:tag w:val="MENDELEY_CITATION_v3_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"/>
          <w:id w:val="728043564"/>
          <w:placeholder>
            <w:docPart w:val="FDB02D9B2F04484587DEA4BB88A0B9B1"/>
          </w:placeholder>
        </w:sdtPr>
        <w:sdtEndPr/>
        <w:sdtContent>
          <w:r w:rsidR="005D4FD5" w:rsidRPr="005D4FD5">
            <w:rPr>
              <w:rFonts w:ascii="Calibri" w:hAnsi="Calibri" w:cs="Calibri"/>
              <w:color w:val="000000"/>
              <w:sz w:val="22"/>
              <w:szCs w:val="22"/>
              <w:vertAlign w:val="superscript"/>
            </w:rPr>
            <w:t>13</w:t>
          </w:r>
        </w:sdtContent>
      </w:sdt>
      <w:r>
        <w:rPr>
          <w:rFonts w:ascii="Calibri" w:hAnsi="Calibri" w:cs="Calibri"/>
          <w:color w:val="000000"/>
          <w:sz w:val="22"/>
          <w:szCs w:val="22"/>
        </w:rPr>
        <w:t xml:space="preserve">. We did not collect information on whether participants had gone through puberty, and – to our knowledge – there are no previous studies that characterise the saliva microbiome that do have this information; future research should aim to determine whether these differences are due to the onset of puberty or other associated hormonal changes. </w:t>
      </w:r>
    </w:p>
    <w:p w14:paraId="2698EDA1" w14:textId="25098133" w:rsidR="00DE239C" w:rsidRDefault="00DE239C" w:rsidP="00DE239C">
      <w:pPr>
        <w:rPr>
          <w:rFonts w:ascii="Calibri" w:hAnsi="Calibri" w:cs="Calibri"/>
          <w:sz w:val="22"/>
          <w:szCs w:val="22"/>
        </w:rPr>
      </w:pPr>
      <w:r w:rsidRPr="6A008883">
        <w:rPr>
          <w:rFonts w:ascii="Calibri" w:hAnsi="Calibri" w:cs="Calibri"/>
          <w:color w:val="000000" w:themeColor="text1"/>
          <w:sz w:val="22"/>
          <w:szCs w:val="22"/>
        </w:rPr>
        <w:t>There appeared to be some trends in microbial composition between males, females and trans/gender-diverse participants, but due to the small number of participants in this cohort that identify as trans/gender-diverse (</w:t>
      </w:r>
      <w:r w:rsidRPr="6A008883">
        <w:rPr>
          <w:rFonts w:ascii="Calibri" w:hAnsi="Calibri" w:cs="Calibri"/>
          <w:i/>
          <w:iCs/>
          <w:color w:val="000000" w:themeColor="text1"/>
          <w:sz w:val="22"/>
          <w:szCs w:val="22"/>
        </w:rPr>
        <w:t>n</w:t>
      </w:r>
      <w:r w:rsidRPr="6A008883">
        <w:rPr>
          <w:rFonts w:ascii="Calibri" w:hAnsi="Calibri" w:cs="Calibri"/>
          <w:color w:val="000000" w:themeColor="text1"/>
          <w:sz w:val="22"/>
          <w:szCs w:val="22"/>
        </w:rPr>
        <w:t>=21</w:t>
      </w:r>
      <w:r>
        <w:rPr>
          <w:rFonts w:ascii="Calibri" w:hAnsi="Calibri" w:cs="Calibri"/>
          <w:color w:val="000000" w:themeColor="text1"/>
          <w:sz w:val="22"/>
          <w:szCs w:val="22"/>
        </w:rPr>
        <w:t xml:space="preserve"> [</w:t>
      </w:r>
      <w:r w:rsidRPr="6A008883">
        <w:rPr>
          <w:rFonts w:ascii="Calibri" w:hAnsi="Calibri" w:cs="Calibri"/>
          <w:color w:val="000000" w:themeColor="text1"/>
          <w:sz w:val="22"/>
          <w:szCs w:val="22"/>
        </w:rPr>
        <w:t>0.4%</w:t>
      </w:r>
      <w:r>
        <w:rPr>
          <w:rFonts w:ascii="Calibri" w:hAnsi="Calibri" w:cs="Calibri"/>
          <w:color w:val="000000" w:themeColor="text1"/>
          <w:sz w:val="22"/>
          <w:szCs w:val="22"/>
        </w:rPr>
        <w:t>]</w:t>
      </w:r>
      <w:r w:rsidRPr="6A008883">
        <w:rPr>
          <w:rFonts w:ascii="Calibri" w:hAnsi="Calibri" w:cs="Calibri"/>
          <w:color w:val="000000" w:themeColor="text1"/>
          <w:sz w:val="22"/>
          <w:szCs w:val="22"/>
        </w:rPr>
        <w:t xml:space="preserve">), we were unable to draw robust conclusions. While this proportion is </w:t>
      </w:r>
      <w:proofErr w:type="gramStart"/>
      <w:r w:rsidRPr="6A008883">
        <w:rPr>
          <w:rFonts w:ascii="Calibri" w:hAnsi="Calibri" w:cs="Calibri"/>
          <w:color w:val="000000" w:themeColor="text1"/>
          <w:sz w:val="22"/>
          <w:szCs w:val="22"/>
        </w:rPr>
        <w:t>similar to</w:t>
      </w:r>
      <w:proofErr w:type="gramEnd"/>
      <w:r w:rsidRPr="6A008883">
        <w:rPr>
          <w:rFonts w:ascii="Calibri" w:hAnsi="Calibri" w:cs="Calibri"/>
          <w:color w:val="000000" w:themeColor="text1"/>
          <w:sz w:val="22"/>
          <w:szCs w:val="22"/>
        </w:rPr>
        <w:t xml:space="preserve"> the proportion reported in the 2019 Canadian Health Survey on youth aged 12-17 years (0.2% nonbinary and 0.2% transgender)</w:t>
      </w:r>
      <w:r>
        <w:rPr>
          <w:rFonts w:ascii="Calibri" w:hAnsi="Calibri" w:cs="Calibri"/>
          <w:color w:val="000000" w:themeColor="text1"/>
          <w:sz w:val="22"/>
          <w:szCs w:val="22"/>
        </w:rPr>
        <w:t xml:space="preserve"> </w:t>
      </w:r>
      <w:sdt>
        <w:sdtPr>
          <w:rPr>
            <w:rFonts w:ascii="Calibri" w:hAnsi="Calibri" w:cs="Calibri"/>
            <w:color w:val="000000"/>
            <w:sz w:val="22"/>
            <w:szCs w:val="22"/>
            <w:vertAlign w:val="superscript"/>
          </w:rPr>
          <w:tag w:val="MENDELEY_CITATION_v3_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"/>
          <w:id w:val="-2045428460"/>
          <w:placeholder>
            <w:docPart w:val="9D13891A9DC40A4A92E6F32D645B1978"/>
          </w:placeholder>
        </w:sdtPr>
        <w:sdtEndPr/>
        <w:sdtContent>
          <w:r w:rsidR="005D4FD5" w:rsidRPr="005D4FD5">
            <w:rPr>
              <w:rFonts w:ascii="Calibri" w:hAnsi="Calibri" w:cs="Calibri"/>
              <w:color w:val="000000"/>
              <w:sz w:val="22"/>
              <w:szCs w:val="22"/>
              <w:vertAlign w:val="superscript"/>
            </w:rPr>
            <w:t>17</w:t>
          </w:r>
        </w:sdtContent>
      </w:sdt>
      <w:r w:rsidRPr="6A008883">
        <w:rPr>
          <w:rFonts w:ascii="Calibri" w:hAnsi="Calibri" w:cs="Calibri"/>
          <w:color w:val="000000" w:themeColor="text1"/>
          <w:sz w:val="22"/>
          <w:szCs w:val="22"/>
        </w:rPr>
        <w:t xml:space="preserve">, we do note that other estimates of the proportion of the adolescent population who identify as trans/gender-diverse are as high as 9.2% </w:t>
      </w:r>
      <w:sdt>
        <w:sdtPr>
          <w:rPr>
            <w:rFonts w:ascii="Calibri" w:hAnsi="Calibri" w:cs="Calibri"/>
            <w:color w:val="000000"/>
            <w:sz w:val="22"/>
            <w:szCs w:val="22"/>
            <w:vertAlign w:val="superscript"/>
          </w:rPr>
          <w:tag w:val="MENDELEY_CITATION_v3_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"/>
          <w:id w:val="968403116"/>
          <w:placeholder>
            <w:docPart w:val="FDB02D9B2F04484587DEA4BB88A0B9B1"/>
          </w:placeholder>
        </w:sdtPr>
        <w:sdtEndPr/>
        <w:sdtContent>
          <w:r w:rsidR="005D4FD5" w:rsidRPr="005D4FD5">
            <w:rPr>
              <w:rFonts w:ascii="Calibri" w:hAnsi="Calibri" w:cs="Calibri"/>
              <w:color w:val="000000"/>
              <w:sz w:val="22"/>
              <w:szCs w:val="22"/>
              <w:vertAlign w:val="superscript"/>
            </w:rPr>
            <w:t>18</w:t>
          </w:r>
        </w:sdtContent>
      </w:sdt>
      <w:r w:rsidRPr="6A008883">
        <w:rPr>
          <w:rFonts w:ascii="Calibri" w:hAnsi="Calibri" w:cs="Calibri"/>
          <w:color w:val="000000" w:themeColor="text1"/>
          <w:sz w:val="22"/>
          <w:szCs w:val="22"/>
        </w:rPr>
        <w:t xml:space="preserve">. Future studies should aim to sample a larger number of trans/gender-diverse participants. </w:t>
      </w:r>
    </w:p>
    <w:p w14:paraId="53E1102E" w14:textId="786C665D" w:rsidR="00DE239C" w:rsidRPr="00CE0EAC" w:rsidRDefault="00DE239C" w:rsidP="00DE239C">
      <w:pPr>
        <w:rPr>
          <w:rFonts w:ascii="Calibri" w:hAnsi="Calibri" w:cs="Calibri"/>
          <w:color w:val="000000" w:themeColor="text1"/>
          <w:sz w:val="22"/>
          <w:szCs w:val="22"/>
        </w:rPr>
      </w:pPr>
      <w:r w:rsidRPr="326DAD40">
        <w:rPr>
          <w:rFonts w:ascii="Calibri" w:hAnsi="Calibri" w:cs="Calibri"/>
          <w:color w:val="000000" w:themeColor="text1"/>
          <w:sz w:val="22"/>
          <w:szCs w:val="22"/>
        </w:rPr>
        <w:t xml:space="preserve">We used broad groupings to characterise participants as having received a physical health diagnosis, a </w:t>
      </w:r>
      <w:r w:rsidR="004A4A38">
        <w:rPr>
          <w:rFonts w:ascii="Calibri" w:hAnsi="Calibri" w:cs="Calibri"/>
          <w:color w:val="000000" w:themeColor="text1"/>
          <w:sz w:val="22"/>
          <w:szCs w:val="22"/>
        </w:rPr>
        <w:t>psychiatric/neurodevelopmental disorder</w:t>
      </w:r>
      <w:r w:rsidRPr="326DAD40">
        <w:rPr>
          <w:rFonts w:ascii="Calibri" w:hAnsi="Calibri" w:cs="Calibri"/>
          <w:color w:val="000000" w:themeColor="text1"/>
          <w:sz w:val="22"/>
          <w:szCs w:val="22"/>
        </w:rPr>
        <w:t xml:space="preserve"> diagnosis, both physical and </w:t>
      </w:r>
      <w:r w:rsidR="004A4A38">
        <w:rPr>
          <w:rFonts w:ascii="Calibri" w:hAnsi="Calibri" w:cs="Calibri"/>
          <w:color w:val="000000" w:themeColor="text1"/>
          <w:sz w:val="22"/>
          <w:szCs w:val="22"/>
        </w:rPr>
        <w:t xml:space="preserve">psychiatric/neurodevelopmental disorder </w:t>
      </w:r>
      <w:r w:rsidRPr="326DAD40">
        <w:rPr>
          <w:rFonts w:ascii="Calibri" w:hAnsi="Calibri" w:cs="Calibri"/>
          <w:color w:val="000000" w:themeColor="text1"/>
          <w:sz w:val="22"/>
          <w:szCs w:val="22"/>
        </w:rPr>
        <w:t xml:space="preserve">diagnoses, or no diagnosis and found significant beta diversity and richness differences across groups (Figs. 1 and S5), with these associations generally being in the order of no diagnosed condition &gt; physical health condition &gt; </w:t>
      </w:r>
      <w:r w:rsidR="00C10020">
        <w:rPr>
          <w:rFonts w:ascii="Calibri" w:hAnsi="Calibri" w:cs="Calibri"/>
          <w:color w:val="000000" w:themeColor="text1"/>
          <w:sz w:val="22"/>
          <w:szCs w:val="22"/>
        </w:rPr>
        <w:t>psychiatric/neurodevelopmental disorder</w:t>
      </w:r>
      <w:r w:rsidRPr="326DAD40">
        <w:rPr>
          <w:rFonts w:ascii="Calibri" w:hAnsi="Calibri" w:cs="Calibri"/>
          <w:color w:val="000000" w:themeColor="text1"/>
          <w:sz w:val="22"/>
          <w:szCs w:val="22"/>
        </w:rPr>
        <w:t xml:space="preserve"> &gt; physical</w:t>
      </w:r>
      <w:r w:rsidR="00C10020">
        <w:rPr>
          <w:rFonts w:ascii="Calibri" w:hAnsi="Calibri" w:cs="Calibri"/>
          <w:color w:val="000000" w:themeColor="text1"/>
          <w:sz w:val="22"/>
          <w:szCs w:val="22"/>
        </w:rPr>
        <w:t xml:space="preserve"> health condition</w:t>
      </w:r>
      <w:r w:rsidRPr="326DAD40">
        <w:rPr>
          <w:rFonts w:ascii="Calibri" w:hAnsi="Calibri" w:cs="Calibri"/>
          <w:color w:val="000000" w:themeColor="text1"/>
          <w:sz w:val="22"/>
          <w:szCs w:val="22"/>
        </w:rPr>
        <w:t xml:space="preserve"> and </w:t>
      </w:r>
      <w:r w:rsidR="00C10020">
        <w:rPr>
          <w:rFonts w:ascii="Calibri" w:hAnsi="Calibri" w:cs="Calibri"/>
          <w:color w:val="000000" w:themeColor="text1"/>
          <w:sz w:val="22"/>
          <w:szCs w:val="22"/>
        </w:rPr>
        <w:t>psychiatric/neurodevelopmental disorder</w:t>
      </w:r>
      <w:r w:rsidRPr="326DAD40">
        <w:rPr>
          <w:rFonts w:ascii="Calibri" w:hAnsi="Calibri" w:cs="Calibri"/>
          <w:color w:val="000000" w:themeColor="text1"/>
          <w:sz w:val="22"/>
          <w:szCs w:val="22"/>
        </w:rPr>
        <w:t xml:space="preserve">. This suggests that there are larger </w:t>
      </w:r>
      <w:r w:rsidR="00A33009">
        <w:rPr>
          <w:rFonts w:ascii="Calibri" w:hAnsi="Calibri" w:cs="Calibri"/>
          <w:color w:val="000000" w:themeColor="text1"/>
          <w:sz w:val="22"/>
          <w:szCs w:val="22"/>
        </w:rPr>
        <w:t>differences</w:t>
      </w:r>
      <w:r w:rsidR="00A33009" w:rsidRPr="326DAD40">
        <w:rPr>
          <w:rFonts w:ascii="Calibri" w:hAnsi="Calibri" w:cs="Calibri"/>
          <w:color w:val="000000" w:themeColor="text1"/>
          <w:sz w:val="22"/>
          <w:szCs w:val="22"/>
        </w:rPr>
        <w:t xml:space="preserve"> </w:t>
      </w:r>
      <w:r w:rsidRPr="326DAD40">
        <w:rPr>
          <w:rFonts w:ascii="Calibri" w:hAnsi="Calibri" w:cs="Calibri"/>
          <w:color w:val="000000" w:themeColor="text1"/>
          <w:sz w:val="22"/>
          <w:szCs w:val="22"/>
        </w:rPr>
        <w:t xml:space="preserve">in the oral microbiome with </w:t>
      </w:r>
      <w:r w:rsidR="006C1535">
        <w:rPr>
          <w:rFonts w:ascii="Calibri" w:hAnsi="Calibri" w:cs="Calibri"/>
          <w:color w:val="000000" w:themeColor="text1"/>
          <w:sz w:val="22"/>
          <w:szCs w:val="22"/>
        </w:rPr>
        <w:t xml:space="preserve">psychiatric/neurodevelopmental disorders </w:t>
      </w:r>
      <w:r w:rsidRPr="326DAD40">
        <w:rPr>
          <w:rFonts w:ascii="Calibri" w:hAnsi="Calibri" w:cs="Calibri"/>
          <w:color w:val="000000" w:themeColor="text1"/>
          <w:sz w:val="22"/>
          <w:szCs w:val="22"/>
        </w:rPr>
        <w:t xml:space="preserve">than physical health, </w:t>
      </w:r>
      <w:proofErr w:type="gramStart"/>
      <w:r w:rsidRPr="326DAD40">
        <w:rPr>
          <w:rFonts w:ascii="Calibri" w:hAnsi="Calibri" w:cs="Calibri"/>
          <w:color w:val="000000" w:themeColor="text1"/>
          <w:sz w:val="22"/>
          <w:szCs w:val="22"/>
        </w:rPr>
        <w:t>similar to</w:t>
      </w:r>
      <w:proofErr w:type="gramEnd"/>
      <w:r w:rsidRPr="326DAD40">
        <w:rPr>
          <w:rFonts w:ascii="Calibri" w:hAnsi="Calibri" w:cs="Calibri"/>
          <w:color w:val="000000" w:themeColor="text1"/>
          <w:sz w:val="22"/>
          <w:szCs w:val="22"/>
        </w:rPr>
        <w:t xml:space="preserve"> what we found in our adult cohort where more mental</w:t>
      </w:r>
      <w:r w:rsidR="00903CE0">
        <w:rPr>
          <w:rFonts w:ascii="Calibri" w:hAnsi="Calibri" w:cs="Calibri"/>
          <w:color w:val="000000" w:themeColor="text1"/>
          <w:sz w:val="22"/>
          <w:szCs w:val="22"/>
        </w:rPr>
        <w:t xml:space="preserve"> health</w:t>
      </w:r>
      <w:r w:rsidRPr="326DAD40">
        <w:rPr>
          <w:rFonts w:ascii="Calibri" w:hAnsi="Calibri" w:cs="Calibri"/>
          <w:color w:val="000000" w:themeColor="text1"/>
          <w:sz w:val="22"/>
          <w:szCs w:val="22"/>
        </w:rPr>
        <w:t xml:space="preserve"> than physical health-related components of a frailty index were significantly associated with the oral microbiome </w:t>
      </w:r>
      <w:sdt>
        <w:sdtPr>
          <w:rPr>
            <w:rFonts w:ascii="Calibri" w:hAnsi="Calibri" w:cs="Calibri"/>
            <w:color w:val="000000"/>
            <w:sz w:val="22"/>
            <w:szCs w:val="22"/>
            <w:vertAlign w:val="superscript"/>
          </w:rPr>
          <w:tag w:val="MENDELEY_CITATION_v3_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"/>
          <w:id w:val="-1660302203"/>
          <w:placeholder>
            <w:docPart w:val="FDB02D9B2F04484587DEA4BB88A0B9B1"/>
          </w:placeholder>
        </w:sdtPr>
        <w:sdtEndPr/>
        <w:sdtContent>
          <w:r w:rsidR="005D4FD5" w:rsidRPr="005D4FD5">
            <w:rPr>
              <w:rFonts w:ascii="Calibri" w:hAnsi="Calibri" w:cs="Calibri"/>
              <w:color w:val="000000"/>
              <w:sz w:val="22"/>
              <w:szCs w:val="22"/>
              <w:vertAlign w:val="superscript"/>
            </w:rPr>
            <w:t>1</w:t>
          </w:r>
        </w:sdtContent>
      </w:sdt>
      <w:r w:rsidRPr="326DAD40">
        <w:rPr>
          <w:rFonts w:ascii="Calibri" w:hAnsi="Calibri" w:cs="Calibri"/>
          <w:color w:val="000000" w:themeColor="text1"/>
          <w:sz w:val="22"/>
          <w:szCs w:val="22"/>
        </w:rPr>
        <w:t xml:space="preserve">. There has been more research to date on associations between the gut microbiome and both physical and mental health – the oral and gut microbiomes are distinct but directly connected and oral microbes are known to play roles in gut diseases </w:t>
      </w:r>
      <w:sdt>
        <w:sdtPr>
          <w:rPr>
            <w:rFonts w:ascii="Calibri" w:hAnsi="Calibri" w:cs="Calibri"/>
            <w:color w:val="000000"/>
            <w:sz w:val="22"/>
            <w:szCs w:val="22"/>
            <w:vertAlign w:val="superscript"/>
          </w:rPr>
          <w:tag w:val="MENDELEY_CITATION_v3_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"/>
          <w:id w:val="1676153496"/>
          <w:placeholder>
            <w:docPart w:val="FDB02D9B2F04484587DEA4BB88A0B9B1"/>
          </w:placeholder>
        </w:sdtPr>
        <w:sdtEndPr/>
        <w:sdtContent>
          <w:r w:rsidR="005D4FD5" w:rsidRPr="005D4FD5">
            <w:rPr>
              <w:rFonts w:ascii="Calibri" w:hAnsi="Calibri" w:cs="Calibri"/>
              <w:color w:val="000000"/>
              <w:sz w:val="22"/>
              <w:szCs w:val="22"/>
              <w:vertAlign w:val="superscript"/>
            </w:rPr>
            <w:t>19</w:t>
          </w:r>
        </w:sdtContent>
      </w:sdt>
      <w:r w:rsidRPr="326DAD40">
        <w:rPr>
          <w:rFonts w:ascii="Calibri" w:hAnsi="Calibri" w:cs="Calibri"/>
          <w:color w:val="000000" w:themeColor="text1"/>
          <w:sz w:val="22"/>
          <w:szCs w:val="22"/>
        </w:rPr>
        <w:t xml:space="preserve"> – but there are also now several studies linking shifts in the oral microbiome in children and young adults with mental health disorders such as autism </w:t>
      </w:r>
      <w:sdt>
        <w:sdtPr>
          <w:rPr>
            <w:rFonts w:ascii="Calibri" w:hAnsi="Calibri" w:cs="Calibri"/>
            <w:color w:val="000000"/>
            <w:sz w:val="22"/>
            <w:szCs w:val="22"/>
            <w:vertAlign w:val="superscript"/>
          </w:rPr>
          <w:tag w:val="MENDELEY_CITATION_v3_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"/>
          <w:id w:val="-905608576"/>
          <w:placeholder>
            <w:docPart w:val="FDB02D9B2F04484587DEA4BB88A0B9B1"/>
          </w:placeholder>
        </w:sdtPr>
        <w:sdtEndPr/>
        <w:sdtContent>
          <w:r w:rsidR="005D4FD5" w:rsidRPr="005D4FD5">
            <w:rPr>
              <w:rFonts w:ascii="Calibri" w:hAnsi="Calibri" w:cs="Calibri"/>
              <w:color w:val="000000"/>
              <w:sz w:val="22"/>
              <w:szCs w:val="22"/>
              <w:vertAlign w:val="superscript"/>
            </w:rPr>
            <w:t>15</w:t>
          </w:r>
        </w:sdtContent>
      </w:sdt>
      <w:r w:rsidRPr="326DAD40">
        <w:rPr>
          <w:rFonts w:ascii="Calibri" w:hAnsi="Calibri" w:cs="Calibri"/>
          <w:color w:val="000000" w:themeColor="text1"/>
          <w:sz w:val="22"/>
          <w:szCs w:val="22"/>
        </w:rPr>
        <w:t xml:space="preserve">, depression </w:t>
      </w:r>
      <w:sdt>
        <w:sdtPr>
          <w:rPr>
            <w:rFonts w:ascii="Calibri" w:hAnsi="Calibri" w:cs="Calibri"/>
            <w:color w:val="000000"/>
            <w:sz w:val="22"/>
            <w:szCs w:val="22"/>
            <w:vertAlign w:val="superscript"/>
          </w:rPr>
          <w:tag w:val="MENDELEY_CITATION_v3_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"/>
          <w:id w:val="818621685"/>
          <w:placeholder>
            <w:docPart w:val="FDB02D9B2F04484587DEA4BB88A0B9B1"/>
          </w:placeholder>
        </w:sdtPr>
        <w:sdtEndPr/>
        <w:sdtContent>
          <w:r w:rsidR="005D4FD5" w:rsidRPr="005D4FD5">
            <w:rPr>
              <w:rFonts w:ascii="Calibri" w:hAnsi="Calibri" w:cs="Calibri"/>
              <w:color w:val="000000"/>
              <w:sz w:val="22"/>
              <w:szCs w:val="22"/>
              <w:vertAlign w:val="superscript"/>
            </w:rPr>
            <w:t>20</w:t>
          </w:r>
        </w:sdtContent>
      </w:sdt>
      <w:r w:rsidRPr="326DAD40">
        <w:rPr>
          <w:rFonts w:ascii="Calibri" w:hAnsi="Calibri" w:cs="Calibri"/>
          <w:color w:val="000000" w:themeColor="text1"/>
          <w:sz w:val="22"/>
          <w:szCs w:val="22"/>
        </w:rPr>
        <w:t xml:space="preserve">, and anxiety </w:t>
      </w:r>
      <w:sdt>
        <w:sdtPr>
          <w:rPr>
            <w:rFonts w:ascii="Calibri" w:hAnsi="Calibri" w:cs="Calibri"/>
            <w:color w:val="000000"/>
            <w:sz w:val="22"/>
            <w:szCs w:val="22"/>
            <w:vertAlign w:val="superscript"/>
          </w:rPr>
          <w:tag w:val="MENDELEY_CITATION_v3_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"/>
          <w:id w:val="1894849673"/>
          <w:placeholder>
            <w:docPart w:val="FDB02D9B2F04484587DEA4BB88A0B9B1"/>
          </w:placeholder>
        </w:sdtPr>
        <w:sdtEndPr/>
        <w:sdtContent>
          <w:r w:rsidR="005D4FD5" w:rsidRPr="005D4FD5">
            <w:rPr>
              <w:rFonts w:ascii="Calibri" w:hAnsi="Calibri" w:cs="Calibri"/>
              <w:color w:val="000000"/>
              <w:sz w:val="22"/>
              <w:szCs w:val="22"/>
              <w:vertAlign w:val="superscript"/>
            </w:rPr>
            <w:t>21</w:t>
          </w:r>
        </w:sdtContent>
      </w:sdt>
      <w:r w:rsidRPr="326DAD40">
        <w:rPr>
          <w:rFonts w:ascii="Calibri" w:hAnsi="Calibri" w:cs="Calibri"/>
          <w:color w:val="000000" w:themeColor="text1"/>
          <w:sz w:val="22"/>
          <w:szCs w:val="22"/>
        </w:rPr>
        <w:t>. Interestingly, we only identified four genera as DA with diagnosed health condition</w:t>
      </w:r>
      <w:r w:rsidR="00811A18">
        <w:rPr>
          <w:rFonts w:ascii="Calibri" w:hAnsi="Calibri" w:cs="Calibri"/>
          <w:color w:val="000000" w:themeColor="text1"/>
          <w:sz w:val="22"/>
          <w:szCs w:val="22"/>
        </w:rPr>
        <w:t>s</w:t>
      </w:r>
      <w:r w:rsidRPr="326DAD40">
        <w:rPr>
          <w:rFonts w:ascii="Calibri" w:hAnsi="Calibri" w:cs="Calibri"/>
          <w:color w:val="000000" w:themeColor="text1"/>
          <w:sz w:val="22"/>
          <w:szCs w:val="22"/>
        </w:rPr>
        <w:t xml:space="preserve">, all of which were detected between those with a </w:t>
      </w:r>
      <w:r w:rsidR="001A6FC3">
        <w:rPr>
          <w:rFonts w:ascii="Calibri" w:hAnsi="Calibri" w:cs="Calibri"/>
          <w:color w:val="000000" w:themeColor="text1"/>
          <w:sz w:val="22"/>
          <w:szCs w:val="22"/>
        </w:rPr>
        <w:t>psychiatric/neurodevelopmental disorder</w:t>
      </w:r>
      <w:r w:rsidRPr="326DAD40">
        <w:rPr>
          <w:rFonts w:ascii="Calibri" w:hAnsi="Calibri" w:cs="Calibri"/>
          <w:color w:val="000000" w:themeColor="text1"/>
          <w:sz w:val="22"/>
          <w:szCs w:val="22"/>
        </w:rPr>
        <w:t xml:space="preserve"> diagnosis or those with both </w:t>
      </w:r>
      <w:r w:rsidR="00D83FC4">
        <w:rPr>
          <w:rFonts w:ascii="Calibri" w:hAnsi="Calibri" w:cs="Calibri"/>
          <w:color w:val="000000" w:themeColor="text1"/>
          <w:sz w:val="22"/>
          <w:szCs w:val="22"/>
        </w:rPr>
        <w:t>psychiatric/neurodevelopmental disorder</w:t>
      </w:r>
      <w:r w:rsidRPr="326DAD40">
        <w:rPr>
          <w:rFonts w:ascii="Calibri" w:hAnsi="Calibri" w:cs="Calibri"/>
          <w:color w:val="000000" w:themeColor="text1"/>
          <w:sz w:val="22"/>
          <w:szCs w:val="22"/>
        </w:rPr>
        <w:t xml:space="preserve"> and physical health diagnoses and those with no diagnosis (Fig. S5). The coarse lens with which we have examined these diagnoses here – with many different conditions being grouped to simply </w:t>
      </w:r>
      <w:r w:rsidR="00A02368">
        <w:rPr>
          <w:rFonts w:ascii="Calibri" w:hAnsi="Calibri" w:cs="Calibri"/>
          <w:color w:val="000000" w:themeColor="text1"/>
          <w:sz w:val="22"/>
          <w:szCs w:val="22"/>
        </w:rPr>
        <w:t xml:space="preserve">psychiatric/neurodevelopmental disorder </w:t>
      </w:r>
      <w:r w:rsidRPr="326DAD40">
        <w:rPr>
          <w:rFonts w:ascii="Calibri" w:hAnsi="Calibri" w:cs="Calibri"/>
          <w:color w:val="000000" w:themeColor="text1"/>
          <w:sz w:val="22"/>
          <w:szCs w:val="22"/>
        </w:rPr>
        <w:t xml:space="preserve">or physical health – likely contributes to this, and future research should examine these conditions individually. </w:t>
      </w:r>
      <w:r>
        <w:rPr>
          <w:rFonts w:ascii="Calibri" w:hAnsi="Calibri" w:cs="Calibri"/>
          <w:color w:val="000000" w:themeColor="text1"/>
          <w:sz w:val="22"/>
          <w:szCs w:val="22"/>
        </w:rPr>
        <w:t>Although diagnosis information in this study is based on participants’ self-reporting that they have received a diagnosis from a professional, rates of diagnosis within this cohort are generally comparable to epidemiological studies</w:t>
      </w:r>
      <w:r w:rsidRPr="326DAD40">
        <w:rPr>
          <w:rFonts w:ascii="Calibri" w:hAnsi="Calibri" w:cs="Calibri"/>
          <w:color w:val="000000" w:themeColor="text1"/>
          <w:sz w:val="22"/>
          <w:szCs w:val="22"/>
        </w:rPr>
        <w:t>.</w:t>
      </w:r>
    </w:p>
    <w:p w14:paraId="2D21C7D3" w14:textId="5A3D42AA" w:rsidR="005D4FD5" w:rsidRDefault="00DE239C" w:rsidP="00DE239C">
      <w:pPr>
        <w:rPr>
          <w:rFonts w:ascii="Calibri" w:hAnsi="Calibri" w:cs="Calibri"/>
          <w:color w:val="000000"/>
          <w:sz w:val="22"/>
          <w:szCs w:val="22"/>
        </w:rPr>
        <w:sectPr w:rsidR="005D4FD5">
          <w:pgSz w:w="11906" w:h="16838"/>
          <w:pgMar w:top="1440" w:right="1440" w:bottom="1440" w:left="1440" w:header="708" w:footer="708" w:gutter="0"/>
          <w:cols w:space="708"/>
          <w:docGrid w:linePitch="360"/>
        </w:sectPr>
      </w:pPr>
      <w:r>
        <w:rPr>
          <w:rFonts w:ascii="Calibri" w:hAnsi="Calibri" w:cs="Calibri"/>
          <w:color w:val="000000"/>
          <w:sz w:val="22"/>
          <w:szCs w:val="22"/>
        </w:rPr>
        <w:t>A subset of the participants within this cohort (</w:t>
      </w:r>
      <w:r>
        <w:rPr>
          <w:rFonts w:ascii="Calibri" w:hAnsi="Calibri" w:cs="Calibri"/>
          <w:i/>
          <w:iCs/>
          <w:color w:val="000000"/>
          <w:sz w:val="22"/>
          <w:szCs w:val="22"/>
        </w:rPr>
        <w:t>n</w:t>
      </w:r>
      <w:r>
        <w:rPr>
          <w:rFonts w:ascii="Calibri" w:hAnsi="Calibri" w:cs="Calibri"/>
          <w:color w:val="000000"/>
          <w:sz w:val="22"/>
          <w:szCs w:val="22"/>
        </w:rPr>
        <w:t xml:space="preserve">=2,978) had answered an additional questionnaire where they gave information on the frequency with which they consume certain food items. This also allowed us to calculate a Healthy Eating Index and diet variety scores (see Methods). Of the 22 diet variables tested, 15, 20, 6 and 8 were significantly associated with age, ethnicity, gender and </w:t>
      </w:r>
      <w:r w:rsidR="00AC6A4B">
        <w:rPr>
          <w:rFonts w:ascii="Calibri" w:hAnsi="Calibri" w:cs="Calibri"/>
          <w:color w:val="000000"/>
          <w:sz w:val="22"/>
          <w:szCs w:val="22"/>
        </w:rPr>
        <w:t>diagnosed</w:t>
      </w:r>
      <w:r>
        <w:rPr>
          <w:rFonts w:ascii="Calibri" w:hAnsi="Calibri" w:cs="Calibri"/>
          <w:color w:val="000000"/>
          <w:sz w:val="22"/>
          <w:szCs w:val="22"/>
        </w:rPr>
        <w:t xml:space="preserve"> health condition, respectively (Table S</w:t>
      </w:r>
      <w:r w:rsidR="00C821B6">
        <w:rPr>
          <w:rFonts w:ascii="Calibri" w:hAnsi="Calibri" w:cs="Calibri"/>
          <w:color w:val="000000"/>
          <w:sz w:val="22"/>
          <w:szCs w:val="22"/>
        </w:rPr>
        <w:t>9</w:t>
      </w:r>
      <w:r>
        <w:rPr>
          <w:rFonts w:ascii="Calibri" w:hAnsi="Calibri" w:cs="Calibri"/>
          <w:color w:val="000000"/>
          <w:sz w:val="22"/>
          <w:szCs w:val="22"/>
        </w:rPr>
        <w:t xml:space="preserve">), mainly reflecting the magnitude of oral microbiome differences attributed to each of these variables (Fig. 1). The drop in the proportion of oral microbiome variation explained by ethnicity and age, as well as the loss of significance of </w:t>
      </w:r>
      <w:r>
        <w:rPr>
          <w:rFonts w:ascii="Calibri" w:hAnsi="Calibri" w:cs="Calibri"/>
          <w:color w:val="000000"/>
          <w:sz w:val="22"/>
          <w:szCs w:val="22"/>
        </w:rPr>
        <w:lastRenderedPageBreak/>
        <w:t xml:space="preserve">ethnicity discussed above, between analyses that don’t or do include diet variables suggests that much of the variation attributed to ethnicity and some of the variation attributed to age could be due to dietary differences. Further studies that include additional ethnic/racial groups should aim to validate these findings in other cohorts. </w:t>
      </w:r>
    </w:p>
    <w:p w14:paraId="502C61DB" w14:textId="6A6F10F8" w:rsidR="00E935F7" w:rsidRPr="004E421A" w:rsidRDefault="005D4FD5" w:rsidP="00DE239C">
      <w:pPr>
        <w:rPr>
          <w:rFonts w:ascii="Calibri" w:hAnsi="Calibri" w:cs="Calibri"/>
          <w:sz w:val="28"/>
          <w:szCs w:val="28"/>
        </w:rPr>
      </w:pPr>
      <w:r w:rsidRPr="004E421A">
        <w:rPr>
          <w:rFonts w:ascii="Calibri" w:hAnsi="Calibri" w:cs="Calibri"/>
          <w:b/>
          <w:bCs/>
          <w:sz w:val="28"/>
          <w:szCs w:val="28"/>
        </w:rPr>
        <w:lastRenderedPageBreak/>
        <w:t>References</w:t>
      </w:r>
    </w:p>
    <w:sdt>
      <w:sdtPr>
        <w:rPr>
          <w:rFonts w:ascii="Calibri" w:hAnsi="Calibri" w:cs="Calibri"/>
          <w:strike/>
          <w:color w:val="000000"/>
          <w:sz w:val="22"/>
          <w:szCs w:val="22"/>
        </w:rPr>
        <w:tag w:val="MENDELEY_BIBLIOGRAPHY"/>
        <w:id w:val="323859507"/>
        <w:placeholder>
          <w:docPart w:val="DefaultPlaceholder_-1854013440"/>
        </w:placeholder>
      </w:sdtPr>
      <w:sdtEndPr>
        <w:rPr>
          <w:color w:val="000000" w:themeColor="text1"/>
        </w:rPr>
      </w:sdtEndPr>
      <w:sdtContent>
        <w:p w14:paraId="50071D20" w14:textId="77777777" w:rsidR="005D4FD5" w:rsidRPr="004E421A" w:rsidRDefault="005D4FD5">
          <w:pPr>
            <w:autoSpaceDE w:val="0"/>
            <w:autoSpaceDN w:val="0"/>
            <w:ind w:hanging="640"/>
            <w:divId w:val="479003492"/>
            <w:rPr>
              <w:rFonts w:ascii="Calibri" w:eastAsia="Times New Roman" w:hAnsi="Calibri" w:cs="Calibri"/>
              <w:color w:val="000000"/>
              <w:kern w:val="0"/>
              <w14:ligatures w14:val="none"/>
            </w:rPr>
          </w:pPr>
          <w:r w:rsidRPr="004E421A">
            <w:rPr>
              <w:rFonts w:ascii="Calibri" w:eastAsia="Times New Roman" w:hAnsi="Calibri" w:cs="Calibri"/>
              <w:color w:val="000000"/>
            </w:rPr>
            <w:t>1.</w:t>
          </w:r>
          <w:r w:rsidRPr="004E421A">
            <w:rPr>
              <w:rFonts w:ascii="Calibri" w:eastAsia="Times New Roman" w:hAnsi="Calibri" w:cs="Calibri"/>
              <w:color w:val="000000"/>
            </w:rPr>
            <w:tab/>
            <w:t xml:space="preserve">DeClercq, V., Wright, R. J., Nearing, J. T. &amp; Langille, M. G. I. Oral microbial signatures associated with age and frailty in Canadian adults. </w:t>
          </w:r>
          <w:r w:rsidRPr="004E421A">
            <w:rPr>
              <w:rFonts w:ascii="Calibri" w:eastAsia="Times New Roman" w:hAnsi="Calibri" w:cs="Calibri"/>
              <w:i/>
              <w:iCs/>
              <w:color w:val="000000"/>
            </w:rPr>
            <w:t>Sci Rep</w:t>
          </w:r>
          <w:r w:rsidRPr="004E421A">
            <w:rPr>
              <w:rFonts w:ascii="Calibri" w:eastAsia="Times New Roman" w:hAnsi="Calibri" w:cs="Calibri"/>
              <w:color w:val="000000"/>
            </w:rPr>
            <w:t xml:space="preserve"> </w:t>
          </w:r>
          <w:r w:rsidRPr="004E421A">
            <w:rPr>
              <w:rFonts w:ascii="Calibri" w:eastAsia="Times New Roman" w:hAnsi="Calibri" w:cs="Calibri"/>
              <w:bCs/>
              <w:color w:val="000000"/>
            </w:rPr>
            <w:t>14</w:t>
          </w:r>
          <w:r w:rsidRPr="004E421A">
            <w:rPr>
              <w:rFonts w:ascii="Calibri" w:eastAsia="Times New Roman" w:hAnsi="Calibri" w:cs="Calibri"/>
              <w:color w:val="000000"/>
            </w:rPr>
            <w:t>, (2024).</w:t>
          </w:r>
        </w:p>
        <w:p w14:paraId="3BF53728" w14:textId="77777777" w:rsidR="005D4FD5" w:rsidRPr="004E421A" w:rsidRDefault="005D4FD5">
          <w:pPr>
            <w:autoSpaceDE w:val="0"/>
            <w:autoSpaceDN w:val="0"/>
            <w:ind w:hanging="640"/>
            <w:divId w:val="829053555"/>
            <w:rPr>
              <w:rFonts w:ascii="Calibri" w:eastAsia="Times New Roman" w:hAnsi="Calibri" w:cs="Calibri"/>
              <w:color w:val="000000"/>
            </w:rPr>
          </w:pPr>
          <w:r w:rsidRPr="004E421A">
            <w:rPr>
              <w:rFonts w:ascii="Calibri" w:eastAsia="Times New Roman" w:hAnsi="Calibri" w:cs="Calibri"/>
              <w:color w:val="000000"/>
            </w:rPr>
            <w:t>2.</w:t>
          </w:r>
          <w:r w:rsidRPr="004E421A">
            <w:rPr>
              <w:rFonts w:ascii="Calibri" w:eastAsia="Times New Roman" w:hAnsi="Calibri" w:cs="Calibri"/>
              <w:color w:val="000000"/>
            </w:rPr>
            <w:tab/>
            <w:t xml:space="preserve">DeClercq, V., Wright, R. J., van </w:t>
          </w:r>
          <w:proofErr w:type="spellStart"/>
          <w:r w:rsidRPr="004E421A">
            <w:rPr>
              <w:rFonts w:ascii="Calibri" w:eastAsia="Times New Roman" w:hAnsi="Calibri" w:cs="Calibri"/>
              <w:color w:val="000000"/>
            </w:rPr>
            <w:t>Limbergen</w:t>
          </w:r>
          <w:proofErr w:type="spellEnd"/>
          <w:r w:rsidRPr="004E421A">
            <w:rPr>
              <w:rFonts w:ascii="Calibri" w:eastAsia="Times New Roman" w:hAnsi="Calibri" w:cs="Calibri"/>
              <w:color w:val="000000"/>
            </w:rPr>
            <w:t xml:space="preserve">, J. &amp; Langille, M. G. I. Characterization of the salivary microbiome of adults with inflammatory bowel disease. </w:t>
          </w:r>
          <w:r w:rsidRPr="004E421A">
            <w:rPr>
              <w:rFonts w:ascii="Calibri" w:eastAsia="Times New Roman" w:hAnsi="Calibri" w:cs="Calibri"/>
              <w:i/>
              <w:iCs/>
              <w:color w:val="000000"/>
            </w:rPr>
            <w:t xml:space="preserve">J Oral </w:t>
          </w:r>
          <w:proofErr w:type="spellStart"/>
          <w:r w:rsidRPr="004E421A">
            <w:rPr>
              <w:rFonts w:ascii="Calibri" w:eastAsia="Times New Roman" w:hAnsi="Calibri" w:cs="Calibri"/>
              <w:i/>
              <w:iCs/>
              <w:color w:val="000000"/>
            </w:rPr>
            <w:t>Microbiol</w:t>
          </w:r>
          <w:proofErr w:type="spellEnd"/>
          <w:r w:rsidRPr="004E421A">
            <w:rPr>
              <w:rFonts w:ascii="Calibri" w:eastAsia="Times New Roman" w:hAnsi="Calibri" w:cs="Calibri"/>
              <w:color w:val="000000"/>
            </w:rPr>
            <w:t xml:space="preserve"> </w:t>
          </w:r>
          <w:r w:rsidRPr="004E421A">
            <w:rPr>
              <w:rFonts w:ascii="Calibri" w:eastAsia="Times New Roman" w:hAnsi="Calibri" w:cs="Calibri"/>
              <w:bCs/>
              <w:color w:val="000000"/>
            </w:rPr>
            <w:t>17</w:t>
          </w:r>
          <w:r w:rsidRPr="004E421A">
            <w:rPr>
              <w:rFonts w:ascii="Calibri" w:eastAsia="Times New Roman" w:hAnsi="Calibri" w:cs="Calibri"/>
              <w:color w:val="000000"/>
            </w:rPr>
            <w:t>, (2025).</w:t>
          </w:r>
        </w:p>
        <w:p w14:paraId="4951CDE6" w14:textId="77777777" w:rsidR="005D4FD5" w:rsidRPr="004E421A" w:rsidRDefault="005D4FD5">
          <w:pPr>
            <w:autoSpaceDE w:val="0"/>
            <w:autoSpaceDN w:val="0"/>
            <w:ind w:hanging="640"/>
            <w:divId w:val="1610965596"/>
            <w:rPr>
              <w:rFonts w:ascii="Calibri" w:eastAsia="Times New Roman" w:hAnsi="Calibri" w:cs="Calibri"/>
              <w:color w:val="000000"/>
            </w:rPr>
          </w:pPr>
          <w:r w:rsidRPr="004E421A">
            <w:rPr>
              <w:rFonts w:ascii="Calibri" w:eastAsia="Times New Roman" w:hAnsi="Calibri" w:cs="Calibri"/>
              <w:color w:val="000000"/>
            </w:rPr>
            <w:t>3.</w:t>
          </w:r>
          <w:r w:rsidRPr="004E421A">
            <w:rPr>
              <w:rFonts w:ascii="Calibri" w:eastAsia="Times New Roman" w:hAnsi="Calibri" w:cs="Calibri"/>
              <w:color w:val="000000"/>
            </w:rPr>
            <w:tab/>
            <w:t xml:space="preserve">Nearing, J. T., DeClercq, V., </w:t>
          </w:r>
          <w:proofErr w:type="spellStart"/>
          <w:r w:rsidRPr="004E421A">
            <w:rPr>
              <w:rFonts w:ascii="Calibri" w:eastAsia="Times New Roman" w:hAnsi="Calibri" w:cs="Calibri"/>
              <w:color w:val="000000"/>
            </w:rPr>
            <w:t>Limbergen</w:t>
          </w:r>
          <w:proofErr w:type="spellEnd"/>
          <w:r w:rsidRPr="004E421A">
            <w:rPr>
              <w:rFonts w:ascii="Calibri" w:eastAsia="Times New Roman" w:hAnsi="Calibri" w:cs="Calibri"/>
              <w:color w:val="000000"/>
            </w:rPr>
            <w:t xml:space="preserve">, J. Van &amp; Langille, M. G. I. Assessing the variation within the oral microbiome of healthy adults. </w:t>
          </w:r>
          <w:proofErr w:type="spellStart"/>
          <w:r w:rsidRPr="004E421A">
            <w:rPr>
              <w:rFonts w:ascii="Calibri" w:eastAsia="Times New Roman" w:hAnsi="Calibri" w:cs="Calibri"/>
              <w:i/>
              <w:iCs/>
              <w:color w:val="000000"/>
            </w:rPr>
            <w:t>mSphere</w:t>
          </w:r>
          <w:proofErr w:type="spellEnd"/>
          <w:r w:rsidRPr="004E421A">
            <w:rPr>
              <w:rFonts w:ascii="Calibri" w:eastAsia="Times New Roman" w:hAnsi="Calibri" w:cs="Calibri"/>
              <w:color w:val="000000"/>
            </w:rPr>
            <w:t xml:space="preserve"> 1–20 (2020) doi:10.18372/0370-2197.86.14492.</w:t>
          </w:r>
        </w:p>
        <w:p w14:paraId="6254DE9F" w14:textId="77777777" w:rsidR="005D4FD5" w:rsidRPr="004E421A" w:rsidRDefault="005D4FD5">
          <w:pPr>
            <w:autoSpaceDE w:val="0"/>
            <w:autoSpaceDN w:val="0"/>
            <w:ind w:hanging="640"/>
            <w:divId w:val="1401442053"/>
            <w:rPr>
              <w:rFonts w:ascii="Calibri" w:eastAsia="Times New Roman" w:hAnsi="Calibri" w:cs="Calibri"/>
              <w:color w:val="000000"/>
            </w:rPr>
          </w:pPr>
          <w:r w:rsidRPr="004E421A">
            <w:rPr>
              <w:rFonts w:ascii="Calibri" w:eastAsia="Times New Roman" w:hAnsi="Calibri" w:cs="Calibri"/>
              <w:color w:val="000000"/>
            </w:rPr>
            <w:t>4.</w:t>
          </w:r>
          <w:r w:rsidRPr="004E421A">
            <w:rPr>
              <w:rFonts w:ascii="Calibri" w:eastAsia="Times New Roman" w:hAnsi="Calibri" w:cs="Calibri"/>
              <w:color w:val="000000"/>
            </w:rPr>
            <w:tab/>
            <w:t xml:space="preserve">Nearing, J. T., DeClercq, V. &amp; Langille, M. G. I. Investigating the oral microbiome in retrospective and prospective cases of prostate, colon, and breast cancer. </w:t>
          </w:r>
          <w:r w:rsidRPr="004E421A">
            <w:rPr>
              <w:rFonts w:ascii="Calibri" w:eastAsia="Times New Roman" w:hAnsi="Calibri" w:cs="Calibri"/>
              <w:i/>
              <w:iCs/>
              <w:color w:val="000000"/>
            </w:rPr>
            <w:t>NPJ Biofilms Microbiomes</w:t>
          </w:r>
          <w:r w:rsidRPr="004E421A">
            <w:rPr>
              <w:rFonts w:ascii="Calibri" w:eastAsia="Times New Roman" w:hAnsi="Calibri" w:cs="Calibri"/>
              <w:color w:val="000000"/>
            </w:rPr>
            <w:t xml:space="preserve"> </w:t>
          </w:r>
          <w:r w:rsidRPr="004E421A">
            <w:rPr>
              <w:rFonts w:ascii="Calibri" w:eastAsia="Times New Roman" w:hAnsi="Calibri" w:cs="Calibri"/>
              <w:bCs/>
              <w:color w:val="000000"/>
            </w:rPr>
            <w:t>9</w:t>
          </w:r>
          <w:r w:rsidRPr="004E421A">
            <w:rPr>
              <w:rFonts w:ascii="Calibri" w:eastAsia="Times New Roman" w:hAnsi="Calibri" w:cs="Calibri"/>
              <w:color w:val="000000"/>
            </w:rPr>
            <w:t>, (2023).</w:t>
          </w:r>
        </w:p>
        <w:p w14:paraId="6CED7371" w14:textId="77777777" w:rsidR="005D4FD5" w:rsidRPr="004E421A" w:rsidRDefault="005D4FD5">
          <w:pPr>
            <w:autoSpaceDE w:val="0"/>
            <w:autoSpaceDN w:val="0"/>
            <w:ind w:hanging="640"/>
            <w:divId w:val="1338315214"/>
            <w:rPr>
              <w:rFonts w:ascii="Calibri" w:eastAsia="Times New Roman" w:hAnsi="Calibri" w:cs="Calibri"/>
              <w:color w:val="000000"/>
            </w:rPr>
          </w:pPr>
          <w:r w:rsidRPr="004E421A">
            <w:rPr>
              <w:rFonts w:ascii="Calibri" w:eastAsia="Times New Roman" w:hAnsi="Calibri" w:cs="Calibri"/>
              <w:color w:val="000000"/>
            </w:rPr>
            <w:t>5.</w:t>
          </w:r>
          <w:r w:rsidRPr="004E421A">
            <w:rPr>
              <w:rFonts w:ascii="Calibri" w:eastAsia="Times New Roman" w:hAnsi="Calibri" w:cs="Calibri"/>
              <w:color w:val="000000"/>
            </w:rPr>
            <w:tab/>
            <w:t xml:space="preserve">DeClercq, V., Nearing, J. T. &amp; Langille, M. G. Investigation of the impact of commonly used medications on the oral microbiome of individuals living without major chronic conditions. </w:t>
          </w:r>
          <w:proofErr w:type="spellStart"/>
          <w:r w:rsidRPr="004E421A">
            <w:rPr>
              <w:rFonts w:ascii="Calibri" w:eastAsia="Times New Roman" w:hAnsi="Calibri" w:cs="Calibri"/>
              <w:i/>
              <w:iCs/>
              <w:color w:val="000000"/>
            </w:rPr>
            <w:t>PLoS</w:t>
          </w:r>
          <w:proofErr w:type="spellEnd"/>
          <w:r w:rsidRPr="004E421A">
            <w:rPr>
              <w:rFonts w:ascii="Calibri" w:eastAsia="Times New Roman" w:hAnsi="Calibri" w:cs="Calibri"/>
              <w:i/>
              <w:iCs/>
              <w:color w:val="000000"/>
            </w:rPr>
            <w:t xml:space="preserve"> One</w:t>
          </w:r>
          <w:r w:rsidRPr="004E421A">
            <w:rPr>
              <w:rFonts w:ascii="Calibri" w:eastAsia="Times New Roman" w:hAnsi="Calibri" w:cs="Calibri"/>
              <w:color w:val="000000"/>
            </w:rPr>
            <w:t xml:space="preserve"> 1–19 (2021) </w:t>
          </w:r>
          <w:proofErr w:type="gramStart"/>
          <w:r w:rsidRPr="004E421A">
            <w:rPr>
              <w:rFonts w:ascii="Calibri" w:eastAsia="Times New Roman" w:hAnsi="Calibri" w:cs="Calibri"/>
              <w:color w:val="000000"/>
            </w:rPr>
            <w:t>doi:10.1371/journal.pone</w:t>
          </w:r>
          <w:proofErr w:type="gramEnd"/>
          <w:r w:rsidRPr="004E421A">
            <w:rPr>
              <w:rFonts w:ascii="Calibri" w:eastAsia="Times New Roman" w:hAnsi="Calibri" w:cs="Calibri"/>
              <w:color w:val="000000"/>
            </w:rPr>
            <w:t>.0261032.</w:t>
          </w:r>
        </w:p>
        <w:p w14:paraId="6C72B5A7" w14:textId="77777777" w:rsidR="005D4FD5" w:rsidRPr="004E421A" w:rsidRDefault="005D4FD5">
          <w:pPr>
            <w:autoSpaceDE w:val="0"/>
            <w:autoSpaceDN w:val="0"/>
            <w:ind w:hanging="640"/>
            <w:divId w:val="2122992984"/>
            <w:rPr>
              <w:rFonts w:ascii="Calibri" w:eastAsia="Times New Roman" w:hAnsi="Calibri" w:cs="Calibri"/>
              <w:color w:val="000000"/>
            </w:rPr>
          </w:pPr>
          <w:r w:rsidRPr="004E421A">
            <w:rPr>
              <w:rFonts w:ascii="Calibri" w:eastAsia="Times New Roman" w:hAnsi="Calibri" w:cs="Calibri"/>
              <w:color w:val="000000"/>
            </w:rPr>
            <w:t>6.</w:t>
          </w:r>
          <w:r w:rsidRPr="004E421A">
            <w:rPr>
              <w:rFonts w:ascii="Calibri" w:eastAsia="Times New Roman" w:hAnsi="Calibri" w:cs="Calibri"/>
              <w:color w:val="000000"/>
            </w:rPr>
            <w:tab/>
          </w:r>
          <w:proofErr w:type="spellStart"/>
          <w:r w:rsidRPr="004E421A">
            <w:rPr>
              <w:rFonts w:ascii="Calibri" w:eastAsia="Times New Roman" w:hAnsi="Calibri" w:cs="Calibri"/>
              <w:color w:val="000000"/>
            </w:rPr>
            <w:t>Hewawitharana</w:t>
          </w:r>
          <w:proofErr w:type="spellEnd"/>
          <w:r w:rsidRPr="004E421A">
            <w:rPr>
              <w:rFonts w:ascii="Calibri" w:eastAsia="Times New Roman" w:hAnsi="Calibri" w:cs="Calibri"/>
              <w:color w:val="000000"/>
            </w:rPr>
            <w:t xml:space="preserve">, S. C. </w:t>
          </w:r>
          <w:r w:rsidRPr="004E421A">
            <w:rPr>
              <w:rFonts w:ascii="Calibri" w:eastAsia="Times New Roman" w:hAnsi="Calibri" w:cs="Calibri"/>
              <w:i/>
              <w:iCs/>
              <w:color w:val="000000"/>
            </w:rPr>
            <w:t>et al.</w:t>
          </w:r>
          <w:r w:rsidRPr="004E421A">
            <w:rPr>
              <w:rFonts w:ascii="Calibri" w:eastAsia="Times New Roman" w:hAnsi="Calibri" w:cs="Calibri"/>
              <w:color w:val="000000"/>
            </w:rPr>
            <w:t xml:space="preserve"> Comparison of the NHANES dietary screener questionnaire to the Automated Self-Administered 24-Hour Recall for Children in the Healthy Communities Study. </w:t>
          </w:r>
          <w:proofErr w:type="spellStart"/>
          <w:r w:rsidRPr="004E421A">
            <w:rPr>
              <w:rFonts w:ascii="Calibri" w:eastAsia="Times New Roman" w:hAnsi="Calibri" w:cs="Calibri"/>
              <w:i/>
              <w:iCs/>
              <w:color w:val="000000"/>
            </w:rPr>
            <w:t>Nutr</w:t>
          </w:r>
          <w:proofErr w:type="spellEnd"/>
          <w:r w:rsidRPr="004E421A">
            <w:rPr>
              <w:rFonts w:ascii="Calibri" w:eastAsia="Times New Roman" w:hAnsi="Calibri" w:cs="Calibri"/>
              <w:i/>
              <w:iCs/>
              <w:color w:val="000000"/>
            </w:rPr>
            <w:t xml:space="preserve"> J</w:t>
          </w:r>
          <w:r w:rsidRPr="004E421A">
            <w:rPr>
              <w:rFonts w:ascii="Calibri" w:eastAsia="Times New Roman" w:hAnsi="Calibri" w:cs="Calibri"/>
              <w:color w:val="000000"/>
            </w:rPr>
            <w:t xml:space="preserve"> </w:t>
          </w:r>
          <w:r w:rsidRPr="004E421A">
            <w:rPr>
              <w:rFonts w:ascii="Calibri" w:eastAsia="Times New Roman" w:hAnsi="Calibri" w:cs="Calibri"/>
              <w:bCs/>
              <w:color w:val="000000"/>
            </w:rPr>
            <w:t>17</w:t>
          </w:r>
          <w:r w:rsidRPr="004E421A">
            <w:rPr>
              <w:rFonts w:ascii="Calibri" w:eastAsia="Times New Roman" w:hAnsi="Calibri" w:cs="Calibri"/>
              <w:color w:val="000000"/>
            </w:rPr>
            <w:t>, (2018).</w:t>
          </w:r>
        </w:p>
        <w:p w14:paraId="07AFAE66" w14:textId="77777777" w:rsidR="005D4FD5" w:rsidRPr="004E421A" w:rsidRDefault="005D4FD5">
          <w:pPr>
            <w:autoSpaceDE w:val="0"/>
            <w:autoSpaceDN w:val="0"/>
            <w:ind w:hanging="640"/>
            <w:divId w:val="1651599118"/>
            <w:rPr>
              <w:rFonts w:ascii="Calibri" w:eastAsia="Times New Roman" w:hAnsi="Calibri" w:cs="Calibri"/>
              <w:color w:val="000000"/>
            </w:rPr>
          </w:pPr>
          <w:r w:rsidRPr="004E421A">
            <w:rPr>
              <w:rFonts w:ascii="Calibri" w:eastAsia="Times New Roman" w:hAnsi="Calibri" w:cs="Calibri"/>
              <w:color w:val="000000"/>
            </w:rPr>
            <w:t>7.</w:t>
          </w:r>
          <w:r w:rsidRPr="004E421A">
            <w:rPr>
              <w:rFonts w:ascii="Calibri" w:eastAsia="Times New Roman" w:hAnsi="Calibri" w:cs="Calibri"/>
              <w:color w:val="000000"/>
            </w:rPr>
            <w:tab/>
            <w:t xml:space="preserve">Burcham, Z. M. </w:t>
          </w:r>
          <w:r w:rsidRPr="004E421A">
            <w:rPr>
              <w:rFonts w:ascii="Calibri" w:eastAsia="Times New Roman" w:hAnsi="Calibri" w:cs="Calibri"/>
              <w:i/>
              <w:iCs/>
              <w:color w:val="000000"/>
            </w:rPr>
            <w:t>et al.</w:t>
          </w:r>
          <w:r w:rsidRPr="004E421A">
            <w:rPr>
              <w:rFonts w:ascii="Calibri" w:eastAsia="Times New Roman" w:hAnsi="Calibri" w:cs="Calibri"/>
              <w:color w:val="000000"/>
            </w:rPr>
            <w:t xml:space="preserve"> Patterns of Oral Microbiota Diversity in Adults and Children: A Crowdsourced Population Study. </w:t>
          </w:r>
          <w:r w:rsidRPr="004E421A">
            <w:rPr>
              <w:rFonts w:ascii="Calibri" w:eastAsia="Times New Roman" w:hAnsi="Calibri" w:cs="Calibri"/>
              <w:i/>
              <w:iCs/>
              <w:color w:val="000000"/>
            </w:rPr>
            <w:t>Sci Rep</w:t>
          </w:r>
          <w:r w:rsidRPr="004E421A">
            <w:rPr>
              <w:rFonts w:ascii="Calibri" w:eastAsia="Times New Roman" w:hAnsi="Calibri" w:cs="Calibri"/>
              <w:color w:val="000000"/>
            </w:rPr>
            <w:t xml:space="preserve"> </w:t>
          </w:r>
          <w:r w:rsidRPr="004E421A">
            <w:rPr>
              <w:rFonts w:ascii="Calibri" w:eastAsia="Times New Roman" w:hAnsi="Calibri" w:cs="Calibri"/>
              <w:bCs/>
              <w:color w:val="000000"/>
            </w:rPr>
            <w:t>10</w:t>
          </w:r>
          <w:r w:rsidRPr="004E421A">
            <w:rPr>
              <w:rFonts w:ascii="Calibri" w:eastAsia="Times New Roman" w:hAnsi="Calibri" w:cs="Calibri"/>
              <w:color w:val="000000"/>
            </w:rPr>
            <w:t>, (2020).</w:t>
          </w:r>
        </w:p>
        <w:p w14:paraId="79C233BA" w14:textId="77777777" w:rsidR="005D4FD5" w:rsidRPr="004E421A" w:rsidRDefault="005D4FD5">
          <w:pPr>
            <w:autoSpaceDE w:val="0"/>
            <w:autoSpaceDN w:val="0"/>
            <w:ind w:hanging="640"/>
            <w:divId w:val="1783526889"/>
            <w:rPr>
              <w:rFonts w:ascii="Calibri" w:eastAsia="Times New Roman" w:hAnsi="Calibri" w:cs="Calibri"/>
              <w:color w:val="000000"/>
            </w:rPr>
          </w:pPr>
          <w:r w:rsidRPr="004E421A">
            <w:rPr>
              <w:rFonts w:ascii="Calibri" w:eastAsia="Times New Roman" w:hAnsi="Calibri" w:cs="Calibri"/>
              <w:color w:val="000000"/>
            </w:rPr>
            <w:t>8.</w:t>
          </w:r>
          <w:r w:rsidRPr="004E421A">
            <w:rPr>
              <w:rFonts w:ascii="Calibri" w:eastAsia="Times New Roman" w:hAnsi="Calibri" w:cs="Calibri"/>
              <w:color w:val="000000"/>
            </w:rPr>
            <w:tab/>
            <w:t xml:space="preserve">Odendaal, M. L. </w:t>
          </w:r>
          <w:r w:rsidRPr="004E421A">
            <w:rPr>
              <w:rFonts w:ascii="Calibri" w:eastAsia="Times New Roman" w:hAnsi="Calibri" w:cs="Calibri"/>
              <w:i/>
              <w:iCs/>
              <w:color w:val="000000"/>
            </w:rPr>
            <w:t>et al.</w:t>
          </w:r>
          <w:r w:rsidRPr="004E421A">
            <w:rPr>
              <w:rFonts w:ascii="Calibri" w:eastAsia="Times New Roman" w:hAnsi="Calibri" w:cs="Calibri"/>
              <w:color w:val="000000"/>
            </w:rPr>
            <w:t xml:space="preserve"> </w:t>
          </w:r>
          <w:proofErr w:type="gramStart"/>
          <w:r w:rsidRPr="004E421A">
            <w:rPr>
              <w:rFonts w:ascii="Calibri" w:eastAsia="Times New Roman" w:hAnsi="Calibri" w:cs="Calibri"/>
              <w:color w:val="000000"/>
            </w:rPr>
            <w:t>Host</w:t>
          </w:r>
          <w:proofErr w:type="gramEnd"/>
          <w:r w:rsidRPr="004E421A">
            <w:rPr>
              <w:rFonts w:ascii="Calibri" w:eastAsia="Times New Roman" w:hAnsi="Calibri" w:cs="Calibri"/>
              <w:color w:val="000000"/>
            </w:rPr>
            <w:t xml:space="preserve"> and environmental factors shape upper airway microbiota and respiratory health across the human lifespan. </w:t>
          </w:r>
          <w:r w:rsidRPr="004E421A">
            <w:rPr>
              <w:rFonts w:ascii="Calibri" w:eastAsia="Times New Roman" w:hAnsi="Calibri" w:cs="Calibri"/>
              <w:i/>
              <w:iCs/>
              <w:color w:val="000000"/>
            </w:rPr>
            <w:t>Cell</w:t>
          </w:r>
          <w:r w:rsidRPr="004E421A">
            <w:rPr>
              <w:rFonts w:ascii="Calibri" w:eastAsia="Times New Roman" w:hAnsi="Calibri" w:cs="Calibri"/>
              <w:color w:val="000000"/>
            </w:rPr>
            <w:t xml:space="preserve"> </w:t>
          </w:r>
          <w:r w:rsidRPr="004E421A">
            <w:rPr>
              <w:rFonts w:ascii="Calibri" w:eastAsia="Times New Roman" w:hAnsi="Calibri" w:cs="Calibri"/>
              <w:bCs/>
              <w:color w:val="000000"/>
            </w:rPr>
            <w:t>187</w:t>
          </w:r>
          <w:r w:rsidRPr="004E421A">
            <w:rPr>
              <w:rFonts w:ascii="Calibri" w:eastAsia="Times New Roman" w:hAnsi="Calibri" w:cs="Calibri"/>
              <w:color w:val="000000"/>
            </w:rPr>
            <w:t>, 4571-4585.e15 (2024).</w:t>
          </w:r>
        </w:p>
        <w:p w14:paraId="2A475B03" w14:textId="77777777" w:rsidR="005D4FD5" w:rsidRPr="004E421A" w:rsidRDefault="005D4FD5">
          <w:pPr>
            <w:autoSpaceDE w:val="0"/>
            <w:autoSpaceDN w:val="0"/>
            <w:ind w:hanging="640"/>
            <w:divId w:val="237907312"/>
            <w:rPr>
              <w:rFonts w:ascii="Calibri" w:eastAsia="Times New Roman" w:hAnsi="Calibri" w:cs="Calibri"/>
              <w:color w:val="000000"/>
            </w:rPr>
          </w:pPr>
          <w:r w:rsidRPr="004E421A">
            <w:rPr>
              <w:rFonts w:ascii="Calibri" w:eastAsia="Times New Roman" w:hAnsi="Calibri" w:cs="Calibri"/>
              <w:color w:val="000000"/>
            </w:rPr>
            <w:t>9.</w:t>
          </w:r>
          <w:r w:rsidRPr="004E421A">
            <w:rPr>
              <w:rFonts w:ascii="Calibri" w:eastAsia="Times New Roman" w:hAnsi="Calibri" w:cs="Calibri"/>
              <w:color w:val="000000"/>
            </w:rPr>
            <w:tab/>
            <w:t xml:space="preserve">Lif Holgerson, P., Esberg, A., </w:t>
          </w:r>
          <w:proofErr w:type="spellStart"/>
          <w:r w:rsidRPr="004E421A">
            <w:rPr>
              <w:rFonts w:ascii="Calibri" w:eastAsia="Times New Roman" w:hAnsi="Calibri" w:cs="Calibri"/>
              <w:color w:val="000000"/>
            </w:rPr>
            <w:t>Sjödin</w:t>
          </w:r>
          <w:proofErr w:type="spellEnd"/>
          <w:r w:rsidRPr="004E421A">
            <w:rPr>
              <w:rFonts w:ascii="Calibri" w:eastAsia="Times New Roman" w:hAnsi="Calibri" w:cs="Calibri"/>
              <w:color w:val="000000"/>
            </w:rPr>
            <w:t xml:space="preserve">, A., West, C. E. &amp; Johansson, I. A longitudinal study of the development of the saliva microbiome in infants 2 days to 5 years compared to the microbiome in adolescents. </w:t>
          </w:r>
          <w:r w:rsidRPr="004E421A">
            <w:rPr>
              <w:rFonts w:ascii="Calibri" w:eastAsia="Times New Roman" w:hAnsi="Calibri" w:cs="Calibri"/>
              <w:i/>
              <w:iCs/>
              <w:color w:val="000000"/>
            </w:rPr>
            <w:t>Sci Rep</w:t>
          </w:r>
          <w:r w:rsidRPr="004E421A">
            <w:rPr>
              <w:rFonts w:ascii="Calibri" w:eastAsia="Times New Roman" w:hAnsi="Calibri" w:cs="Calibri"/>
              <w:color w:val="000000"/>
            </w:rPr>
            <w:t xml:space="preserve"> </w:t>
          </w:r>
          <w:r w:rsidRPr="004E421A">
            <w:rPr>
              <w:rFonts w:ascii="Calibri" w:eastAsia="Times New Roman" w:hAnsi="Calibri" w:cs="Calibri"/>
              <w:bCs/>
              <w:color w:val="000000"/>
            </w:rPr>
            <w:t>10</w:t>
          </w:r>
          <w:r w:rsidRPr="004E421A">
            <w:rPr>
              <w:rFonts w:ascii="Calibri" w:eastAsia="Times New Roman" w:hAnsi="Calibri" w:cs="Calibri"/>
              <w:color w:val="000000"/>
            </w:rPr>
            <w:t>, 9629 (2020).</w:t>
          </w:r>
        </w:p>
        <w:p w14:paraId="0E7B3FE9" w14:textId="77777777" w:rsidR="005D4FD5" w:rsidRPr="004E421A" w:rsidRDefault="005D4FD5">
          <w:pPr>
            <w:autoSpaceDE w:val="0"/>
            <w:autoSpaceDN w:val="0"/>
            <w:ind w:hanging="640"/>
            <w:divId w:val="1710838726"/>
            <w:rPr>
              <w:rFonts w:ascii="Calibri" w:eastAsia="Times New Roman" w:hAnsi="Calibri" w:cs="Calibri"/>
              <w:color w:val="000000"/>
            </w:rPr>
          </w:pPr>
          <w:r w:rsidRPr="004E421A">
            <w:rPr>
              <w:rFonts w:ascii="Calibri" w:eastAsia="Times New Roman" w:hAnsi="Calibri" w:cs="Calibri"/>
              <w:color w:val="000000"/>
            </w:rPr>
            <w:t>10.</w:t>
          </w:r>
          <w:r w:rsidRPr="004E421A">
            <w:rPr>
              <w:rFonts w:ascii="Calibri" w:eastAsia="Times New Roman" w:hAnsi="Calibri" w:cs="Calibri"/>
              <w:color w:val="000000"/>
            </w:rPr>
            <w:tab/>
            <w:t xml:space="preserve">Kado, I., </w:t>
          </w:r>
          <w:proofErr w:type="spellStart"/>
          <w:r w:rsidRPr="004E421A">
            <w:rPr>
              <w:rFonts w:ascii="Calibri" w:eastAsia="Times New Roman" w:hAnsi="Calibri" w:cs="Calibri"/>
              <w:color w:val="000000"/>
            </w:rPr>
            <w:t>Hisatsune</w:t>
          </w:r>
          <w:proofErr w:type="spellEnd"/>
          <w:r w:rsidRPr="004E421A">
            <w:rPr>
              <w:rFonts w:ascii="Calibri" w:eastAsia="Times New Roman" w:hAnsi="Calibri" w:cs="Calibri"/>
              <w:color w:val="000000"/>
            </w:rPr>
            <w:t xml:space="preserve">, J., Tsuruda, K., Tanimoto, K. &amp; Sugai, M. The impact of fixed orthodontic appliances on oral microbiome dynamics in Japanese patients. </w:t>
          </w:r>
          <w:r w:rsidRPr="004E421A">
            <w:rPr>
              <w:rFonts w:ascii="Calibri" w:eastAsia="Times New Roman" w:hAnsi="Calibri" w:cs="Calibri"/>
              <w:i/>
              <w:iCs/>
              <w:color w:val="000000"/>
            </w:rPr>
            <w:t>Sci Rep</w:t>
          </w:r>
          <w:r w:rsidRPr="004E421A">
            <w:rPr>
              <w:rFonts w:ascii="Calibri" w:eastAsia="Times New Roman" w:hAnsi="Calibri" w:cs="Calibri"/>
              <w:color w:val="000000"/>
            </w:rPr>
            <w:t xml:space="preserve"> </w:t>
          </w:r>
          <w:r w:rsidRPr="004E421A">
            <w:rPr>
              <w:rFonts w:ascii="Calibri" w:eastAsia="Times New Roman" w:hAnsi="Calibri" w:cs="Calibri"/>
              <w:bCs/>
              <w:color w:val="000000"/>
            </w:rPr>
            <w:t>10</w:t>
          </w:r>
          <w:r w:rsidRPr="004E421A">
            <w:rPr>
              <w:rFonts w:ascii="Calibri" w:eastAsia="Times New Roman" w:hAnsi="Calibri" w:cs="Calibri"/>
              <w:color w:val="000000"/>
            </w:rPr>
            <w:t>, (2020).</w:t>
          </w:r>
        </w:p>
        <w:p w14:paraId="294F7B81" w14:textId="77777777" w:rsidR="005D4FD5" w:rsidRPr="004E421A" w:rsidRDefault="005D4FD5">
          <w:pPr>
            <w:autoSpaceDE w:val="0"/>
            <w:autoSpaceDN w:val="0"/>
            <w:ind w:hanging="640"/>
            <w:divId w:val="1794211321"/>
            <w:rPr>
              <w:rFonts w:ascii="Calibri" w:eastAsia="Times New Roman" w:hAnsi="Calibri" w:cs="Calibri"/>
              <w:color w:val="000000"/>
            </w:rPr>
          </w:pPr>
          <w:r w:rsidRPr="004E421A">
            <w:rPr>
              <w:rFonts w:ascii="Calibri" w:eastAsia="Times New Roman" w:hAnsi="Calibri" w:cs="Calibri"/>
              <w:color w:val="000000"/>
            </w:rPr>
            <w:t>11.</w:t>
          </w:r>
          <w:r w:rsidRPr="004E421A">
            <w:rPr>
              <w:rFonts w:ascii="Calibri" w:eastAsia="Times New Roman" w:hAnsi="Calibri" w:cs="Calibri"/>
              <w:color w:val="000000"/>
            </w:rPr>
            <w:tab/>
            <w:t xml:space="preserve">Renson, A. </w:t>
          </w:r>
          <w:r w:rsidRPr="004E421A">
            <w:rPr>
              <w:rFonts w:ascii="Calibri" w:eastAsia="Times New Roman" w:hAnsi="Calibri" w:cs="Calibri"/>
              <w:i/>
              <w:iCs/>
              <w:color w:val="000000"/>
            </w:rPr>
            <w:t>et al.</w:t>
          </w:r>
          <w:r w:rsidRPr="004E421A">
            <w:rPr>
              <w:rFonts w:ascii="Calibri" w:eastAsia="Times New Roman" w:hAnsi="Calibri" w:cs="Calibri"/>
              <w:color w:val="000000"/>
            </w:rPr>
            <w:t xml:space="preserve"> Sociodemographic variation in the oral microbiome. </w:t>
          </w:r>
          <w:r w:rsidRPr="004E421A">
            <w:rPr>
              <w:rFonts w:ascii="Calibri" w:eastAsia="Times New Roman" w:hAnsi="Calibri" w:cs="Calibri"/>
              <w:i/>
              <w:iCs/>
              <w:color w:val="000000"/>
            </w:rPr>
            <w:t xml:space="preserve">Ann </w:t>
          </w:r>
          <w:proofErr w:type="spellStart"/>
          <w:r w:rsidRPr="004E421A">
            <w:rPr>
              <w:rFonts w:ascii="Calibri" w:eastAsia="Times New Roman" w:hAnsi="Calibri" w:cs="Calibri"/>
              <w:i/>
              <w:iCs/>
              <w:color w:val="000000"/>
            </w:rPr>
            <w:t>Epidemiol</w:t>
          </w:r>
          <w:proofErr w:type="spellEnd"/>
          <w:r w:rsidRPr="004E421A">
            <w:rPr>
              <w:rFonts w:ascii="Calibri" w:eastAsia="Times New Roman" w:hAnsi="Calibri" w:cs="Calibri"/>
              <w:color w:val="000000"/>
            </w:rPr>
            <w:t xml:space="preserve"> </w:t>
          </w:r>
          <w:r w:rsidRPr="004E421A">
            <w:rPr>
              <w:rFonts w:ascii="Calibri" w:eastAsia="Times New Roman" w:hAnsi="Calibri" w:cs="Calibri"/>
              <w:bCs/>
              <w:color w:val="000000"/>
            </w:rPr>
            <w:t>35</w:t>
          </w:r>
          <w:r w:rsidRPr="004E421A">
            <w:rPr>
              <w:rFonts w:ascii="Calibri" w:eastAsia="Times New Roman" w:hAnsi="Calibri" w:cs="Calibri"/>
              <w:color w:val="000000"/>
            </w:rPr>
            <w:t>, 73-</w:t>
          </w:r>
          <w:proofErr w:type="gramStart"/>
          <w:r w:rsidRPr="004E421A">
            <w:rPr>
              <w:rFonts w:ascii="Calibri" w:eastAsia="Times New Roman" w:hAnsi="Calibri" w:cs="Calibri"/>
              <w:color w:val="000000"/>
            </w:rPr>
            <w:t>80.e</w:t>
          </w:r>
          <w:proofErr w:type="gramEnd"/>
          <w:r w:rsidRPr="004E421A">
            <w:rPr>
              <w:rFonts w:ascii="Calibri" w:eastAsia="Times New Roman" w:hAnsi="Calibri" w:cs="Calibri"/>
              <w:color w:val="000000"/>
            </w:rPr>
            <w:t>2 (2019).</w:t>
          </w:r>
        </w:p>
        <w:p w14:paraId="6941BDA1" w14:textId="77777777" w:rsidR="005D4FD5" w:rsidRPr="004E421A" w:rsidRDefault="005D4FD5">
          <w:pPr>
            <w:autoSpaceDE w:val="0"/>
            <w:autoSpaceDN w:val="0"/>
            <w:ind w:hanging="640"/>
            <w:divId w:val="516426925"/>
            <w:rPr>
              <w:rFonts w:ascii="Calibri" w:eastAsia="Times New Roman" w:hAnsi="Calibri" w:cs="Calibri"/>
              <w:color w:val="000000"/>
            </w:rPr>
          </w:pPr>
          <w:r w:rsidRPr="004E421A">
            <w:rPr>
              <w:rFonts w:ascii="Calibri" w:eastAsia="Times New Roman" w:hAnsi="Calibri" w:cs="Calibri"/>
              <w:color w:val="000000"/>
            </w:rPr>
            <w:t>12.</w:t>
          </w:r>
          <w:r w:rsidRPr="004E421A">
            <w:rPr>
              <w:rFonts w:ascii="Calibri" w:eastAsia="Times New Roman" w:hAnsi="Calibri" w:cs="Calibri"/>
              <w:color w:val="000000"/>
            </w:rPr>
            <w:tab/>
            <w:t xml:space="preserve">Mason, M. R., Nagaraja, H. N., Camerlengo, T., Joshi, V. &amp; Kumar, P. S. Deep Sequencing Identifies Ethnicity-Specific Bacterial Signatures in the Oral Microbiome. </w:t>
          </w:r>
          <w:proofErr w:type="spellStart"/>
          <w:r w:rsidRPr="004E421A">
            <w:rPr>
              <w:rFonts w:ascii="Calibri" w:eastAsia="Times New Roman" w:hAnsi="Calibri" w:cs="Calibri"/>
              <w:i/>
              <w:iCs/>
              <w:color w:val="000000"/>
            </w:rPr>
            <w:t>PLoS</w:t>
          </w:r>
          <w:proofErr w:type="spellEnd"/>
          <w:r w:rsidRPr="004E421A">
            <w:rPr>
              <w:rFonts w:ascii="Calibri" w:eastAsia="Times New Roman" w:hAnsi="Calibri" w:cs="Calibri"/>
              <w:i/>
              <w:iCs/>
              <w:color w:val="000000"/>
            </w:rPr>
            <w:t xml:space="preserve"> One</w:t>
          </w:r>
          <w:r w:rsidRPr="004E421A">
            <w:rPr>
              <w:rFonts w:ascii="Calibri" w:eastAsia="Times New Roman" w:hAnsi="Calibri" w:cs="Calibri"/>
              <w:color w:val="000000"/>
            </w:rPr>
            <w:t xml:space="preserve"> </w:t>
          </w:r>
          <w:r w:rsidRPr="004E421A">
            <w:rPr>
              <w:rFonts w:ascii="Calibri" w:eastAsia="Times New Roman" w:hAnsi="Calibri" w:cs="Calibri"/>
              <w:bCs/>
              <w:color w:val="000000"/>
            </w:rPr>
            <w:t>8</w:t>
          </w:r>
          <w:r w:rsidRPr="004E421A">
            <w:rPr>
              <w:rFonts w:ascii="Calibri" w:eastAsia="Times New Roman" w:hAnsi="Calibri" w:cs="Calibri"/>
              <w:color w:val="000000"/>
            </w:rPr>
            <w:t>, (2013).</w:t>
          </w:r>
        </w:p>
        <w:p w14:paraId="1A14CB6B" w14:textId="77777777" w:rsidR="005D4FD5" w:rsidRPr="004E421A" w:rsidRDefault="005D4FD5">
          <w:pPr>
            <w:autoSpaceDE w:val="0"/>
            <w:autoSpaceDN w:val="0"/>
            <w:ind w:hanging="640"/>
            <w:divId w:val="412239042"/>
            <w:rPr>
              <w:rFonts w:ascii="Calibri" w:eastAsia="Times New Roman" w:hAnsi="Calibri" w:cs="Calibri"/>
              <w:color w:val="000000"/>
            </w:rPr>
          </w:pPr>
          <w:r w:rsidRPr="004E421A">
            <w:rPr>
              <w:rFonts w:ascii="Calibri" w:eastAsia="Times New Roman" w:hAnsi="Calibri" w:cs="Calibri"/>
              <w:color w:val="000000"/>
            </w:rPr>
            <w:lastRenderedPageBreak/>
            <w:t>13.</w:t>
          </w:r>
          <w:r w:rsidRPr="004E421A">
            <w:rPr>
              <w:rFonts w:ascii="Calibri" w:eastAsia="Times New Roman" w:hAnsi="Calibri" w:cs="Calibri"/>
              <w:color w:val="000000"/>
            </w:rPr>
            <w:tab/>
            <w:t xml:space="preserve">Raju, S. C. </w:t>
          </w:r>
          <w:r w:rsidRPr="004E421A">
            <w:rPr>
              <w:rFonts w:ascii="Calibri" w:eastAsia="Times New Roman" w:hAnsi="Calibri" w:cs="Calibri"/>
              <w:i/>
              <w:iCs/>
              <w:color w:val="000000"/>
            </w:rPr>
            <w:t>et al.</w:t>
          </w:r>
          <w:r w:rsidRPr="004E421A">
            <w:rPr>
              <w:rFonts w:ascii="Calibri" w:eastAsia="Times New Roman" w:hAnsi="Calibri" w:cs="Calibri"/>
              <w:color w:val="000000"/>
            </w:rPr>
            <w:t xml:space="preserve"> Gender-specific associations between saliva microbiota and body size. </w:t>
          </w:r>
          <w:r w:rsidRPr="004E421A">
            <w:rPr>
              <w:rFonts w:ascii="Calibri" w:eastAsia="Times New Roman" w:hAnsi="Calibri" w:cs="Calibri"/>
              <w:i/>
              <w:iCs/>
              <w:color w:val="000000"/>
            </w:rPr>
            <w:t xml:space="preserve">Front </w:t>
          </w:r>
          <w:proofErr w:type="spellStart"/>
          <w:r w:rsidRPr="004E421A">
            <w:rPr>
              <w:rFonts w:ascii="Calibri" w:eastAsia="Times New Roman" w:hAnsi="Calibri" w:cs="Calibri"/>
              <w:i/>
              <w:iCs/>
              <w:color w:val="000000"/>
            </w:rPr>
            <w:t>Microbiol</w:t>
          </w:r>
          <w:proofErr w:type="spellEnd"/>
          <w:r w:rsidRPr="004E421A">
            <w:rPr>
              <w:rFonts w:ascii="Calibri" w:eastAsia="Times New Roman" w:hAnsi="Calibri" w:cs="Calibri"/>
              <w:color w:val="000000"/>
            </w:rPr>
            <w:t xml:space="preserve"> </w:t>
          </w:r>
          <w:r w:rsidRPr="004E421A">
            <w:rPr>
              <w:rFonts w:ascii="Calibri" w:eastAsia="Times New Roman" w:hAnsi="Calibri" w:cs="Calibri"/>
              <w:bCs/>
              <w:color w:val="000000"/>
            </w:rPr>
            <w:t>10</w:t>
          </w:r>
          <w:r w:rsidRPr="004E421A">
            <w:rPr>
              <w:rFonts w:ascii="Calibri" w:eastAsia="Times New Roman" w:hAnsi="Calibri" w:cs="Calibri"/>
              <w:color w:val="000000"/>
            </w:rPr>
            <w:t>, (2019).</w:t>
          </w:r>
        </w:p>
        <w:p w14:paraId="2ACC7A00" w14:textId="77777777" w:rsidR="005D4FD5" w:rsidRPr="004E421A" w:rsidRDefault="005D4FD5">
          <w:pPr>
            <w:autoSpaceDE w:val="0"/>
            <w:autoSpaceDN w:val="0"/>
            <w:ind w:hanging="640"/>
            <w:divId w:val="1921600533"/>
            <w:rPr>
              <w:rFonts w:ascii="Calibri" w:eastAsia="Times New Roman" w:hAnsi="Calibri" w:cs="Calibri"/>
              <w:color w:val="000000"/>
            </w:rPr>
          </w:pPr>
          <w:r w:rsidRPr="004E421A">
            <w:rPr>
              <w:rFonts w:ascii="Calibri" w:eastAsia="Times New Roman" w:hAnsi="Calibri" w:cs="Calibri"/>
              <w:color w:val="000000"/>
            </w:rPr>
            <w:t>14.</w:t>
          </w:r>
          <w:r w:rsidRPr="004E421A">
            <w:rPr>
              <w:rFonts w:ascii="Calibri" w:eastAsia="Times New Roman" w:hAnsi="Calibri" w:cs="Calibri"/>
              <w:color w:val="000000"/>
            </w:rPr>
            <w:tab/>
            <w:t xml:space="preserve">Kuhn, L. </w:t>
          </w:r>
          <w:r w:rsidRPr="004E421A">
            <w:rPr>
              <w:rFonts w:ascii="Calibri" w:eastAsia="Times New Roman" w:hAnsi="Calibri" w:cs="Calibri"/>
              <w:i/>
              <w:iCs/>
              <w:color w:val="000000"/>
            </w:rPr>
            <w:t>et al.</w:t>
          </w:r>
          <w:r w:rsidRPr="004E421A">
            <w:rPr>
              <w:rFonts w:ascii="Calibri" w:eastAsia="Times New Roman" w:hAnsi="Calibri" w:cs="Calibri"/>
              <w:color w:val="000000"/>
            </w:rPr>
            <w:t xml:space="preserve"> Microbiota in the oral cavity of school-age children with HIV who started antiretroviral therapy at young ages in South Africa. </w:t>
          </w:r>
          <w:r w:rsidRPr="004E421A">
            <w:rPr>
              <w:rFonts w:ascii="Calibri" w:eastAsia="Times New Roman" w:hAnsi="Calibri" w:cs="Calibri"/>
              <w:i/>
              <w:iCs/>
              <w:color w:val="000000"/>
            </w:rPr>
            <w:t>AIDS</w:t>
          </w:r>
          <w:r w:rsidRPr="004E421A">
            <w:rPr>
              <w:rFonts w:ascii="Calibri" w:eastAsia="Times New Roman" w:hAnsi="Calibri" w:cs="Calibri"/>
              <w:color w:val="000000"/>
            </w:rPr>
            <w:t xml:space="preserve"> </w:t>
          </w:r>
          <w:r w:rsidRPr="004E421A">
            <w:rPr>
              <w:rFonts w:ascii="Calibri" w:eastAsia="Times New Roman" w:hAnsi="Calibri" w:cs="Calibri"/>
              <w:bCs/>
              <w:color w:val="000000"/>
            </w:rPr>
            <w:t>37</w:t>
          </w:r>
          <w:r w:rsidRPr="004E421A">
            <w:rPr>
              <w:rFonts w:ascii="Calibri" w:eastAsia="Times New Roman" w:hAnsi="Calibri" w:cs="Calibri"/>
              <w:color w:val="000000"/>
            </w:rPr>
            <w:t>, 1583–1591 (2023).</w:t>
          </w:r>
        </w:p>
        <w:p w14:paraId="01711956" w14:textId="77777777" w:rsidR="005D4FD5" w:rsidRPr="004E421A" w:rsidRDefault="005D4FD5">
          <w:pPr>
            <w:autoSpaceDE w:val="0"/>
            <w:autoSpaceDN w:val="0"/>
            <w:ind w:hanging="640"/>
            <w:divId w:val="1964380771"/>
            <w:rPr>
              <w:rFonts w:ascii="Calibri" w:eastAsia="Times New Roman" w:hAnsi="Calibri" w:cs="Calibri"/>
              <w:color w:val="000000"/>
            </w:rPr>
          </w:pPr>
          <w:r w:rsidRPr="004E421A">
            <w:rPr>
              <w:rFonts w:ascii="Calibri" w:eastAsia="Times New Roman" w:hAnsi="Calibri" w:cs="Calibri"/>
              <w:color w:val="000000"/>
            </w:rPr>
            <w:t>15.</w:t>
          </w:r>
          <w:r w:rsidRPr="004E421A">
            <w:rPr>
              <w:rFonts w:ascii="Calibri" w:eastAsia="Times New Roman" w:hAnsi="Calibri" w:cs="Calibri"/>
              <w:color w:val="000000"/>
            </w:rPr>
            <w:tab/>
          </w:r>
          <w:proofErr w:type="spellStart"/>
          <w:r w:rsidRPr="004E421A">
            <w:rPr>
              <w:rFonts w:ascii="Calibri" w:eastAsia="Times New Roman" w:hAnsi="Calibri" w:cs="Calibri"/>
              <w:color w:val="000000"/>
            </w:rPr>
            <w:t>Manghi</w:t>
          </w:r>
          <w:proofErr w:type="spellEnd"/>
          <w:r w:rsidRPr="004E421A">
            <w:rPr>
              <w:rFonts w:ascii="Calibri" w:eastAsia="Times New Roman" w:hAnsi="Calibri" w:cs="Calibri"/>
              <w:color w:val="000000"/>
            </w:rPr>
            <w:t xml:space="preserve">, P. </w:t>
          </w:r>
          <w:r w:rsidRPr="004E421A">
            <w:rPr>
              <w:rFonts w:ascii="Calibri" w:eastAsia="Times New Roman" w:hAnsi="Calibri" w:cs="Calibri"/>
              <w:i/>
              <w:iCs/>
              <w:color w:val="000000"/>
            </w:rPr>
            <w:t>et al.</w:t>
          </w:r>
          <w:r w:rsidRPr="004E421A">
            <w:rPr>
              <w:rFonts w:ascii="Calibri" w:eastAsia="Times New Roman" w:hAnsi="Calibri" w:cs="Calibri"/>
              <w:color w:val="000000"/>
            </w:rPr>
            <w:t xml:space="preserve"> Large-scale metagenomic analysis of oral microbiomes reveals markers for autism spectrum disorders. </w:t>
          </w:r>
          <w:r w:rsidRPr="004E421A">
            <w:rPr>
              <w:rFonts w:ascii="Calibri" w:eastAsia="Times New Roman" w:hAnsi="Calibri" w:cs="Calibri"/>
              <w:i/>
              <w:iCs/>
              <w:color w:val="000000"/>
            </w:rPr>
            <w:t xml:space="preserve">Nature Communications </w:t>
          </w:r>
          <w:r w:rsidRPr="004E421A">
            <w:rPr>
              <w:rFonts w:ascii="Calibri" w:eastAsia="Times New Roman" w:hAnsi="Calibri" w:cs="Calibri"/>
              <w:bCs/>
              <w:color w:val="000000"/>
            </w:rPr>
            <w:t>15</w:t>
          </w:r>
          <w:r w:rsidRPr="004E421A">
            <w:rPr>
              <w:rFonts w:ascii="Calibri" w:eastAsia="Times New Roman" w:hAnsi="Calibri" w:cs="Calibri"/>
              <w:color w:val="000000"/>
            </w:rPr>
            <w:t>, (2024).</w:t>
          </w:r>
        </w:p>
        <w:p w14:paraId="6AE5A8B8" w14:textId="77777777" w:rsidR="005D4FD5" w:rsidRPr="004E421A" w:rsidRDefault="005D4FD5">
          <w:pPr>
            <w:autoSpaceDE w:val="0"/>
            <w:autoSpaceDN w:val="0"/>
            <w:ind w:hanging="640"/>
            <w:divId w:val="1142234005"/>
            <w:rPr>
              <w:rFonts w:ascii="Calibri" w:eastAsia="Times New Roman" w:hAnsi="Calibri" w:cs="Calibri"/>
              <w:color w:val="000000"/>
            </w:rPr>
          </w:pPr>
          <w:r w:rsidRPr="004E421A">
            <w:rPr>
              <w:rFonts w:ascii="Calibri" w:eastAsia="Times New Roman" w:hAnsi="Calibri" w:cs="Calibri"/>
              <w:color w:val="000000"/>
            </w:rPr>
            <w:t>16.</w:t>
          </w:r>
          <w:r w:rsidRPr="004E421A">
            <w:rPr>
              <w:rFonts w:ascii="Calibri" w:eastAsia="Times New Roman" w:hAnsi="Calibri" w:cs="Calibri"/>
              <w:color w:val="000000"/>
            </w:rPr>
            <w:tab/>
            <w:t xml:space="preserve">Willis, J. R. </w:t>
          </w:r>
          <w:r w:rsidRPr="004E421A">
            <w:rPr>
              <w:rFonts w:ascii="Calibri" w:eastAsia="Times New Roman" w:hAnsi="Calibri" w:cs="Calibri"/>
              <w:i/>
              <w:iCs/>
              <w:color w:val="000000"/>
            </w:rPr>
            <w:t>et al.</w:t>
          </w:r>
          <w:r w:rsidRPr="004E421A">
            <w:rPr>
              <w:rFonts w:ascii="Calibri" w:eastAsia="Times New Roman" w:hAnsi="Calibri" w:cs="Calibri"/>
              <w:color w:val="000000"/>
            </w:rPr>
            <w:t xml:space="preserve"> Citizen science charts two major “</w:t>
          </w:r>
          <w:proofErr w:type="spellStart"/>
          <w:r w:rsidRPr="004E421A">
            <w:rPr>
              <w:rFonts w:ascii="Calibri" w:eastAsia="Times New Roman" w:hAnsi="Calibri" w:cs="Calibri"/>
              <w:color w:val="000000"/>
            </w:rPr>
            <w:t>stomatotypes</w:t>
          </w:r>
          <w:proofErr w:type="spellEnd"/>
          <w:r w:rsidRPr="004E421A">
            <w:rPr>
              <w:rFonts w:ascii="Calibri" w:eastAsia="Times New Roman" w:hAnsi="Calibri" w:cs="Calibri"/>
              <w:color w:val="000000"/>
            </w:rPr>
            <w:t xml:space="preserve">” in the oral microbiome of adolescents and reveals links with habits and drinking water composition. </w:t>
          </w:r>
          <w:r w:rsidRPr="004E421A">
            <w:rPr>
              <w:rFonts w:ascii="Calibri" w:eastAsia="Times New Roman" w:hAnsi="Calibri" w:cs="Calibri"/>
              <w:i/>
              <w:iCs/>
              <w:color w:val="000000"/>
            </w:rPr>
            <w:t>Microbiome</w:t>
          </w:r>
          <w:r w:rsidRPr="004E421A">
            <w:rPr>
              <w:rFonts w:ascii="Calibri" w:eastAsia="Times New Roman" w:hAnsi="Calibri" w:cs="Calibri"/>
              <w:color w:val="000000"/>
            </w:rPr>
            <w:t xml:space="preserve"> </w:t>
          </w:r>
          <w:r w:rsidRPr="004E421A">
            <w:rPr>
              <w:rFonts w:ascii="Calibri" w:eastAsia="Times New Roman" w:hAnsi="Calibri" w:cs="Calibri"/>
              <w:bCs/>
              <w:color w:val="000000"/>
            </w:rPr>
            <w:t>6</w:t>
          </w:r>
          <w:r w:rsidRPr="004E421A">
            <w:rPr>
              <w:rFonts w:ascii="Calibri" w:eastAsia="Times New Roman" w:hAnsi="Calibri" w:cs="Calibri"/>
              <w:color w:val="000000"/>
            </w:rPr>
            <w:t>, (2018).</w:t>
          </w:r>
        </w:p>
        <w:p w14:paraId="078688B2" w14:textId="77777777" w:rsidR="005D4FD5" w:rsidRPr="004E421A" w:rsidRDefault="005D4FD5">
          <w:pPr>
            <w:autoSpaceDE w:val="0"/>
            <w:autoSpaceDN w:val="0"/>
            <w:ind w:hanging="640"/>
            <w:divId w:val="1337348520"/>
            <w:rPr>
              <w:rFonts w:ascii="Calibri" w:eastAsia="Times New Roman" w:hAnsi="Calibri" w:cs="Calibri"/>
              <w:color w:val="000000"/>
            </w:rPr>
          </w:pPr>
          <w:r w:rsidRPr="004E421A">
            <w:rPr>
              <w:rFonts w:ascii="Calibri" w:eastAsia="Times New Roman" w:hAnsi="Calibri" w:cs="Calibri"/>
              <w:color w:val="000000"/>
            </w:rPr>
            <w:t>17.</w:t>
          </w:r>
          <w:r w:rsidRPr="004E421A">
            <w:rPr>
              <w:rFonts w:ascii="Calibri" w:eastAsia="Times New Roman" w:hAnsi="Calibri" w:cs="Calibri"/>
              <w:color w:val="000000"/>
            </w:rPr>
            <w:tab/>
            <w:t xml:space="preserve">Wang, C. </w:t>
          </w:r>
          <w:r w:rsidRPr="004E421A">
            <w:rPr>
              <w:rFonts w:ascii="Calibri" w:eastAsia="Times New Roman" w:hAnsi="Calibri" w:cs="Calibri"/>
              <w:i/>
              <w:iCs/>
              <w:color w:val="000000"/>
            </w:rPr>
            <w:t>et al.</w:t>
          </w:r>
          <w:r w:rsidRPr="004E421A">
            <w:rPr>
              <w:rFonts w:ascii="Calibri" w:eastAsia="Times New Roman" w:hAnsi="Calibri" w:cs="Calibri"/>
              <w:color w:val="000000"/>
            </w:rPr>
            <w:t xml:space="preserve"> Gender identity and sexual attraction among Canadian youth: findings from the 2019 Canadian Health Survey on Children and Youth. </w:t>
          </w:r>
          <w:r w:rsidRPr="004E421A">
            <w:rPr>
              <w:rFonts w:ascii="Calibri" w:eastAsia="Times New Roman" w:hAnsi="Calibri" w:cs="Calibri"/>
              <w:i/>
              <w:iCs/>
              <w:color w:val="000000"/>
            </w:rPr>
            <w:t>Health Promotion and Chronic Disease Prevention in Canada</w:t>
          </w:r>
          <w:r w:rsidRPr="004E421A">
            <w:rPr>
              <w:rFonts w:ascii="Calibri" w:eastAsia="Times New Roman" w:hAnsi="Calibri" w:cs="Calibri"/>
              <w:color w:val="000000"/>
            </w:rPr>
            <w:t xml:space="preserve"> </w:t>
          </w:r>
          <w:r w:rsidRPr="004E421A">
            <w:rPr>
              <w:rFonts w:ascii="Calibri" w:eastAsia="Times New Roman" w:hAnsi="Calibri" w:cs="Calibri"/>
              <w:bCs/>
              <w:color w:val="000000"/>
            </w:rPr>
            <w:t>43</w:t>
          </w:r>
          <w:r w:rsidRPr="004E421A">
            <w:rPr>
              <w:rFonts w:ascii="Calibri" w:eastAsia="Times New Roman" w:hAnsi="Calibri" w:cs="Calibri"/>
              <w:color w:val="000000"/>
            </w:rPr>
            <w:t>, 299–305 (2023).</w:t>
          </w:r>
        </w:p>
        <w:p w14:paraId="4F36B841" w14:textId="77777777" w:rsidR="005D4FD5" w:rsidRPr="004E421A" w:rsidRDefault="005D4FD5">
          <w:pPr>
            <w:autoSpaceDE w:val="0"/>
            <w:autoSpaceDN w:val="0"/>
            <w:ind w:hanging="640"/>
            <w:divId w:val="1400860019"/>
            <w:rPr>
              <w:rFonts w:ascii="Calibri" w:eastAsia="Times New Roman" w:hAnsi="Calibri" w:cs="Calibri"/>
              <w:color w:val="000000"/>
            </w:rPr>
          </w:pPr>
          <w:r w:rsidRPr="004E421A">
            <w:rPr>
              <w:rFonts w:ascii="Calibri" w:eastAsia="Times New Roman" w:hAnsi="Calibri" w:cs="Calibri"/>
              <w:color w:val="000000"/>
            </w:rPr>
            <w:t>18.</w:t>
          </w:r>
          <w:r w:rsidRPr="004E421A">
            <w:rPr>
              <w:rFonts w:ascii="Calibri" w:eastAsia="Times New Roman" w:hAnsi="Calibri" w:cs="Calibri"/>
              <w:color w:val="000000"/>
            </w:rPr>
            <w:tab/>
            <w:t xml:space="preserve">Kidd, K. M. </w:t>
          </w:r>
          <w:r w:rsidRPr="004E421A">
            <w:rPr>
              <w:rFonts w:ascii="Calibri" w:eastAsia="Times New Roman" w:hAnsi="Calibri" w:cs="Calibri"/>
              <w:i/>
              <w:iCs/>
              <w:color w:val="000000"/>
            </w:rPr>
            <w:t>et al.</w:t>
          </w:r>
          <w:r w:rsidRPr="004E421A">
            <w:rPr>
              <w:rFonts w:ascii="Calibri" w:eastAsia="Times New Roman" w:hAnsi="Calibri" w:cs="Calibri"/>
              <w:color w:val="000000"/>
            </w:rPr>
            <w:t xml:space="preserve"> Prevalence of gender-diverse youth in an urban school district. </w:t>
          </w:r>
          <w:proofErr w:type="spellStart"/>
          <w:r w:rsidRPr="004E421A">
            <w:rPr>
              <w:rFonts w:ascii="Calibri" w:eastAsia="Times New Roman" w:hAnsi="Calibri" w:cs="Calibri"/>
              <w:i/>
              <w:iCs/>
              <w:color w:val="000000"/>
            </w:rPr>
            <w:t>Pediatrics</w:t>
          </w:r>
          <w:proofErr w:type="spellEnd"/>
          <w:r w:rsidRPr="004E421A">
            <w:rPr>
              <w:rFonts w:ascii="Calibri" w:eastAsia="Times New Roman" w:hAnsi="Calibri" w:cs="Calibri"/>
              <w:color w:val="000000"/>
            </w:rPr>
            <w:t xml:space="preserve"> </w:t>
          </w:r>
          <w:r w:rsidRPr="004E421A">
            <w:rPr>
              <w:rFonts w:ascii="Calibri" w:eastAsia="Times New Roman" w:hAnsi="Calibri" w:cs="Calibri"/>
              <w:bCs/>
              <w:color w:val="000000"/>
            </w:rPr>
            <w:t>147</w:t>
          </w:r>
          <w:r w:rsidRPr="004E421A">
            <w:rPr>
              <w:rFonts w:ascii="Calibri" w:eastAsia="Times New Roman" w:hAnsi="Calibri" w:cs="Calibri"/>
              <w:color w:val="000000"/>
            </w:rPr>
            <w:t>, (2021).</w:t>
          </w:r>
        </w:p>
        <w:p w14:paraId="01477A2C" w14:textId="77777777" w:rsidR="005D4FD5" w:rsidRPr="004E421A" w:rsidRDefault="005D4FD5">
          <w:pPr>
            <w:autoSpaceDE w:val="0"/>
            <w:autoSpaceDN w:val="0"/>
            <w:ind w:hanging="640"/>
            <w:divId w:val="426390907"/>
            <w:rPr>
              <w:rFonts w:ascii="Calibri" w:eastAsia="Times New Roman" w:hAnsi="Calibri" w:cs="Calibri"/>
              <w:color w:val="000000"/>
            </w:rPr>
          </w:pPr>
          <w:r w:rsidRPr="004E421A">
            <w:rPr>
              <w:rFonts w:ascii="Calibri" w:eastAsia="Times New Roman" w:hAnsi="Calibri" w:cs="Calibri"/>
              <w:color w:val="000000"/>
            </w:rPr>
            <w:t>19.</w:t>
          </w:r>
          <w:r w:rsidRPr="004E421A">
            <w:rPr>
              <w:rFonts w:ascii="Calibri" w:eastAsia="Times New Roman" w:hAnsi="Calibri" w:cs="Calibri"/>
              <w:color w:val="000000"/>
            </w:rPr>
            <w:tab/>
            <w:t xml:space="preserve">Kunath, B. J., De Rudder, C., </w:t>
          </w:r>
          <w:proofErr w:type="spellStart"/>
          <w:r w:rsidRPr="004E421A">
            <w:rPr>
              <w:rFonts w:ascii="Calibri" w:eastAsia="Times New Roman" w:hAnsi="Calibri" w:cs="Calibri"/>
              <w:color w:val="000000"/>
            </w:rPr>
            <w:t>Laczny</w:t>
          </w:r>
          <w:proofErr w:type="spellEnd"/>
          <w:r w:rsidRPr="004E421A">
            <w:rPr>
              <w:rFonts w:ascii="Calibri" w:eastAsia="Times New Roman" w:hAnsi="Calibri" w:cs="Calibri"/>
              <w:color w:val="000000"/>
            </w:rPr>
            <w:t xml:space="preserve">, C. C., Letellier, E. &amp; Wilmes, P. The oral–gut microbiome axis in health and disease. </w:t>
          </w:r>
          <w:r w:rsidRPr="004E421A">
            <w:rPr>
              <w:rFonts w:ascii="Calibri" w:eastAsia="Times New Roman" w:hAnsi="Calibri" w:cs="Calibri"/>
              <w:i/>
              <w:iCs/>
              <w:color w:val="000000"/>
            </w:rPr>
            <w:t>Nature Reviews Microbiology</w:t>
          </w:r>
          <w:r w:rsidRPr="004E421A">
            <w:rPr>
              <w:rFonts w:ascii="Calibri" w:eastAsia="Times New Roman" w:hAnsi="Calibri" w:cs="Calibri"/>
              <w:color w:val="000000"/>
            </w:rPr>
            <w:t xml:space="preserve"> vol. 22 791–805 Preprint at https://doi.org/10.1038/s41579-024-01075-5 (2024).</w:t>
          </w:r>
        </w:p>
        <w:p w14:paraId="2E269452" w14:textId="77777777" w:rsidR="005D4FD5" w:rsidRPr="004E421A" w:rsidRDefault="005D4FD5">
          <w:pPr>
            <w:autoSpaceDE w:val="0"/>
            <w:autoSpaceDN w:val="0"/>
            <w:ind w:hanging="640"/>
            <w:divId w:val="836502163"/>
            <w:rPr>
              <w:rFonts w:ascii="Calibri" w:eastAsia="Times New Roman" w:hAnsi="Calibri" w:cs="Calibri"/>
              <w:color w:val="000000"/>
            </w:rPr>
          </w:pPr>
          <w:r w:rsidRPr="004E421A">
            <w:rPr>
              <w:rFonts w:ascii="Calibri" w:eastAsia="Times New Roman" w:hAnsi="Calibri" w:cs="Calibri"/>
              <w:color w:val="000000"/>
            </w:rPr>
            <w:t>20.</w:t>
          </w:r>
          <w:r w:rsidRPr="004E421A">
            <w:rPr>
              <w:rFonts w:ascii="Calibri" w:eastAsia="Times New Roman" w:hAnsi="Calibri" w:cs="Calibri"/>
              <w:color w:val="000000"/>
            </w:rPr>
            <w:tab/>
            <w:t xml:space="preserve">Wingfield, B. </w:t>
          </w:r>
          <w:r w:rsidRPr="004E421A">
            <w:rPr>
              <w:rFonts w:ascii="Calibri" w:eastAsia="Times New Roman" w:hAnsi="Calibri" w:cs="Calibri"/>
              <w:i/>
              <w:iCs/>
              <w:color w:val="000000"/>
            </w:rPr>
            <w:t>et al.</w:t>
          </w:r>
          <w:r w:rsidRPr="004E421A">
            <w:rPr>
              <w:rFonts w:ascii="Calibri" w:eastAsia="Times New Roman" w:hAnsi="Calibri" w:cs="Calibri"/>
              <w:color w:val="000000"/>
            </w:rPr>
            <w:t xml:space="preserve"> Variations in the oral microbiome are associated with depression in young adults. </w:t>
          </w:r>
          <w:r w:rsidRPr="004E421A">
            <w:rPr>
              <w:rFonts w:ascii="Calibri" w:eastAsia="Times New Roman" w:hAnsi="Calibri" w:cs="Calibri"/>
              <w:i/>
              <w:iCs/>
              <w:color w:val="000000"/>
            </w:rPr>
            <w:t>Sci Rep</w:t>
          </w:r>
          <w:r w:rsidRPr="004E421A">
            <w:rPr>
              <w:rFonts w:ascii="Calibri" w:eastAsia="Times New Roman" w:hAnsi="Calibri" w:cs="Calibri"/>
              <w:color w:val="000000"/>
            </w:rPr>
            <w:t xml:space="preserve"> </w:t>
          </w:r>
          <w:r w:rsidRPr="004E421A">
            <w:rPr>
              <w:rFonts w:ascii="Calibri" w:eastAsia="Times New Roman" w:hAnsi="Calibri" w:cs="Calibri"/>
              <w:bCs/>
              <w:color w:val="000000"/>
            </w:rPr>
            <w:t>11</w:t>
          </w:r>
          <w:r w:rsidRPr="004E421A">
            <w:rPr>
              <w:rFonts w:ascii="Calibri" w:eastAsia="Times New Roman" w:hAnsi="Calibri" w:cs="Calibri"/>
              <w:color w:val="000000"/>
            </w:rPr>
            <w:t>, (2021).</w:t>
          </w:r>
        </w:p>
        <w:p w14:paraId="1914D952" w14:textId="77777777" w:rsidR="005D4FD5" w:rsidRPr="004E421A" w:rsidRDefault="005D4FD5">
          <w:pPr>
            <w:autoSpaceDE w:val="0"/>
            <w:autoSpaceDN w:val="0"/>
            <w:ind w:hanging="640"/>
            <w:divId w:val="1265768146"/>
            <w:rPr>
              <w:rFonts w:ascii="Calibri" w:eastAsia="Times New Roman" w:hAnsi="Calibri" w:cs="Calibri"/>
              <w:color w:val="000000"/>
            </w:rPr>
          </w:pPr>
          <w:r w:rsidRPr="004E421A">
            <w:rPr>
              <w:rFonts w:ascii="Calibri" w:eastAsia="Times New Roman" w:hAnsi="Calibri" w:cs="Calibri"/>
              <w:color w:val="000000"/>
            </w:rPr>
            <w:t>21.</w:t>
          </w:r>
          <w:r w:rsidRPr="004E421A">
            <w:rPr>
              <w:rFonts w:ascii="Calibri" w:eastAsia="Times New Roman" w:hAnsi="Calibri" w:cs="Calibri"/>
              <w:color w:val="000000"/>
            </w:rPr>
            <w:tab/>
            <w:t xml:space="preserve">Li, C. </w:t>
          </w:r>
          <w:r w:rsidRPr="004E421A">
            <w:rPr>
              <w:rFonts w:ascii="Calibri" w:eastAsia="Times New Roman" w:hAnsi="Calibri" w:cs="Calibri"/>
              <w:i/>
              <w:iCs/>
              <w:color w:val="000000"/>
            </w:rPr>
            <w:t>et al.</w:t>
          </w:r>
          <w:r w:rsidRPr="004E421A">
            <w:rPr>
              <w:rFonts w:ascii="Calibri" w:eastAsia="Times New Roman" w:hAnsi="Calibri" w:cs="Calibri"/>
              <w:color w:val="000000"/>
            </w:rPr>
            <w:t xml:space="preserve"> A genetic association study reveals the relationship between the oral microbiome and anxiety and depression symptoms. </w:t>
          </w:r>
          <w:r w:rsidRPr="004E421A">
            <w:rPr>
              <w:rFonts w:ascii="Calibri" w:eastAsia="Times New Roman" w:hAnsi="Calibri" w:cs="Calibri"/>
              <w:i/>
              <w:iCs/>
              <w:color w:val="000000"/>
            </w:rPr>
            <w:t>Front Psychiatry</w:t>
          </w:r>
          <w:r w:rsidRPr="004E421A">
            <w:rPr>
              <w:rFonts w:ascii="Calibri" w:eastAsia="Times New Roman" w:hAnsi="Calibri" w:cs="Calibri"/>
              <w:color w:val="000000"/>
            </w:rPr>
            <w:t xml:space="preserve"> (2022).</w:t>
          </w:r>
        </w:p>
        <w:p w14:paraId="6CEA7A4A" w14:textId="4FE1E15D" w:rsidR="005D4FD5" w:rsidRPr="005D4FD5" w:rsidRDefault="005D4FD5" w:rsidP="00DE239C">
          <w:pPr>
            <w:rPr>
              <w:rFonts w:ascii="Calibri" w:hAnsi="Calibri" w:cs="Calibri"/>
              <w:strike/>
              <w:sz w:val="22"/>
              <w:szCs w:val="22"/>
            </w:rPr>
          </w:pPr>
          <w:r w:rsidRPr="004E421A">
            <w:rPr>
              <w:rFonts w:ascii="Calibri" w:eastAsia="Times New Roman" w:hAnsi="Calibri" w:cs="Calibri"/>
              <w:color w:val="000000"/>
            </w:rPr>
            <w:t> </w:t>
          </w:r>
        </w:p>
      </w:sdtContent>
    </w:sdt>
    <w:sectPr w:rsidR="005D4FD5" w:rsidRPr="005D4F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08B"/>
    <w:rsid w:val="00012E95"/>
    <w:rsid w:val="00042B86"/>
    <w:rsid w:val="00071C8A"/>
    <w:rsid w:val="00072846"/>
    <w:rsid w:val="0007608B"/>
    <w:rsid w:val="00077E75"/>
    <w:rsid w:val="000B2B46"/>
    <w:rsid w:val="000E3428"/>
    <w:rsid w:val="001408EA"/>
    <w:rsid w:val="001423FC"/>
    <w:rsid w:val="0014533C"/>
    <w:rsid w:val="0017693F"/>
    <w:rsid w:val="00176F15"/>
    <w:rsid w:val="001972B4"/>
    <w:rsid w:val="001A5448"/>
    <w:rsid w:val="001A6FC3"/>
    <w:rsid w:val="001B0492"/>
    <w:rsid w:val="001B3064"/>
    <w:rsid w:val="001C19BA"/>
    <w:rsid w:val="001C7106"/>
    <w:rsid w:val="001D1B00"/>
    <w:rsid w:val="001E6758"/>
    <w:rsid w:val="001F69C4"/>
    <w:rsid w:val="00206100"/>
    <w:rsid w:val="00236786"/>
    <w:rsid w:val="00257B5B"/>
    <w:rsid w:val="002B2C14"/>
    <w:rsid w:val="002B555D"/>
    <w:rsid w:val="002C0A92"/>
    <w:rsid w:val="002F000D"/>
    <w:rsid w:val="00314362"/>
    <w:rsid w:val="00361669"/>
    <w:rsid w:val="003B074B"/>
    <w:rsid w:val="003E2686"/>
    <w:rsid w:val="00406510"/>
    <w:rsid w:val="00417158"/>
    <w:rsid w:val="004301C5"/>
    <w:rsid w:val="00445879"/>
    <w:rsid w:val="004A18A4"/>
    <w:rsid w:val="004A4A38"/>
    <w:rsid w:val="004D18B1"/>
    <w:rsid w:val="004E421A"/>
    <w:rsid w:val="00512A44"/>
    <w:rsid w:val="00542477"/>
    <w:rsid w:val="00574542"/>
    <w:rsid w:val="00592132"/>
    <w:rsid w:val="005B7F9C"/>
    <w:rsid w:val="005D0995"/>
    <w:rsid w:val="005D4FD5"/>
    <w:rsid w:val="005F27DD"/>
    <w:rsid w:val="005F5D56"/>
    <w:rsid w:val="00601723"/>
    <w:rsid w:val="00602495"/>
    <w:rsid w:val="00604DB1"/>
    <w:rsid w:val="0065308E"/>
    <w:rsid w:val="006A2CD2"/>
    <w:rsid w:val="006C1535"/>
    <w:rsid w:val="006F68D9"/>
    <w:rsid w:val="006F7F35"/>
    <w:rsid w:val="0070060F"/>
    <w:rsid w:val="00724C4F"/>
    <w:rsid w:val="007655A8"/>
    <w:rsid w:val="00784349"/>
    <w:rsid w:val="007B3624"/>
    <w:rsid w:val="007D0485"/>
    <w:rsid w:val="007E1FEC"/>
    <w:rsid w:val="0080083C"/>
    <w:rsid w:val="00811A18"/>
    <w:rsid w:val="00837991"/>
    <w:rsid w:val="00837C5A"/>
    <w:rsid w:val="00840439"/>
    <w:rsid w:val="00844C27"/>
    <w:rsid w:val="008654DB"/>
    <w:rsid w:val="00866FB0"/>
    <w:rsid w:val="0089720A"/>
    <w:rsid w:val="008A44C9"/>
    <w:rsid w:val="008C5060"/>
    <w:rsid w:val="008D148D"/>
    <w:rsid w:val="008F2A23"/>
    <w:rsid w:val="00903CE0"/>
    <w:rsid w:val="00906A43"/>
    <w:rsid w:val="00907DFE"/>
    <w:rsid w:val="00914BC3"/>
    <w:rsid w:val="00974A8F"/>
    <w:rsid w:val="009861EE"/>
    <w:rsid w:val="009960EC"/>
    <w:rsid w:val="00997407"/>
    <w:rsid w:val="009B2634"/>
    <w:rsid w:val="009B44A7"/>
    <w:rsid w:val="009C43F8"/>
    <w:rsid w:val="009D1D0F"/>
    <w:rsid w:val="009F2584"/>
    <w:rsid w:val="00A02368"/>
    <w:rsid w:val="00A11C5E"/>
    <w:rsid w:val="00A13B13"/>
    <w:rsid w:val="00A33009"/>
    <w:rsid w:val="00A838CE"/>
    <w:rsid w:val="00A908A4"/>
    <w:rsid w:val="00A969D1"/>
    <w:rsid w:val="00AA5CEA"/>
    <w:rsid w:val="00AA770B"/>
    <w:rsid w:val="00AB7B32"/>
    <w:rsid w:val="00AC6A4B"/>
    <w:rsid w:val="00B01670"/>
    <w:rsid w:val="00B17405"/>
    <w:rsid w:val="00B56C6A"/>
    <w:rsid w:val="00BA6CC3"/>
    <w:rsid w:val="00BF586A"/>
    <w:rsid w:val="00C10020"/>
    <w:rsid w:val="00C228E6"/>
    <w:rsid w:val="00C821B6"/>
    <w:rsid w:val="00C87872"/>
    <w:rsid w:val="00C9198F"/>
    <w:rsid w:val="00CD4C3D"/>
    <w:rsid w:val="00CE22B9"/>
    <w:rsid w:val="00CE3D5D"/>
    <w:rsid w:val="00CE71DD"/>
    <w:rsid w:val="00CF1DB0"/>
    <w:rsid w:val="00D366A6"/>
    <w:rsid w:val="00D83FC4"/>
    <w:rsid w:val="00D87F03"/>
    <w:rsid w:val="00D963CE"/>
    <w:rsid w:val="00DE239C"/>
    <w:rsid w:val="00E27EBF"/>
    <w:rsid w:val="00E41357"/>
    <w:rsid w:val="00E528B0"/>
    <w:rsid w:val="00E606E1"/>
    <w:rsid w:val="00E7163F"/>
    <w:rsid w:val="00E739DA"/>
    <w:rsid w:val="00E76010"/>
    <w:rsid w:val="00E935F7"/>
    <w:rsid w:val="00E93F81"/>
    <w:rsid w:val="00EA180B"/>
    <w:rsid w:val="00EC7242"/>
    <w:rsid w:val="00ED6C8C"/>
    <w:rsid w:val="00EE7FEC"/>
    <w:rsid w:val="00F431F6"/>
    <w:rsid w:val="00F60898"/>
    <w:rsid w:val="00F85EE5"/>
    <w:rsid w:val="00FC6F12"/>
    <w:rsid w:val="20B65407"/>
    <w:rsid w:val="4FA23002"/>
    <w:rsid w:val="5ED232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2D17613"/>
  <w15:chartTrackingRefBased/>
  <w15:docId w15:val="{66195A4B-B524-624E-BC3F-D047BFCC7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60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60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60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60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60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60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60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60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60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60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60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60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60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60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60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60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60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608B"/>
    <w:rPr>
      <w:rFonts w:eastAsiaTheme="majorEastAsia" w:cstheme="majorBidi"/>
      <w:color w:val="272727" w:themeColor="text1" w:themeTint="D8"/>
    </w:rPr>
  </w:style>
  <w:style w:type="paragraph" w:styleId="Title">
    <w:name w:val="Title"/>
    <w:basedOn w:val="Normal"/>
    <w:next w:val="Normal"/>
    <w:link w:val="TitleChar"/>
    <w:uiPriority w:val="10"/>
    <w:qFormat/>
    <w:rsid w:val="000760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60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60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60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608B"/>
    <w:pPr>
      <w:spacing w:before="160"/>
      <w:jc w:val="center"/>
    </w:pPr>
    <w:rPr>
      <w:i/>
      <w:iCs/>
      <w:color w:val="404040" w:themeColor="text1" w:themeTint="BF"/>
    </w:rPr>
  </w:style>
  <w:style w:type="character" w:customStyle="1" w:styleId="QuoteChar">
    <w:name w:val="Quote Char"/>
    <w:basedOn w:val="DefaultParagraphFont"/>
    <w:link w:val="Quote"/>
    <w:uiPriority w:val="29"/>
    <w:rsid w:val="0007608B"/>
    <w:rPr>
      <w:i/>
      <w:iCs/>
      <w:color w:val="404040" w:themeColor="text1" w:themeTint="BF"/>
    </w:rPr>
  </w:style>
  <w:style w:type="paragraph" w:styleId="ListParagraph">
    <w:name w:val="List Paragraph"/>
    <w:basedOn w:val="Normal"/>
    <w:uiPriority w:val="34"/>
    <w:qFormat/>
    <w:rsid w:val="0007608B"/>
    <w:pPr>
      <w:ind w:left="720"/>
      <w:contextualSpacing/>
    </w:pPr>
  </w:style>
  <w:style w:type="character" w:styleId="IntenseEmphasis">
    <w:name w:val="Intense Emphasis"/>
    <w:basedOn w:val="DefaultParagraphFont"/>
    <w:uiPriority w:val="21"/>
    <w:qFormat/>
    <w:rsid w:val="0007608B"/>
    <w:rPr>
      <w:i/>
      <w:iCs/>
      <w:color w:val="0F4761" w:themeColor="accent1" w:themeShade="BF"/>
    </w:rPr>
  </w:style>
  <w:style w:type="paragraph" w:styleId="IntenseQuote">
    <w:name w:val="Intense Quote"/>
    <w:basedOn w:val="Normal"/>
    <w:next w:val="Normal"/>
    <w:link w:val="IntenseQuoteChar"/>
    <w:uiPriority w:val="30"/>
    <w:qFormat/>
    <w:rsid w:val="000760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608B"/>
    <w:rPr>
      <w:i/>
      <w:iCs/>
      <w:color w:val="0F4761" w:themeColor="accent1" w:themeShade="BF"/>
    </w:rPr>
  </w:style>
  <w:style w:type="character" w:styleId="IntenseReference">
    <w:name w:val="Intense Reference"/>
    <w:basedOn w:val="DefaultParagraphFont"/>
    <w:uiPriority w:val="32"/>
    <w:qFormat/>
    <w:rsid w:val="0007608B"/>
    <w:rPr>
      <w:b/>
      <w:bCs/>
      <w:smallCaps/>
      <w:color w:val="0F4761" w:themeColor="accent1" w:themeShade="BF"/>
      <w:spacing w:val="5"/>
    </w:rPr>
  </w:style>
  <w:style w:type="character" w:styleId="CommentReference">
    <w:name w:val="annotation reference"/>
    <w:basedOn w:val="DefaultParagraphFont"/>
    <w:uiPriority w:val="99"/>
    <w:semiHidden/>
    <w:unhideWhenUsed/>
    <w:rsid w:val="0007608B"/>
    <w:rPr>
      <w:sz w:val="16"/>
      <w:szCs w:val="16"/>
    </w:rPr>
  </w:style>
  <w:style w:type="paragraph" w:styleId="CommentText">
    <w:name w:val="annotation text"/>
    <w:basedOn w:val="Normal"/>
    <w:link w:val="CommentTextChar"/>
    <w:uiPriority w:val="99"/>
    <w:semiHidden/>
    <w:unhideWhenUsed/>
    <w:rsid w:val="0007608B"/>
    <w:pPr>
      <w:spacing w:line="240" w:lineRule="auto"/>
    </w:pPr>
    <w:rPr>
      <w:sz w:val="20"/>
      <w:szCs w:val="20"/>
    </w:rPr>
  </w:style>
  <w:style w:type="character" w:customStyle="1" w:styleId="CommentTextChar">
    <w:name w:val="Comment Text Char"/>
    <w:basedOn w:val="DefaultParagraphFont"/>
    <w:link w:val="CommentText"/>
    <w:uiPriority w:val="99"/>
    <w:semiHidden/>
    <w:rsid w:val="0007608B"/>
    <w:rPr>
      <w:sz w:val="20"/>
      <w:szCs w:val="20"/>
    </w:rPr>
  </w:style>
  <w:style w:type="character" w:styleId="PlaceholderText">
    <w:name w:val="Placeholder Text"/>
    <w:basedOn w:val="DefaultParagraphFont"/>
    <w:uiPriority w:val="99"/>
    <w:semiHidden/>
    <w:rsid w:val="008D148D"/>
    <w:rPr>
      <w:color w:val="666666"/>
    </w:rPr>
  </w:style>
  <w:style w:type="paragraph" w:styleId="NormalWeb">
    <w:name w:val="Normal (Web)"/>
    <w:basedOn w:val="Normal"/>
    <w:uiPriority w:val="99"/>
    <w:semiHidden/>
    <w:unhideWhenUsed/>
    <w:rsid w:val="00E935F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E935F7"/>
    <w:rPr>
      <w:color w:val="0000FF"/>
      <w:u w:val="single"/>
    </w:rPr>
  </w:style>
  <w:style w:type="paragraph" w:styleId="Revision">
    <w:name w:val="Revision"/>
    <w:hidden/>
    <w:uiPriority w:val="99"/>
    <w:semiHidden/>
    <w:rsid w:val="009F25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082471">
      <w:bodyDiv w:val="1"/>
      <w:marLeft w:val="0"/>
      <w:marRight w:val="0"/>
      <w:marTop w:val="0"/>
      <w:marBottom w:val="0"/>
      <w:divBdr>
        <w:top w:val="none" w:sz="0" w:space="0" w:color="auto"/>
        <w:left w:val="none" w:sz="0" w:space="0" w:color="auto"/>
        <w:bottom w:val="none" w:sz="0" w:space="0" w:color="auto"/>
        <w:right w:val="none" w:sz="0" w:space="0" w:color="auto"/>
      </w:divBdr>
    </w:div>
    <w:div w:id="1833181162">
      <w:bodyDiv w:val="1"/>
      <w:marLeft w:val="0"/>
      <w:marRight w:val="0"/>
      <w:marTop w:val="0"/>
      <w:marBottom w:val="0"/>
      <w:divBdr>
        <w:top w:val="none" w:sz="0" w:space="0" w:color="auto"/>
        <w:left w:val="none" w:sz="0" w:space="0" w:color="auto"/>
        <w:bottom w:val="none" w:sz="0" w:space="0" w:color="auto"/>
        <w:right w:val="none" w:sz="0" w:space="0" w:color="auto"/>
      </w:divBdr>
      <w:divsChild>
        <w:div w:id="479003492">
          <w:marLeft w:val="640"/>
          <w:marRight w:val="0"/>
          <w:marTop w:val="0"/>
          <w:marBottom w:val="0"/>
          <w:divBdr>
            <w:top w:val="none" w:sz="0" w:space="0" w:color="auto"/>
            <w:left w:val="none" w:sz="0" w:space="0" w:color="auto"/>
            <w:bottom w:val="none" w:sz="0" w:space="0" w:color="auto"/>
            <w:right w:val="none" w:sz="0" w:space="0" w:color="auto"/>
          </w:divBdr>
        </w:div>
        <w:div w:id="829053555">
          <w:marLeft w:val="640"/>
          <w:marRight w:val="0"/>
          <w:marTop w:val="0"/>
          <w:marBottom w:val="0"/>
          <w:divBdr>
            <w:top w:val="none" w:sz="0" w:space="0" w:color="auto"/>
            <w:left w:val="none" w:sz="0" w:space="0" w:color="auto"/>
            <w:bottom w:val="none" w:sz="0" w:space="0" w:color="auto"/>
            <w:right w:val="none" w:sz="0" w:space="0" w:color="auto"/>
          </w:divBdr>
        </w:div>
        <w:div w:id="1610965596">
          <w:marLeft w:val="640"/>
          <w:marRight w:val="0"/>
          <w:marTop w:val="0"/>
          <w:marBottom w:val="0"/>
          <w:divBdr>
            <w:top w:val="none" w:sz="0" w:space="0" w:color="auto"/>
            <w:left w:val="none" w:sz="0" w:space="0" w:color="auto"/>
            <w:bottom w:val="none" w:sz="0" w:space="0" w:color="auto"/>
            <w:right w:val="none" w:sz="0" w:space="0" w:color="auto"/>
          </w:divBdr>
        </w:div>
        <w:div w:id="1401442053">
          <w:marLeft w:val="640"/>
          <w:marRight w:val="0"/>
          <w:marTop w:val="0"/>
          <w:marBottom w:val="0"/>
          <w:divBdr>
            <w:top w:val="none" w:sz="0" w:space="0" w:color="auto"/>
            <w:left w:val="none" w:sz="0" w:space="0" w:color="auto"/>
            <w:bottom w:val="none" w:sz="0" w:space="0" w:color="auto"/>
            <w:right w:val="none" w:sz="0" w:space="0" w:color="auto"/>
          </w:divBdr>
        </w:div>
        <w:div w:id="1338315214">
          <w:marLeft w:val="640"/>
          <w:marRight w:val="0"/>
          <w:marTop w:val="0"/>
          <w:marBottom w:val="0"/>
          <w:divBdr>
            <w:top w:val="none" w:sz="0" w:space="0" w:color="auto"/>
            <w:left w:val="none" w:sz="0" w:space="0" w:color="auto"/>
            <w:bottom w:val="none" w:sz="0" w:space="0" w:color="auto"/>
            <w:right w:val="none" w:sz="0" w:space="0" w:color="auto"/>
          </w:divBdr>
        </w:div>
        <w:div w:id="2122992984">
          <w:marLeft w:val="640"/>
          <w:marRight w:val="0"/>
          <w:marTop w:val="0"/>
          <w:marBottom w:val="0"/>
          <w:divBdr>
            <w:top w:val="none" w:sz="0" w:space="0" w:color="auto"/>
            <w:left w:val="none" w:sz="0" w:space="0" w:color="auto"/>
            <w:bottom w:val="none" w:sz="0" w:space="0" w:color="auto"/>
            <w:right w:val="none" w:sz="0" w:space="0" w:color="auto"/>
          </w:divBdr>
        </w:div>
        <w:div w:id="1651599118">
          <w:marLeft w:val="640"/>
          <w:marRight w:val="0"/>
          <w:marTop w:val="0"/>
          <w:marBottom w:val="0"/>
          <w:divBdr>
            <w:top w:val="none" w:sz="0" w:space="0" w:color="auto"/>
            <w:left w:val="none" w:sz="0" w:space="0" w:color="auto"/>
            <w:bottom w:val="none" w:sz="0" w:space="0" w:color="auto"/>
            <w:right w:val="none" w:sz="0" w:space="0" w:color="auto"/>
          </w:divBdr>
        </w:div>
        <w:div w:id="1783526889">
          <w:marLeft w:val="640"/>
          <w:marRight w:val="0"/>
          <w:marTop w:val="0"/>
          <w:marBottom w:val="0"/>
          <w:divBdr>
            <w:top w:val="none" w:sz="0" w:space="0" w:color="auto"/>
            <w:left w:val="none" w:sz="0" w:space="0" w:color="auto"/>
            <w:bottom w:val="none" w:sz="0" w:space="0" w:color="auto"/>
            <w:right w:val="none" w:sz="0" w:space="0" w:color="auto"/>
          </w:divBdr>
        </w:div>
        <w:div w:id="237907312">
          <w:marLeft w:val="640"/>
          <w:marRight w:val="0"/>
          <w:marTop w:val="0"/>
          <w:marBottom w:val="0"/>
          <w:divBdr>
            <w:top w:val="none" w:sz="0" w:space="0" w:color="auto"/>
            <w:left w:val="none" w:sz="0" w:space="0" w:color="auto"/>
            <w:bottom w:val="none" w:sz="0" w:space="0" w:color="auto"/>
            <w:right w:val="none" w:sz="0" w:space="0" w:color="auto"/>
          </w:divBdr>
        </w:div>
        <w:div w:id="1710838726">
          <w:marLeft w:val="640"/>
          <w:marRight w:val="0"/>
          <w:marTop w:val="0"/>
          <w:marBottom w:val="0"/>
          <w:divBdr>
            <w:top w:val="none" w:sz="0" w:space="0" w:color="auto"/>
            <w:left w:val="none" w:sz="0" w:space="0" w:color="auto"/>
            <w:bottom w:val="none" w:sz="0" w:space="0" w:color="auto"/>
            <w:right w:val="none" w:sz="0" w:space="0" w:color="auto"/>
          </w:divBdr>
        </w:div>
        <w:div w:id="1794211321">
          <w:marLeft w:val="640"/>
          <w:marRight w:val="0"/>
          <w:marTop w:val="0"/>
          <w:marBottom w:val="0"/>
          <w:divBdr>
            <w:top w:val="none" w:sz="0" w:space="0" w:color="auto"/>
            <w:left w:val="none" w:sz="0" w:space="0" w:color="auto"/>
            <w:bottom w:val="none" w:sz="0" w:space="0" w:color="auto"/>
            <w:right w:val="none" w:sz="0" w:space="0" w:color="auto"/>
          </w:divBdr>
        </w:div>
        <w:div w:id="516426925">
          <w:marLeft w:val="640"/>
          <w:marRight w:val="0"/>
          <w:marTop w:val="0"/>
          <w:marBottom w:val="0"/>
          <w:divBdr>
            <w:top w:val="none" w:sz="0" w:space="0" w:color="auto"/>
            <w:left w:val="none" w:sz="0" w:space="0" w:color="auto"/>
            <w:bottom w:val="none" w:sz="0" w:space="0" w:color="auto"/>
            <w:right w:val="none" w:sz="0" w:space="0" w:color="auto"/>
          </w:divBdr>
        </w:div>
        <w:div w:id="412239042">
          <w:marLeft w:val="640"/>
          <w:marRight w:val="0"/>
          <w:marTop w:val="0"/>
          <w:marBottom w:val="0"/>
          <w:divBdr>
            <w:top w:val="none" w:sz="0" w:space="0" w:color="auto"/>
            <w:left w:val="none" w:sz="0" w:space="0" w:color="auto"/>
            <w:bottom w:val="none" w:sz="0" w:space="0" w:color="auto"/>
            <w:right w:val="none" w:sz="0" w:space="0" w:color="auto"/>
          </w:divBdr>
        </w:div>
        <w:div w:id="1921600533">
          <w:marLeft w:val="640"/>
          <w:marRight w:val="0"/>
          <w:marTop w:val="0"/>
          <w:marBottom w:val="0"/>
          <w:divBdr>
            <w:top w:val="none" w:sz="0" w:space="0" w:color="auto"/>
            <w:left w:val="none" w:sz="0" w:space="0" w:color="auto"/>
            <w:bottom w:val="none" w:sz="0" w:space="0" w:color="auto"/>
            <w:right w:val="none" w:sz="0" w:space="0" w:color="auto"/>
          </w:divBdr>
        </w:div>
        <w:div w:id="1964380771">
          <w:marLeft w:val="640"/>
          <w:marRight w:val="0"/>
          <w:marTop w:val="0"/>
          <w:marBottom w:val="0"/>
          <w:divBdr>
            <w:top w:val="none" w:sz="0" w:space="0" w:color="auto"/>
            <w:left w:val="none" w:sz="0" w:space="0" w:color="auto"/>
            <w:bottom w:val="none" w:sz="0" w:space="0" w:color="auto"/>
            <w:right w:val="none" w:sz="0" w:space="0" w:color="auto"/>
          </w:divBdr>
        </w:div>
        <w:div w:id="1142234005">
          <w:marLeft w:val="640"/>
          <w:marRight w:val="0"/>
          <w:marTop w:val="0"/>
          <w:marBottom w:val="0"/>
          <w:divBdr>
            <w:top w:val="none" w:sz="0" w:space="0" w:color="auto"/>
            <w:left w:val="none" w:sz="0" w:space="0" w:color="auto"/>
            <w:bottom w:val="none" w:sz="0" w:space="0" w:color="auto"/>
            <w:right w:val="none" w:sz="0" w:space="0" w:color="auto"/>
          </w:divBdr>
        </w:div>
        <w:div w:id="1337348520">
          <w:marLeft w:val="640"/>
          <w:marRight w:val="0"/>
          <w:marTop w:val="0"/>
          <w:marBottom w:val="0"/>
          <w:divBdr>
            <w:top w:val="none" w:sz="0" w:space="0" w:color="auto"/>
            <w:left w:val="none" w:sz="0" w:space="0" w:color="auto"/>
            <w:bottom w:val="none" w:sz="0" w:space="0" w:color="auto"/>
            <w:right w:val="none" w:sz="0" w:space="0" w:color="auto"/>
          </w:divBdr>
        </w:div>
        <w:div w:id="1400860019">
          <w:marLeft w:val="640"/>
          <w:marRight w:val="0"/>
          <w:marTop w:val="0"/>
          <w:marBottom w:val="0"/>
          <w:divBdr>
            <w:top w:val="none" w:sz="0" w:space="0" w:color="auto"/>
            <w:left w:val="none" w:sz="0" w:space="0" w:color="auto"/>
            <w:bottom w:val="none" w:sz="0" w:space="0" w:color="auto"/>
            <w:right w:val="none" w:sz="0" w:space="0" w:color="auto"/>
          </w:divBdr>
        </w:div>
        <w:div w:id="426390907">
          <w:marLeft w:val="640"/>
          <w:marRight w:val="0"/>
          <w:marTop w:val="0"/>
          <w:marBottom w:val="0"/>
          <w:divBdr>
            <w:top w:val="none" w:sz="0" w:space="0" w:color="auto"/>
            <w:left w:val="none" w:sz="0" w:space="0" w:color="auto"/>
            <w:bottom w:val="none" w:sz="0" w:space="0" w:color="auto"/>
            <w:right w:val="none" w:sz="0" w:space="0" w:color="auto"/>
          </w:divBdr>
        </w:div>
        <w:div w:id="836502163">
          <w:marLeft w:val="640"/>
          <w:marRight w:val="0"/>
          <w:marTop w:val="0"/>
          <w:marBottom w:val="0"/>
          <w:divBdr>
            <w:top w:val="none" w:sz="0" w:space="0" w:color="auto"/>
            <w:left w:val="none" w:sz="0" w:space="0" w:color="auto"/>
            <w:bottom w:val="none" w:sz="0" w:space="0" w:color="auto"/>
            <w:right w:val="none" w:sz="0" w:space="0" w:color="auto"/>
          </w:divBdr>
        </w:div>
        <w:div w:id="1265768146">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791E2E127DC945880E1ECB85A43442"/>
        <w:category>
          <w:name w:val="General"/>
          <w:gallery w:val="placeholder"/>
        </w:category>
        <w:types>
          <w:type w:val="bbPlcHdr"/>
        </w:types>
        <w:behaviors>
          <w:behavior w:val="content"/>
        </w:behaviors>
        <w:guid w:val="{AB88B9F4-BFBF-9644-BFC3-2767F924583F}"/>
      </w:docPartPr>
      <w:docPartBody>
        <w:p w:rsidR="00771D1E" w:rsidRDefault="00BA5170" w:rsidP="00BA5170">
          <w:pPr>
            <w:pStyle w:val="CB791E2E127DC945880E1ECB85A43442"/>
          </w:pPr>
          <w:r w:rsidRPr="00E67B12">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D1E2C308-4D34-E84A-BEA4-BD6DA49151D0}"/>
      </w:docPartPr>
      <w:docPartBody>
        <w:p w:rsidR="00771D1E" w:rsidRDefault="00BA5170">
          <w:r w:rsidRPr="00E67B12">
            <w:rPr>
              <w:rStyle w:val="PlaceholderText"/>
            </w:rPr>
            <w:t>Click or tap here to enter text.</w:t>
          </w:r>
        </w:p>
      </w:docPartBody>
    </w:docPart>
    <w:docPart>
      <w:docPartPr>
        <w:name w:val="FDB02D9B2F04484587DEA4BB88A0B9B1"/>
        <w:category>
          <w:name w:val="General"/>
          <w:gallery w:val="placeholder"/>
        </w:category>
        <w:types>
          <w:type w:val="bbPlcHdr"/>
        </w:types>
        <w:behaviors>
          <w:behavior w:val="content"/>
        </w:behaviors>
        <w:guid w:val="{209D386B-D257-2649-8661-CED346E1C9F9}"/>
      </w:docPartPr>
      <w:docPartBody>
        <w:p w:rsidR="00771D1E" w:rsidRDefault="00BA5170" w:rsidP="00BA5170">
          <w:pPr>
            <w:pStyle w:val="FDB02D9B2F04484587DEA4BB88A0B9B1"/>
          </w:pPr>
          <w:r w:rsidRPr="00E67B12">
            <w:rPr>
              <w:rStyle w:val="PlaceholderText"/>
            </w:rPr>
            <w:t>Click or tap here to enter text.</w:t>
          </w:r>
        </w:p>
      </w:docPartBody>
    </w:docPart>
    <w:docPart>
      <w:docPartPr>
        <w:name w:val="9D13891A9DC40A4A92E6F32D645B1978"/>
        <w:category>
          <w:name w:val="General"/>
          <w:gallery w:val="placeholder"/>
        </w:category>
        <w:types>
          <w:type w:val="bbPlcHdr"/>
        </w:types>
        <w:behaviors>
          <w:behavior w:val="content"/>
        </w:behaviors>
        <w:guid w:val="{0A6BE67E-5C88-BC40-9559-C746CF833AB6}"/>
      </w:docPartPr>
      <w:docPartBody>
        <w:p w:rsidR="00771D1E" w:rsidRDefault="00BA5170" w:rsidP="00BA5170">
          <w:pPr>
            <w:pStyle w:val="9D13891A9DC40A4A92E6F32D645B1978"/>
          </w:pPr>
          <w:r w:rsidRPr="00E67B12">
            <w:rPr>
              <w:rStyle w:val="PlaceholderText"/>
            </w:rPr>
            <w:t>Click or tap here to enter text.</w:t>
          </w:r>
        </w:p>
      </w:docPartBody>
    </w:docPart>
    <w:docPart>
      <w:docPartPr>
        <w:name w:val="EFB04CCA5093454DB16F95B1A911395E"/>
        <w:category>
          <w:name w:val="General"/>
          <w:gallery w:val="placeholder"/>
        </w:category>
        <w:types>
          <w:type w:val="bbPlcHdr"/>
        </w:types>
        <w:behaviors>
          <w:behavior w:val="content"/>
        </w:behaviors>
        <w:guid w:val="{C6DE89AC-7C67-5747-B7C0-39F00B3CADCC}"/>
      </w:docPartPr>
      <w:docPartBody>
        <w:p w:rsidR="00771D1E" w:rsidRDefault="00BA5170" w:rsidP="00BA5170">
          <w:pPr>
            <w:pStyle w:val="EFB04CCA5093454DB16F95B1A911395E"/>
          </w:pPr>
          <w:r w:rsidRPr="00E67B12">
            <w:rPr>
              <w:rStyle w:val="PlaceholderText"/>
            </w:rPr>
            <w:t>Click or tap here to enter text.</w:t>
          </w:r>
        </w:p>
      </w:docPartBody>
    </w:docPart>
    <w:docPart>
      <w:docPartPr>
        <w:name w:val="997376A6CC1A3248B35C48F57DB88385"/>
        <w:category>
          <w:name w:val="General"/>
          <w:gallery w:val="placeholder"/>
        </w:category>
        <w:types>
          <w:type w:val="bbPlcHdr"/>
        </w:types>
        <w:behaviors>
          <w:behavior w:val="content"/>
        </w:behaviors>
        <w:guid w:val="{3D295CB7-3EFE-7A4A-95C6-ADEFFF641461}"/>
      </w:docPartPr>
      <w:docPartBody>
        <w:p w:rsidR="00771D1E" w:rsidRDefault="00BA5170" w:rsidP="00BA5170">
          <w:pPr>
            <w:pStyle w:val="997376A6CC1A3248B35C48F57DB88385"/>
          </w:pPr>
          <w:r w:rsidRPr="00E67B12">
            <w:rPr>
              <w:rStyle w:val="PlaceholderText"/>
            </w:rPr>
            <w:t>Click or tap here to enter text.</w:t>
          </w:r>
        </w:p>
      </w:docPartBody>
    </w:docPart>
    <w:docPart>
      <w:docPartPr>
        <w:name w:val="A6ED44AFB94AC14A9DB8E61A20A183F8"/>
        <w:category>
          <w:name w:val="General"/>
          <w:gallery w:val="placeholder"/>
        </w:category>
        <w:types>
          <w:type w:val="bbPlcHdr"/>
        </w:types>
        <w:behaviors>
          <w:behavior w:val="content"/>
        </w:behaviors>
        <w:guid w:val="{1CC1EC1A-6FF2-354D-A875-80E580B83318}"/>
      </w:docPartPr>
      <w:docPartBody>
        <w:p w:rsidR="00771D1E" w:rsidRDefault="00BA5170" w:rsidP="00BA5170">
          <w:pPr>
            <w:pStyle w:val="A6ED44AFB94AC14A9DB8E61A20A183F8"/>
          </w:pPr>
          <w:r w:rsidRPr="00E67B12">
            <w:rPr>
              <w:rStyle w:val="PlaceholderText"/>
            </w:rPr>
            <w:t>Click or tap here to enter text.</w:t>
          </w:r>
        </w:p>
      </w:docPartBody>
    </w:docPart>
    <w:docPart>
      <w:docPartPr>
        <w:name w:val="463F3AF128A97244ADD244886F820408"/>
        <w:category>
          <w:name w:val="General"/>
          <w:gallery w:val="placeholder"/>
        </w:category>
        <w:types>
          <w:type w:val="bbPlcHdr"/>
        </w:types>
        <w:behaviors>
          <w:behavior w:val="content"/>
        </w:behaviors>
        <w:guid w:val="{AE2E3AC6-3D75-A542-AD5E-0327A62D013F}"/>
      </w:docPartPr>
      <w:docPartBody>
        <w:p w:rsidR="00B34D77" w:rsidRDefault="00B22279" w:rsidP="00B22279">
          <w:pPr>
            <w:pStyle w:val="463F3AF128A97244ADD244886F820408"/>
          </w:pPr>
          <w:r w:rsidRPr="00E67B12">
            <w:rPr>
              <w:rStyle w:val="PlaceholderText"/>
            </w:rPr>
            <w:t>Click or tap here to enter text.</w:t>
          </w:r>
        </w:p>
      </w:docPartBody>
    </w:docPart>
    <w:docPart>
      <w:docPartPr>
        <w:name w:val="B0592F702450C8469C8A713A416D0B21"/>
        <w:category>
          <w:name w:val="General"/>
          <w:gallery w:val="placeholder"/>
        </w:category>
        <w:types>
          <w:type w:val="bbPlcHdr"/>
        </w:types>
        <w:behaviors>
          <w:behavior w:val="content"/>
        </w:behaviors>
        <w:guid w:val="{8C2BF977-449E-A144-A340-86BE9B405999}"/>
      </w:docPartPr>
      <w:docPartBody>
        <w:p w:rsidR="00B34D77" w:rsidRDefault="00B22279" w:rsidP="00B22279">
          <w:pPr>
            <w:pStyle w:val="B0592F702450C8469C8A713A416D0B21"/>
          </w:pPr>
          <w:r w:rsidRPr="00E67B12">
            <w:rPr>
              <w:rStyle w:val="PlaceholderText"/>
            </w:rPr>
            <w:t>Click or tap here to enter text.</w:t>
          </w:r>
        </w:p>
      </w:docPartBody>
    </w:docPart>
    <w:docPart>
      <w:docPartPr>
        <w:name w:val="1AA67B2C48677E458D1465386C87DDAA"/>
        <w:category>
          <w:name w:val="General"/>
          <w:gallery w:val="placeholder"/>
        </w:category>
        <w:types>
          <w:type w:val="bbPlcHdr"/>
        </w:types>
        <w:behaviors>
          <w:behavior w:val="content"/>
        </w:behaviors>
        <w:guid w:val="{922D304B-5BF8-E943-93BB-BB88406E9999}"/>
      </w:docPartPr>
      <w:docPartBody>
        <w:p w:rsidR="00B34D77" w:rsidRDefault="00B22279" w:rsidP="00B22279">
          <w:pPr>
            <w:pStyle w:val="1AA67B2C48677E458D1465386C87DDAA"/>
          </w:pPr>
          <w:r w:rsidRPr="00E67B12">
            <w:rPr>
              <w:rStyle w:val="PlaceholderText"/>
            </w:rPr>
            <w:t>Click or tap here to enter text.</w:t>
          </w:r>
        </w:p>
      </w:docPartBody>
    </w:docPart>
    <w:docPart>
      <w:docPartPr>
        <w:name w:val="C3836E343FBEAD46BD46E030C28FCE4A"/>
        <w:category>
          <w:name w:val="General"/>
          <w:gallery w:val="placeholder"/>
        </w:category>
        <w:types>
          <w:type w:val="bbPlcHdr"/>
        </w:types>
        <w:behaviors>
          <w:behavior w:val="content"/>
        </w:behaviors>
        <w:guid w:val="{8D90CDFF-E7C5-7642-8C97-6B738B2B0F64}"/>
      </w:docPartPr>
      <w:docPartBody>
        <w:p w:rsidR="00B34D77" w:rsidRDefault="00B22279" w:rsidP="00B22279">
          <w:pPr>
            <w:pStyle w:val="C3836E343FBEAD46BD46E030C28FCE4A"/>
          </w:pPr>
          <w:r w:rsidRPr="00E67B12">
            <w:rPr>
              <w:rStyle w:val="PlaceholderText"/>
            </w:rPr>
            <w:t>Click or tap here to enter text.</w:t>
          </w:r>
        </w:p>
      </w:docPartBody>
    </w:docPart>
    <w:docPart>
      <w:docPartPr>
        <w:name w:val="D24AF54398C5194988E6BD4106BC5A40"/>
        <w:category>
          <w:name w:val="General"/>
          <w:gallery w:val="placeholder"/>
        </w:category>
        <w:types>
          <w:type w:val="bbPlcHdr"/>
        </w:types>
        <w:behaviors>
          <w:behavior w:val="content"/>
        </w:behaviors>
        <w:guid w:val="{7D9E0012-5A93-A040-91C6-29C9FE9AF9A1}"/>
      </w:docPartPr>
      <w:docPartBody>
        <w:p w:rsidR="00B34D77" w:rsidRDefault="00B22279" w:rsidP="00B22279">
          <w:pPr>
            <w:pStyle w:val="D24AF54398C5194988E6BD4106BC5A40"/>
          </w:pPr>
          <w:r w:rsidRPr="00E67B12">
            <w:rPr>
              <w:rStyle w:val="PlaceholderText"/>
            </w:rPr>
            <w:t>Click or tap here to enter text.</w:t>
          </w:r>
        </w:p>
      </w:docPartBody>
    </w:docPart>
    <w:docPart>
      <w:docPartPr>
        <w:name w:val="C27E68DD3C98FF488D4CF4B03BE83F5F"/>
        <w:category>
          <w:name w:val="General"/>
          <w:gallery w:val="placeholder"/>
        </w:category>
        <w:types>
          <w:type w:val="bbPlcHdr"/>
        </w:types>
        <w:behaviors>
          <w:behavior w:val="content"/>
        </w:behaviors>
        <w:guid w:val="{346D41B2-D955-914C-A521-33F68B3DB567}"/>
      </w:docPartPr>
      <w:docPartBody>
        <w:p w:rsidR="00B34D77" w:rsidRDefault="00B22279" w:rsidP="00B22279">
          <w:pPr>
            <w:pStyle w:val="C27E68DD3C98FF488D4CF4B03BE83F5F"/>
          </w:pPr>
          <w:r w:rsidRPr="00E67B1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170"/>
    <w:rsid w:val="00036E2A"/>
    <w:rsid w:val="00072846"/>
    <w:rsid w:val="0017693F"/>
    <w:rsid w:val="001B3064"/>
    <w:rsid w:val="00257B5B"/>
    <w:rsid w:val="0032448A"/>
    <w:rsid w:val="004557DE"/>
    <w:rsid w:val="00491874"/>
    <w:rsid w:val="004F5082"/>
    <w:rsid w:val="00512630"/>
    <w:rsid w:val="00771D1E"/>
    <w:rsid w:val="007936B7"/>
    <w:rsid w:val="007D0485"/>
    <w:rsid w:val="00974A8F"/>
    <w:rsid w:val="009960EC"/>
    <w:rsid w:val="009B2634"/>
    <w:rsid w:val="00AA770B"/>
    <w:rsid w:val="00B22279"/>
    <w:rsid w:val="00B34D77"/>
    <w:rsid w:val="00B74FED"/>
    <w:rsid w:val="00BA5170"/>
    <w:rsid w:val="00BE006F"/>
    <w:rsid w:val="00C9198F"/>
    <w:rsid w:val="00D000AA"/>
    <w:rsid w:val="00D95B2F"/>
    <w:rsid w:val="00E92295"/>
    <w:rsid w:val="00EA180B"/>
    <w:rsid w:val="00F23915"/>
    <w:rsid w:val="00F608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2279"/>
    <w:rPr>
      <w:color w:val="666666"/>
    </w:rPr>
  </w:style>
  <w:style w:type="paragraph" w:customStyle="1" w:styleId="CB791E2E127DC945880E1ECB85A43442">
    <w:name w:val="CB791E2E127DC945880E1ECB85A43442"/>
    <w:rsid w:val="00BA5170"/>
  </w:style>
  <w:style w:type="paragraph" w:customStyle="1" w:styleId="FDB02D9B2F04484587DEA4BB88A0B9B1">
    <w:name w:val="FDB02D9B2F04484587DEA4BB88A0B9B1"/>
    <w:rsid w:val="00BA5170"/>
  </w:style>
  <w:style w:type="paragraph" w:customStyle="1" w:styleId="9D13891A9DC40A4A92E6F32D645B1978">
    <w:name w:val="9D13891A9DC40A4A92E6F32D645B1978"/>
    <w:rsid w:val="00BA5170"/>
  </w:style>
  <w:style w:type="paragraph" w:customStyle="1" w:styleId="EFB04CCA5093454DB16F95B1A911395E">
    <w:name w:val="EFB04CCA5093454DB16F95B1A911395E"/>
    <w:rsid w:val="00BA5170"/>
  </w:style>
  <w:style w:type="paragraph" w:customStyle="1" w:styleId="997376A6CC1A3248B35C48F57DB88385">
    <w:name w:val="997376A6CC1A3248B35C48F57DB88385"/>
    <w:rsid w:val="00BA5170"/>
  </w:style>
  <w:style w:type="paragraph" w:customStyle="1" w:styleId="A6ED44AFB94AC14A9DB8E61A20A183F8">
    <w:name w:val="A6ED44AFB94AC14A9DB8E61A20A183F8"/>
    <w:rsid w:val="00BA5170"/>
  </w:style>
  <w:style w:type="paragraph" w:customStyle="1" w:styleId="463F3AF128A97244ADD244886F820408">
    <w:name w:val="463F3AF128A97244ADD244886F820408"/>
    <w:rsid w:val="00B22279"/>
  </w:style>
  <w:style w:type="paragraph" w:customStyle="1" w:styleId="B0592F702450C8469C8A713A416D0B21">
    <w:name w:val="B0592F702450C8469C8A713A416D0B21"/>
    <w:rsid w:val="00B22279"/>
  </w:style>
  <w:style w:type="paragraph" w:customStyle="1" w:styleId="1AA67B2C48677E458D1465386C87DDAA">
    <w:name w:val="1AA67B2C48677E458D1465386C87DDAA"/>
    <w:rsid w:val="00B22279"/>
  </w:style>
  <w:style w:type="paragraph" w:customStyle="1" w:styleId="C3836E343FBEAD46BD46E030C28FCE4A">
    <w:name w:val="C3836E343FBEAD46BD46E030C28FCE4A"/>
    <w:rsid w:val="00B22279"/>
  </w:style>
  <w:style w:type="paragraph" w:customStyle="1" w:styleId="D24AF54398C5194988E6BD4106BC5A40">
    <w:name w:val="D24AF54398C5194988E6BD4106BC5A40"/>
    <w:rsid w:val="00B22279"/>
  </w:style>
  <w:style w:type="paragraph" w:customStyle="1" w:styleId="C27E68DD3C98FF488D4CF4B03BE83F5F">
    <w:name w:val="C27E68DD3C98FF488D4CF4B03BE83F5F"/>
    <w:rsid w:val="00B222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0E264E8-F6AF-8B46-A634-6E932F3029E2}">
  <we:reference id="wa104382081" version="1.55.1.0" store="en-US" storeType="OMEX"/>
  <we:alternateReferences>
    <we:reference id="wa104382081" version="1.55.1.0" store="en-US" storeType="OMEX"/>
  </we:alternateReferences>
  <we:properties>
    <we:property name="MENDELEY_CITATIONS" value="[{&quot;citationID&quot;:&quot;MENDELEY_CITATION_a082f989-f16d-45e2-9111-9d112f85b0fa&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&quot;,&quot;citationItems&quot;:[{&quot;id&quot;:&quot;8761d377-eb22-3851-a391-9699880e2f0e&quot;,&quot;itemData&quot;:{&quot;type&quot;:&quot;article-journal&quot;,&quot;id&quot;:&quot;8761d377-eb22-3851-a391-9699880e2f0e&quot;,&quot;title&quot;:&quot;Oral microbial signatures associated with age and frailty in Canadian adults&quot;,&quot;author&quot;:[{&quot;family&quot;:&quot;DeClercq&quot;,&quot;given&quot;:&quot;Vanessa&quot;,&quot;parse-names&quot;:false,&quot;dropping-particle&quot;:&quot;&quot;,&quot;non-dropping-particle&quot;:&quot;&quot;},{&quot;family&quot;:&quot;Wright&quot;,&quot;given&quot;:&quot;Robyn J.&quot;,&quot;parse-names&quot;:false,&quot;dropping-particle&quot;:&quot;&quot;,&quot;non-dropping-particle&quot;:&quot;&quot;},{&quot;family&quot;:&quot;Nearing&quot;,&quot;given&quot;:&quot;Jacob T.&quot;,&quot;parse-names&quot;:false,&quot;dropping-particle&quot;:&quot;&quot;,&quot;non-dropping-particle&quot;:&quot;&quot;},{&quot;family&quot;:&quot;Langille&quot;,&quot;given&quot;:&quot;Morgan G.I.&quot;,&quot;parse-names&quot;:false,&quot;dropping-particle&quot;:&quot;&quot;,&quot;non-dropping-particle&quot;:&quot;&quot;}],&quot;container-title&quot;:&quot;Scientific Reports&quot;,&quot;container-title-short&quot;:&quot;Sci Rep&quot;,&quot;DOI&quot;:&quot;10.1038/s41598-024-60409-8&quot;,&quot;ISSN&quot;:&quot;20452322&quot;,&quot;PMID&quot;:&quot;38678061&quot;,&quot;issued&quot;:{&quot;date-parts&quot;:[[2024,12,1]]},&quot;abstract&quot;:&quot;This study aimed to assess the association between the oral microbiome, age, and frailty. Data and saliva samples were obtained from male and female participants aged 35–70 years (n = 1357). Saliva samples were analysed by 16S rRNA gene sequencing and differences in microbial diversity and community compositions were examined in relation to chronological age and the frailty index (FI). Most alpha diversity measures (Richness, Shannon Diversity, Faith’s Phylogenetic Diversity) showed an inverse association with frailty, whereas a positive association was observed with age and Shannon Diversity and Evenness. A further sex-stratified analysis revealed differences in measures of microbial diversity and composition. Multiple genera were detected as significantly differentially abundant with increasing frailty and age by at least two methods. With age, the relative abundance of Veillonella was reduced in both males and females, whereas increases in Corynebacterium appeared specific to males and Aggregatibacter, Fusobacterium, Neisseria, Stomatobaculum, and Porphyromonas specific to females. Beta diversity was significantly associated with multiple mental health components of the FI. This study shows age and frailty are differentially associated with measures of microbial diversity and composition, suggesting the oral microbiome may be a useful indicator of increased risk of frailty or a potential target for improving health in ageing adults.&quot;,&quot;publisher&quot;:&quot;Nature Research&quot;,&quot;issue&quot;:&quot;1&quot;,&quot;volume&quot;:&quot;14&quot;},&quot;isTemporary&quot;:false},{&quot;id&quot;:&quot;cf975c50-2788-33d8-82ee-425e3989ace6&quot;,&quot;itemData&quot;:{&quot;type&quot;:&quot;article-journal&quot;,&quot;id&quot;:&quot;cf975c50-2788-33d8-82ee-425e3989ace6&quot;,&quot;title&quot;:&quot;Characterization of the salivary microbiome of adults with inflammatory bowel disease&quot;,&quot;author&quot;:[{&quot;family&quot;:&quot;DeClercq&quot;,&quot;given&quot;:&quot;Vanessa&quot;,&quot;parse-names&quot;:false,&quot;dropping-particle&quot;:&quot;&quot;,&quot;non-dropping-particle&quot;:&quot;&quot;},{&quot;family&quot;:&quot;Wright&quot;,&quot;given&quot;:&quot;Robyn J.&quot;,&quot;parse-names&quot;:false,&quot;dropping-particle&quot;:&quot;&quot;,&quot;non-dropping-particle&quot;:&quot;&quot;},{&quot;family&quot;:&quot;Limbergen&quot;,&quot;given&quot;:&quot;Johan&quot;,&quot;parse-names&quot;:false,&quot;dropping-particle&quot;:&quot;&quot;,&quot;non-dropping-particle&quot;:&quot;van&quot;},{&quot;family&quot;:&quot;Langille&quot;,&quot;given&quot;:&quot;Morgan G.I.&quot;,&quot;parse-names&quot;:false,&quot;dropping-particle&quot;:&quot;&quot;,&quot;non-dropping-particle&quot;:&quot;&quot;}],&quot;container-title&quot;:&quot;Journal of Oral Microbiology&quot;,&quot;container-title-short&quot;:&quot;J Oral Microbiol&quot;,&quot;DOI&quot;:&quot;10.1080/20002297.2025.2499923&quot;,&quot;ISSN&quot;:&quot;20002297&quot;,&quot;issued&quot;:{&quot;date-parts&quot;:[[2025]]},&quot;abstract&quot;:&quot;Background: Perturbations of the gut microbiota in patients with inflammatory bowel disease (IBD) have been extensively characterised, but changes to the oral microbiome remain understudied. This study aimed to evaluate the oral microbiome of adults with IBD and of matched controls. Methods: Saliva samples and data were obtained from a Canadian population cohort (n = 320). The salivary microbiome was characterised using 16S rRNA gene sequencing and examined for differences between control participants and those with IBD, as well as disease subcategories (Crohn’s Disease and Ulcerative Colitis). Results: Alpha diversity was significantly lower in participants with IBD than controls in unadjusted models and many remained significant after adjusting for covariates. Significant differences in some beta diversity metrics between participants with IBD and controls were found, although these did not remain significant when adjusted for covariates. Ten genera were significantly differentially abundant between cases and controls. Veillonella and Streptococcus were both increased in abundance in IBD cases vs controls (25% vs 22% and 14% vs 12%, respectively). Conclusion: These results showcase changes in oral microbial diversity and composition in those living with IBD and highlight the potential of using the salivary microbiome as a biomarker for screening or monitoring IBD.&quot;,&quot;publisher&quot;:&quot;Taylor and Francis Ltd.&quot;,&quot;issue&quot;:&quot;1&quot;,&quot;volume&quot;:&quot;17&quot;},&quot;isTemporary&quot;:false},{&quot;id&quot;:&quot;98cf8fb2-910b-3610-928e-74c195bf55ab&quot;,&quot;itemData&quot;:{&quot;type&quot;:&quot;article-journal&quot;,&quot;id&quot;:&quot;98cf8fb2-910b-3610-928e-74c195bf55ab&quot;,&quot;title&quot;:&quot;Assessing the variation within the oral microbiome of healthy adults&quot;,&quot;author&quot;:[{&quot;family&quot;:&quot;Nearing&quot;,&quot;given&quot;:&quot;Jacob T.&quot;,&quot;parse-names&quot;:false,&quot;dropping-particle&quot;:&quot;&quot;,&quot;non-dropping-particle&quot;:&quot;&quot;},{&quot;family&quot;:&quot;DeClercq&quot;,&quot;given&quot;:&quot;Vanessa&quot;,&quot;parse-names&quot;:false,&quot;dropping-particle&quot;:&quot;&quot;,&quot;non-dropping-particle&quot;:&quot;&quot;},{&quot;family&quot;:&quot;Limbergen&quot;,&quot;given&quot;:&quot;Johan&quot;,&quot;parse-names&quot;:false,&quot;dropping-particle&quot;:&quot;Van&quot;,&quot;non-dropping-particle&quot;:&quot;&quot;},{&quot;family&quot;:&quot;Langille&quot;,&quot;given&quot;:&quot;Morgan G.I.&quot;,&quot;parse-names&quot;:false,&quot;dropping-particle&quot;:&quot;&quot;,&quot;non-dropping-particle&quot;:&quot;&quot;}],&quot;container-title&quot;:&quot;mSphere&quot;,&quot;container-title-short&quot;:&quot;mSphere&quot;,&quot;DOI&quot;:&quot;10.18372/0370-2197.86.14492&quot;,&quot;ISSN&quot;:&quot;0370-2197&quot;,&quot;issued&quot;:{&quot;date-parts&quot;:[[2020]]},&quot;page&quot;:&quot;1-20&quot;,&quot;abstract&quot;:&quot;Over 1000 different species of microbes have been found to live within the human oral cavity where they play important roles in maintaining both oral and systemic health. Several studies have identified the core members of this microbial community, however, the factors that determine oral microbiome composition are not well understood. In this study we exam the salivary oral microbiome of 1049 Atlantic Canadians using 16S rRNA gene sequencing in order to determine which dietary, lifestyle, and anthropometric features play a role in shaping microbial community composition. Features that were identified as being significantly associated with overall composition were then additionally examined for genera and amplicon sequence variants that were associated with these features. Several associations were replicated in an additional secondary validation dataset. Overall, we found that several anthropometric measurements including waist hip ratio, height, and fat free mass, as well as age and sex, were associated with oral microbiome composition in both our exploratory and validation cohorts. We were unable to validate dietary impacts on the oral microbiome but did find evidence to suggest potential contributions from factors such as the number of vegetable and refined grain servings an individual consumes. Interestingly, each one of these factors on their own were associated with only minor shifts in the oral microbiome suggesting that future biomarker identification for several diseases associated with the oral microbiome may be undertaken without the worry of confounding factors obscuring biological signal. Importance: The human oral cavity is inhabited by a diverse community of microbes known as the human oral microbiome. These microbes play a role in maintaining both oral and systemic health and as such have been proposed to be useful biomarkers of disease. However, to identify these biomarkers, we first need to determine the composition and variation of the healthy oral microbiome. Within this report we investigate the oral microbiome of 1049 healthy individuals to determine which genera and amplicon sequence variants are commonly found between individual oral microbiomes. We then further investigate how lifestyle, anthropometric, and dietary choices impact overall microbiome composition. Interestingly, the results from this investigation showed that while many features were significantly associated with oral microbiome composition no single biological factor explained a variation larger than 2%. These results indicate that future work on biomarker detection may be encourage by the lack of strong confounding factors.&quot;,&quot;issue&quot;:&quot;September&quot;},&quot;isTemporary&quot;:false},{&quot;id&quot;:&quot;9c848ad2-55ae-351a-b63a-6c177c186948&quot;,&quot;itemData&quot;:{&quot;type&quot;:&quot;article-journal&quot;,&quot;id&quot;:&quot;9c848ad2-55ae-351a-b63a-6c177c186948&quot;,&quot;title&quot;:&quot;Investigating the oral microbiome in retrospective and prospective cases of prostate, colon, and breast cancer&quot;,&quot;author&quot;:[{&quot;family&quot;:&quot;Nearing&quot;,&quot;given&quot;:&quot;Jacob T.&quot;,&quot;parse-names&quot;:false,&quot;dropping-particle&quot;:&quot;&quot;,&quot;non-dropping-particle&quot;:&quot;&quot;},{&quot;family&quot;:&quot;DeClercq&quot;,&quot;given&quot;:&quot;Vanessa&quot;,&quot;parse-names&quot;:false,&quot;dropping-particle&quot;:&quot;&quot;,&quot;non-dropping-particle&quot;:&quot;&quot;},{&quot;family&quot;:&quot;Langille&quot;,&quot;given&quot;:&quot;Morgan G.I.&quot;,&quot;parse-names&quot;:false,&quot;dropping-particle&quot;:&quot;&quot;,&quot;non-dropping-particle&quot;:&quot;&quot;}],&quot;container-title&quot;:&quot;npj Biofilms and Microbiomes&quot;,&quot;container-title-short&quot;:&quot;NPJ Biofilms Microbiomes&quot;,&quot;DOI&quot;:&quot;10.1038/s41522-023-00391-7&quot;,&quot;ISSN&quot;:&quot;20555008&quot;,&quot;PMID&quot;:&quot;37127667&quot;,&quot;issued&quot;:{&quot;date-parts&quot;:[[2023,12,1]]},&quot;abstract&quot;:&quot;The human microbiome has been proposed as a potentially useful biomarker for several cancers. To examine this, we made use of salivary samples from the Atlantic Partnership for Tomorrow’s Health (PATH) project and Alberta’s Tomorrow Project (ATP). Sample selection was divided into both a retrospective and prospective case control design examining prostate, breast, and colon cancer. In total 89 retrospective and 260 prospective cancer cases were matched to non-cancer controls and saliva samples were sequenced using 16S rRNA gene sequencing. We found no significant differences in alpha diversity. All beta diversity measures were insignificant except for unweighted UniFrac profiles in retrospective breast cancer cases and weighted UniFrac, Bray-Curtis and Robust Atchinson’s distances in colon cancer after testing with age and sex adjusted MiRKAT models. Differential abundance (DA) analysis showed several taxa that were associated with previous cancer in all three groupings. Only one genus (Clostridia UCG-014) in breast cancer and one ASV (Fusobacterium periodonticum) in colon cancer was identified by more than one DA tool. In prospective cases three ASVs were associated with colon cancer, one ASV with breast cancer, and one ASV with prostate cancer. Random Forest classification showed low levels of signal in both study designs in breast and prostate cancer. Contrastingly, colon cancer did show signal in our retrospective analysis (AUC: 0.737) and in one of two prospective cohorts (AUC: 0.717). Our results indicate that it is unlikely that reliable microbial oral biomarkers for breast and prostate cancer exist. However, further research into the oral microbiome and colon cancer could be fruitful.&quot;,&quot;publisher&quot;:&quot;Nature Research&quot;,&quot;issue&quot;:&quot;1&quot;,&quot;volume&quot;:&quot;9&quot;},&quot;isTemporary&quot;:false},{&quot;id&quot;:&quot;628590c0-4e8e-38cd-b3fb-c6af81be4fd5&quot;,&quot;itemData&quot;:{&quot;type&quot;:&quot;article-journal&quot;,&quot;id&quot;:&quot;628590c0-4e8e-38cd-b3fb-c6af81be4fd5&quot;,&quot;title&quot;:&quot;Investigation of the impact of commonly used medications on the oral microbiome of individuals living without major chronic conditions&quot;,&quot;author&quot;:[{&quot;family&quot;:&quot;DeClercq&quot;,&quot;given&quot;:&quot;Vanessa&quot;,&quot;parse-names&quot;:false,&quot;dropping-particle&quot;:&quot;&quot;,&quot;non-dropping-particle&quot;:&quot;&quot;},{&quot;family&quot;:&quot;Nearing&quot;,&quot;given&quot;:&quot;Jacob T&quot;,&quot;parse-names&quot;:false,&quot;dropping-particle&quot;:&quot;&quot;,&quot;non-dropping-particle&quot;:&quot;&quot;},{&quot;family&quot;:&quot;Langille&quot;,&quot;given&quot;:&quot;Morgan GI&quot;,&quot;parse-names&quot;:false,&quot;dropping-particle&quot;:&quot;&quot;,&quot;non-dropping-particle&quot;:&quot;&quot;}],&quot;container-title&quot;:&quot;Plos One&quot;,&quot;container-title-short&quot;:&quot;PLoS One&quot;,&quot;DOI&quot;:&quot;10.1371/journal.pone.0261032&quot;,&quot;ISBN&quot;:&quot;1111111111&quot;,&quot;URL&quot;:&quot;http://dx.doi.org/10.1371/journal.pone.0261032&quot;,&quot;issued&quot;:{&quot;date-parts&quot;:[[2021]]},&quot;page&quot;:&quot;1-19&quot;},&quot;isTemporary&quot;:false}]},{&quot;citationID&quot;:&quot;MENDELEY_CITATION_c631013c-fdbc-47ff-b6c8-2c4922084e8a&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&quot;,&quot;citationItems&quot;:[{&quot;id&quot;:&quot;bc5d33f6-d9ac-3e93-b568-42d4c48fc516&quot;,&quot;itemData&quot;:{&quot;type&quot;:&quot;article-journal&quot;,&quot;id&quot;:&quot;bc5d33f6-d9ac-3e93-b568-42d4c48fc516&quot;,&quot;title&quot;:&quot;Comparison of the NHANES dietary screener questionnaire to the Automated Self-Administered 24-Hour Recall for Children in the Healthy Communities Study&quot;,&quot;author&quot;:[{&quot;family&quot;:&quot;Hewawitharana&quot;,&quot;given&quot;:&quot;Sridharshi Chintha&quot;,&quot;parse-names&quot;:false,&quot;dropping-particle&quot;:&quot;&quot;,&quot;non-dropping-particle&quot;:&quot;&quot;},{&quot;family&quot;:&quot;Thompson&quot;,&quot;given&quot;:&quot;Frances Elizabeth&quot;,&quot;parse-names&quot;:false,&quot;dropping-particle&quot;:&quot;&quot;,&quot;non-dropping-particle&quot;:&quot;&quot;},{&quot;family&quot;:&quot;Loria&quot;,&quot;given&quot;:&quot;Catherine M.&quot;,&quot;parse-names&quot;:false,&quot;dropping-particle&quot;:&quot;&quot;,&quot;non-dropping-particle&quot;:&quot;&quot;},{&quot;family&quot;:&quot;Strauss&quot;,&quot;given&quot;:&quot;Warren&quot;,&quot;parse-names&quot;:false,&quot;dropping-particle&quot;:&quot;&quot;,&quot;non-dropping-particle&quot;:&quot;&quot;},{&quot;family&quot;:&quot;Nagaraja&quot;,&quot;given&quot;:&quot;Jyothi&quot;,&quot;parse-names&quot;:false,&quot;dropping-particle&quot;:&quot;&quot;,&quot;non-dropping-particle&quot;:&quot;&quot;},{&quot;family&quot;:&quot;Ritchie&quot;,&quot;given&quot;:&quot;Lorrene&quot;,&quot;parse-names&quot;:false,&quot;dropping-particle&quot;:&quot;&quot;,&quot;non-dropping-particle&quot;:&quot;&quot;},{&quot;family&quot;:&quot;Webb&quot;,&quot;given&quot;:&quot;Karen Lucy&quot;,&quot;parse-names&quot;:false,&quot;dropping-particle&quot;:&quot;&quot;,&quot;non-dropping-particle&quot;:&quot;&quot;}],&quot;container-title&quot;:&quot;Nutrition Journal&quot;,&quot;container-title-short&quot;:&quot;Nutr J&quot;,&quot;DOI&quot;:&quot;10.1186/s12937-018-0415-1&quot;,&quot;ISSN&quot;:&quot;14752891&quot;,&quot;PMID&quot;:&quot;30482218&quot;,&quot;issued&quot;:{&quot;date-parts&quot;:[[2018,11,27]]},&quot;abstract&quot;:&quot;Background: A dietary screener questionnaire (DSQ) was used to assess dietary outcomes among children in the Healthy Communities Study (HCS), a study of the relationships between programs and policies to prevent child obesity and child diet, physical activity and weight outcomes. Methods: To compare dietary intake estimates derived from the DSQ against those from the Automated Self-Administered 24-Hour Recalls for Children (ASA24-Kids) among children, a measurement error model, using structural equation modelling, was utilized to estimate slopes, deattenuated correlation coefficients, and attenuation factors by age and sex, ethnicity, and BMI status. Participants/setting: A randomly selected sub-sample of HCS participants aged 4-15 years in 130 communities throughout the U.S. who completed the DSQ and up to two ASA24-Kids recalls (n = 656;13% of HCS participants). Results: For most nutrient/foods examined, the DSQ yielded larger mean intake estimates than the ASA24-Kids, and agreement between the two measures varied by food/nutrient, age and sex, ethnicity, and BMI category. Deattenuated correlation coefficients of 0.4 or greater were observed for added sugars from SSBs (0.54), fruits and vegetables (0.40), and dairy foods (0.50). Lower deattenuated correlation coefficients were seen for total added sugars (0.37), whole grains (0.34), and fiber (0.34). Attenuation factors were most severe for total added sugars intake among overweight children, and for several other dietary outcomes among children aged 9-11 years. Conclusions: The DSQ was found to be a tool with acceptable agreement with the ASA24-Kids for measuring multiple dietary outcomes of interest in the HCS, although there may be potential due to measurement error to underestimate results (bias towards the null). In future studies, measurement error modelling and regression calibration may be possible solutions to correct for bias due to measurement error in most food/nutrient intake estimates from the DSQ when used among children.&quot;,&quot;publisher&quot;:&quot;BioMed Central Ltd.&quot;,&quot;issue&quot;:&quot;1&quot;,&quot;volume&quot;:&quot;17&quot;},&quot;isTemporary&quot;:false}]},{&quot;citationID&quot;:&quot;MENDELEY_CITATION_5a11e556-cbed-48aa-8b7c-14f5cc317ee1&quot;,&quot;properties&quot;:{&quot;noteIndex&quot;:0},&quot;isEdited&quot;:false,&quot;manualOverride&quot;:{&quot;isManuallyOverridden&quot;:false,&quot;citeprocText&quot;:&quot;&lt;sup&gt;1–5&lt;/sup&gt;&quot;,&quot;manualOverrideText&quot;:&quot;&quot;},&quot;citationItems&quot;:[{&quot;id&quot;:&quot;8761d377-eb22-3851-a391-9699880e2f0e&quot;,&quot;itemData&quot;:{&quot;type&quot;:&quot;article-journal&quot;,&quot;id&quot;:&quot;8761d377-eb22-3851-a391-9699880e2f0e&quot;,&quot;title&quot;:&quot;Oral microbial signatures associated with age and frailty in Canadian adults&quot;,&quot;author&quot;:[{&quot;family&quot;:&quot;DeClercq&quot;,&quot;given&quot;:&quot;Vanessa&quot;,&quot;parse-names&quot;:false,&quot;dropping-particle&quot;:&quot;&quot;,&quot;non-dropping-particle&quot;:&quot;&quot;},{&quot;family&quot;:&quot;Wright&quot;,&quot;given&quot;:&quot;Robyn J.&quot;,&quot;parse-names&quot;:false,&quot;dropping-particle&quot;:&quot;&quot;,&quot;non-dropping-particle&quot;:&quot;&quot;},{&quot;family&quot;:&quot;Nearing&quot;,&quot;given&quot;:&quot;Jacob T.&quot;,&quot;parse-names&quot;:false,&quot;dropping-particle&quot;:&quot;&quot;,&quot;non-dropping-particle&quot;:&quot;&quot;},{&quot;family&quot;:&quot;Langille&quot;,&quot;given&quot;:&quot;Morgan G.I.&quot;,&quot;parse-names&quot;:false,&quot;dropping-particle&quot;:&quot;&quot;,&quot;non-dropping-particle&quot;:&quot;&quot;}],&quot;container-title&quot;:&quot;Scientific Reports&quot;,&quot;container-title-short&quot;:&quot;Sci Rep&quot;,&quot;DOI&quot;:&quot;10.1038/s41598-024-60409-8&quot;,&quot;ISSN&quot;:&quot;20452322&quot;,&quot;PMID&quot;:&quot;38678061&quot;,&quot;issued&quot;:{&quot;date-parts&quot;:[[2024,12,1]]},&quot;abstract&quot;:&quot;This study aimed to assess the association between the oral microbiome, age, and frailty. Data and saliva samples were obtained from male and female participants aged 35–70 years (n = 1357). Saliva samples were analysed by 16S rRNA gene sequencing and differences in microbial diversity and community compositions were examined in relation to chronological age and the frailty index (FI). Most alpha diversity measures (Richness, Shannon Diversity, Faith’s Phylogenetic Diversity) showed an inverse association with frailty, whereas a positive association was observed with age and Shannon Diversity and Evenness. A further sex-stratified analysis revealed differences in measures of microbial diversity and composition. Multiple genera were detected as significantly differentially abundant with increasing frailty and age by at least two methods. With age, the relative abundance of Veillonella was reduced in both males and females, whereas increases in Corynebacterium appeared specific to males and Aggregatibacter, Fusobacterium, Neisseria, Stomatobaculum, and Porphyromonas specific to females. Beta diversity was significantly associated with multiple mental health components of the FI. This study shows age and frailty are differentially associated with measures of microbial diversity and composition, suggesting the oral microbiome may be a useful indicator of increased risk of frailty or a potential target for improving health in ageing adults.&quot;,&quot;publisher&quot;:&quot;Nature Research&quot;,&quot;issue&quot;:&quot;1&quot;,&quot;volume&quot;:&quot;14&quot;},&quot;isTemporary&quot;:false},{&quot;id&quot;:&quot;cf975c50-2788-33d8-82ee-425e3989ace6&quot;,&quot;itemData&quot;:{&quot;type&quot;:&quot;article-journal&quot;,&quot;id&quot;:&quot;cf975c50-2788-33d8-82ee-425e3989ace6&quot;,&quot;title&quot;:&quot;Characterization of the salivary microbiome of adults with inflammatory bowel disease&quot;,&quot;author&quot;:[{&quot;family&quot;:&quot;DeClercq&quot;,&quot;given&quot;:&quot;Vanessa&quot;,&quot;parse-names&quot;:false,&quot;dropping-particle&quot;:&quot;&quot;,&quot;non-dropping-particle&quot;:&quot;&quot;},{&quot;family&quot;:&quot;Wright&quot;,&quot;given&quot;:&quot;Robyn J.&quot;,&quot;parse-names&quot;:false,&quot;dropping-particle&quot;:&quot;&quot;,&quot;non-dropping-particle&quot;:&quot;&quot;},{&quot;family&quot;:&quot;Limbergen&quot;,&quot;given&quot;:&quot;Johan&quot;,&quot;parse-names&quot;:false,&quot;dropping-particle&quot;:&quot;&quot;,&quot;non-dropping-particle&quot;:&quot;van&quot;},{&quot;family&quot;:&quot;Langille&quot;,&quot;given&quot;:&quot;Morgan G.I.&quot;,&quot;parse-names&quot;:false,&quot;dropping-particle&quot;:&quot;&quot;,&quot;non-dropping-particle&quot;:&quot;&quot;}],&quot;container-title&quot;:&quot;Journal of Oral Microbiology&quot;,&quot;container-title-short&quot;:&quot;J Oral Microbiol&quot;,&quot;DOI&quot;:&quot;10.1080/20002297.2025.2499923&quot;,&quot;ISSN&quot;:&quot;20002297&quot;,&quot;issued&quot;:{&quot;date-parts&quot;:[[2025]]},&quot;abstract&quot;:&quot;Background: Perturbations of the gut microbiota in patients with inflammatory bowel disease (IBD) have been extensively characterised, but changes to the oral microbiome remain understudied. This study aimed to evaluate the oral microbiome of adults with IBD and of matched controls. Methods: Saliva samples and data were obtained from a Canadian population cohort (n = 320). The salivary microbiome was characterised using 16S rRNA gene sequencing and examined for differences between control participants and those with IBD, as well as disease subcategories (Crohn’s Disease and Ulcerative Colitis). Results: Alpha diversity was significantly lower in participants with IBD than controls in unadjusted models and many remained significant after adjusting for covariates. Significant differences in some beta diversity metrics between participants with IBD and controls were found, although these did not remain significant when adjusted for covariates. Ten genera were significantly differentially abundant between cases and controls. Veillonella and Streptococcus were both increased in abundance in IBD cases vs controls (25% vs 22% and 14% vs 12%, respectively). Conclusion: These results showcase changes in oral microbial diversity and composition in those living with IBD and highlight the potential of using the salivary microbiome as a biomarker for screening or monitoring IBD.&quot;,&quot;publisher&quot;:&quot;Taylor and Francis Ltd.&quot;,&quot;issue&quot;:&quot;1&quot;,&quot;volume&quot;:&quot;17&quot;},&quot;isTemporary&quot;:false},{&quot;id&quot;:&quot;98cf8fb2-910b-3610-928e-74c195bf55ab&quot;,&quot;itemData&quot;:{&quot;type&quot;:&quot;article-journal&quot;,&quot;id&quot;:&quot;98cf8fb2-910b-3610-928e-74c195bf55ab&quot;,&quot;title&quot;:&quot;Assessing the variation within the oral microbiome of healthy adults&quot;,&quot;author&quot;:[{&quot;family&quot;:&quot;Nearing&quot;,&quot;given&quot;:&quot;Jacob T.&quot;,&quot;parse-names&quot;:false,&quot;dropping-particle&quot;:&quot;&quot;,&quot;non-dropping-particle&quot;:&quot;&quot;},{&quot;family&quot;:&quot;DeClercq&quot;,&quot;given&quot;:&quot;Vanessa&quot;,&quot;parse-names&quot;:false,&quot;dropping-particle&quot;:&quot;&quot;,&quot;non-dropping-particle&quot;:&quot;&quot;},{&quot;family&quot;:&quot;Limbergen&quot;,&quot;given&quot;:&quot;Johan&quot;,&quot;parse-names&quot;:false,&quot;dropping-particle&quot;:&quot;Van&quot;,&quot;non-dropping-particle&quot;:&quot;&quot;},{&quot;family&quot;:&quot;Langille&quot;,&quot;given&quot;:&quot;Morgan G.I.&quot;,&quot;parse-names&quot;:false,&quot;dropping-particle&quot;:&quot;&quot;,&quot;non-dropping-particle&quot;:&quot;&quot;}],&quot;container-title&quot;:&quot;mSphere&quot;,&quot;container-title-short&quot;:&quot;mSphere&quot;,&quot;DOI&quot;:&quot;10.18372/0370-2197.86.14492&quot;,&quot;ISSN&quot;:&quot;0370-2197&quot;,&quot;issued&quot;:{&quot;date-parts&quot;:[[2020]]},&quot;page&quot;:&quot;1-20&quot;,&quot;abstract&quot;:&quot;Over 1000 different species of microbes have been found to live within the human oral cavity where they play important roles in maintaining both oral and systemic health. Several studies have identified the core members of this microbial community, however, the factors that determine oral microbiome composition are not well understood. In this study we exam the salivary oral microbiome of 1049 Atlantic Canadians using 16S rRNA gene sequencing in order to determine which dietary, lifestyle, and anthropometric features play a role in shaping microbial community composition. Features that were identified as being significantly associated with overall composition were then additionally examined for genera and amplicon sequence variants that were associated with these features. Several associations were replicated in an additional secondary validation dataset. Overall, we found that several anthropometric measurements including waist hip ratio, height, and fat free mass, as well as age and sex, were associated with oral microbiome composition in both our exploratory and validation cohorts. We were unable to validate dietary impacts on the oral microbiome but did find evidence to suggest potential contributions from factors such as the number of vegetable and refined grain servings an individual consumes. Interestingly, each one of these factors on their own were associated with only minor shifts in the oral microbiome suggesting that future biomarker identification for several diseases associated with the oral microbiome may be undertaken without the worry of confounding factors obscuring biological signal. Importance: The human oral cavity is inhabited by a diverse community of microbes known as the human oral microbiome. These microbes play a role in maintaining both oral and systemic health and as such have been proposed to be useful biomarkers of disease. However, to identify these biomarkers, we first need to determine the composition and variation of the healthy oral microbiome. Within this report we investigate the oral microbiome of 1049 healthy individuals to determine which genera and amplicon sequence variants are commonly found between individual oral microbiomes. We then further investigate how lifestyle, anthropometric, and dietary choices impact overall microbiome composition. Interestingly, the results from this investigation showed that while many features were significantly associated with oral microbiome composition no single biological factor explained a variation larger than 2%. These results indicate that future work on biomarker detection may be encourage by the lack of strong confounding factors.&quot;,&quot;issue&quot;:&quot;September&quot;},&quot;isTemporary&quot;:false},{&quot;id&quot;:&quot;9c848ad2-55ae-351a-b63a-6c177c186948&quot;,&quot;itemData&quot;:{&quot;type&quot;:&quot;article-journal&quot;,&quot;id&quot;:&quot;9c848ad2-55ae-351a-b63a-6c177c186948&quot;,&quot;title&quot;:&quot;Investigating the oral microbiome in retrospective and prospective cases of prostate, colon, and breast cancer&quot;,&quot;author&quot;:[{&quot;family&quot;:&quot;Nearing&quot;,&quot;given&quot;:&quot;Jacob T.&quot;,&quot;parse-names&quot;:false,&quot;dropping-particle&quot;:&quot;&quot;,&quot;non-dropping-particle&quot;:&quot;&quot;},{&quot;family&quot;:&quot;DeClercq&quot;,&quot;given&quot;:&quot;Vanessa&quot;,&quot;parse-names&quot;:false,&quot;dropping-particle&quot;:&quot;&quot;,&quot;non-dropping-particle&quot;:&quot;&quot;},{&quot;family&quot;:&quot;Langille&quot;,&quot;given&quot;:&quot;Morgan G.I.&quot;,&quot;parse-names&quot;:false,&quot;dropping-particle&quot;:&quot;&quot;,&quot;non-dropping-particle&quot;:&quot;&quot;}],&quot;container-title&quot;:&quot;npj Biofilms and Microbiomes&quot;,&quot;container-title-short&quot;:&quot;NPJ Biofilms Microbiomes&quot;,&quot;DOI&quot;:&quot;10.1038/s41522-023-00391-7&quot;,&quot;ISSN&quot;:&quot;20555008&quot;,&quot;PMID&quot;:&quot;37127667&quot;,&quot;issued&quot;:{&quot;date-parts&quot;:[[2023,12,1]]},&quot;abstract&quot;:&quot;The human microbiome has been proposed as a potentially useful biomarker for several cancers. To examine this, we made use of salivary samples from the Atlantic Partnership for Tomorrow’s Health (PATH) project and Alberta’s Tomorrow Project (ATP). Sample selection was divided into both a retrospective and prospective case control design examining prostate, breast, and colon cancer. In total 89 retrospective and 260 prospective cancer cases were matched to non-cancer controls and saliva samples were sequenced using 16S rRNA gene sequencing. We found no significant differences in alpha diversity. All beta diversity measures were insignificant except for unweighted UniFrac profiles in retrospective breast cancer cases and weighted UniFrac, Bray-Curtis and Robust Atchinson’s distances in colon cancer after testing with age and sex adjusted MiRKAT models. Differential abundance (DA) analysis showed several taxa that were associated with previous cancer in all three groupings. Only one genus (Clostridia UCG-014) in breast cancer and one ASV (Fusobacterium periodonticum) in colon cancer was identified by more than one DA tool. In prospective cases three ASVs were associated with colon cancer, one ASV with breast cancer, and one ASV with prostate cancer. Random Forest classification showed low levels of signal in both study designs in breast and prostate cancer. Contrastingly, colon cancer did show signal in our retrospective analysis (AUC: 0.737) and in one of two prospective cohorts (AUC: 0.717). Our results indicate that it is unlikely that reliable microbial oral biomarkers for breast and prostate cancer exist. However, further research into the oral microbiome and colon cancer could be fruitful.&quot;,&quot;publisher&quot;:&quot;Nature Research&quot;,&quot;issue&quot;:&quot;1&quot;,&quot;volume&quot;:&quot;9&quot;},&quot;isTemporary&quot;:false},{&quot;id&quot;:&quot;628590c0-4e8e-38cd-b3fb-c6af81be4fd5&quot;,&quot;itemData&quot;:{&quot;type&quot;:&quot;article-journal&quot;,&quot;id&quot;:&quot;628590c0-4e8e-38cd-b3fb-c6af81be4fd5&quot;,&quot;title&quot;:&quot;Investigation of the impact of commonly used medications on the oral microbiome of individuals living without major chronic conditions&quot;,&quot;author&quot;:[{&quot;family&quot;:&quot;DeClercq&quot;,&quot;given&quot;:&quot;Vanessa&quot;,&quot;parse-names&quot;:false,&quot;dropping-particle&quot;:&quot;&quot;,&quot;non-dropping-particle&quot;:&quot;&quot;},{&quot;family&quot;:&quot;Nearing&quot;,&quot;given&quot;:&quot;Jacob T&quot;,&quot;parse-names&quot;:false,&quot;dropping-particle&quot;:&quot;&quot;,&quot;non-dropping-particle&quot;:&quot;&quot;},{&quot;family&quot;:&quot;Langille&quot;,&quot;given&quot;:&quot;Morgan GI&quot;,&quot;parse-names&quot;:false,&quot;dropping-particle&quot;:&quot;&quot;,&quot;non-dropping-particle&quot;:&quot;&quot;}],&quot;container-title&quot;:&quot;Plos One&quot;,&quot;container-title-short&quot;:&quot;PLoS One&quot;,&quot;DOI&quot;:&quot;10.1371/journal.pone.0261032&quot;,&quot;ISBN&quot;:&quot;1111111111&quot;,&quot;URL&quot;:&quot;http://dx.doi.org/10.1371/journal.pone.0261032&quot;,&quot;issued&quot;:{&quot;date-parts&quot;:[[2021]]},&quot;page&quot;:&quot;1-19&quot;},&quot;isTemporary&quot;:false}],&quot;citationTag&quot;:&quot;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&quot;},{&quot;citationID&quot;:&quot;MENDELEY_CITATION_37c80854-553e-49b4-813a-3233f84d7f13&quot;,&quot;properties&quot;:{&quot;noteIndex&quot;:0},&quot;isEdited&quot;:false,&quot;manualOverride&quot;:{&quot;isManuallyOverridden&quot;:false,&quot;citeprocText&quot;:&quot;&lt;sup&gt;7&lt;/sup&gt;&quot;,&quot;manualOverrideText&quot;:&quot;&quot;},&quot;citationItems&quot;:[{&quot;id&quot;:&quot;696c482f-0422-3154-8171-150acca4468d&quot;,&quot;itemData&quot;:{&quot;type&quot;:&quot;article-journal&quot;,&quot;id&quot;:&quot;696c482f-0422-3154-8171-150acca4468d&quot;,&quot;title&quot;:&quot;Patterns of Oral Microbiota Diversity in Adults and Children: A Crowdsourced Population Study&quot;,&quot;author&quot;:[{&quot;family&quot;:&quot;Burcham&quot;,&quot;given&quot;:&quot;Zachary M.&quot;,&quot;parse-names&quot;:false,&quot;dropping-particle&quot;:&quot;&quot;,&quot;non-dropping-particle&quot;:&quot;&quot;},{&quot;family&quot;:&quot;Garneau&quot;,&quot;given&quot;:&quot;Nicole L.&quot;,&quot;parse-names&quot;:false,&quot;dropping-particle&quot;:&quot;&quot;,&quot;non-dropping-particle&quot;:&quot;&quot;},{&quot;family&quot;:&quot;Comstock&quot;,&quot;given&quot;:&quot;Sarah S.&quot;,&quot;parse-names&quot;:false,&quot;dropping-particle&quot;:&quot;&quot;,&quot;non-dropping-particle&quot;:&quot;&quot;},{&quot;family&quot;:&quot;Tucker&quot;,&quot;given&quot;:&quot;Robin M.&quot;,&quot;parse-names&quot;:false,&quot;dropping-particle&quot;:&quot;&quot;,&quot;non-dropping-particle&quot;:&quot;&quot;},{&quot;family&quot;:&quot;Knight&quot;,&quot;given&quot;:&quot;Rob&quot;,&quot;parse-names&quot;:false,&quot;dropping-particle&quot;:&quot;&quot;,&quot;non-dropping-particle&quot;:&quot;&quot;},{&quot;family&quot;:&quot;Metcalf&quot;,&quot;given&quot;:&quot;Jessica L.&quot;,&quot;parse-names&quot;:false,&quot;dropping-particle&quot;:&quot;&quot;,&quot;non-dropping-particle&quot;:&quot;&quot;},{&quot;family&quot;:&quot;Miranda&quot;,&quot;given&quot;:&quot;Anjelica&quot;,&quot;parse-names&quot;:false,&quot;dropping-particle&quot;:&quot;&quot;,&quot;non-dropping-particle&quot;:&quot;&quot;},{&quot;family&quot;:&quot;Reinhart&quot;,&quot;given&quot;:&quot;Brian&quot;,&quot;parse-names&quot;:false,&quot;dropping-particle&quot;:&quot;&quot;,&quot;non-dropping-particle&quot;:&quot;&quot;},{&quot;family&quot;:&quot;Meyers&quot;,&quot;given&quot;:&quot;Dani&quot;,&quot;parse-names&quot;:false,&quot;dropping-particle&quot;:&quot;&quot;,&quot;non-dropping-particle&quot;:&quot;&quot;},{&quot;family&quot;:&quot;Woltkamp&quot;,&quot;given&quot;:&quot;Diane&quot;,&quot;parse-names&quot;:false,&quot;dropping-particle&quot;:&quot;&quot;,&quot;non-dropping-particle&quot;:&quot;&quot;},{&quot;family&quot;:&quot;Boxer&quot;,&quot;given&quot;:&quot;Emma&quot;,&quot;parse-names&quot;:false,&quot;dropping-particle&quot;:&quot;&quot;,&quot;non-dropping-particle&quot;:&quot;&quot;},{&quot;family&quot;:&quot;Hutchens&quot;,&quot;given&quot;:&quot;Joyce&quot;,&quot;parse-names&quot;:false,&quot;dropping-particle&quot;:&quot;&quot;,&quot;non-dropping-particle&quot;:&quot;&quot;},{&quot;family&quot;:&quot;Kim&quot;,&quot;given&quot;:&quot;Kelly&quot;,&quot;parse-names&quot;:false,&quot;dropping-particle&quot;:&quot;&quot;,&quot;non-dropping-particle&quot;:&quot;&quot;},{&quot;family&quot;:&quot;Archer&quot;,&quot;given&quot;:&quot;Mike&quot;,&quot;parse-names&quot;:false,&quot;dropping-particle&quot;:&quot;&quot;,&quot;non-dropping-particle&quot;:&quot;&quot;},{&quot;family&quot;:&quot;McAteer&quot;,&quot;given&quot;:&quot;Mike&quot;,&quot;parse-names&quot;:false,&quot;dropping-particle&quot;:&quot;&quot;,&quot;non-dropping-particle&quot;:&quot;&quot;},{&quot;family&quot;:&quot;Huss&quot;,&quot;given&quot;:&quot;Phil&quot;,&quot;parse-names&quot;:false,&quot;dropping-particle&quot;:&quot;&quot;,&quot;non-dropping-particle&quot;:&quot;&quot;},{&quot;family&quot;:&quot;Defonseka&quot;,&quot;given&quot;:&quot;Ravin&quot;,&quot;parse-names&quot;:false,&quot;dropping-particle&quot;:&quot;&quot;,&quot;non-dropping-particle&quot;:&quot;&quot;},{&quot;family&quot;:&quot;Stahle&quot;,&quot;given&quot;:&quot;Sean&quot;,&quot;parse-names&quot;:false,&quot;dropping-particle&quot;:&quot;&quot;,&quot;non-dropping-particle&quot;:&quot;&quot;},{&quot;family&quot;:&quot;Babu&quot;,&quot;given&quot;:&quot;Sunanda&quot;,&quot;parse-names&quot;:false,&quot;dropping-particle&quot;:&quot;&quot;,&quot;non-dropping-particle&quot;:&quot;&quot;},{&quot;family&quot;:&quot;Nuessle&quot;,&quot;given&quot;:&quot;Tiffany&quot;,&quot;parse-names&quot;:false,&quot;dropping-particle&quot;:&quot;&quot;,&quot;non-dropping-particle&quot;:&quot;&quot;},{&quot;family&quot;:&quot;Schowinsky&quot;,&quot;given&quot;:&quot;Valerie&quot;,&quot;parse-names&quot;:false,&quot;dropping-particle&quot;:&quot;&quot;,&quot;non-dropping-particle&quot;:&quot;&quot;},{&quot;family&quot;:&quot;Covert&quot;,&quot;given&quot;:&quot;Wendy&quot;,&quot;parse-names&quot;:false,&quot;dropping-particle&quot;:&quot;&quot;,&quot;non-dropping-particle&quot;:&quot;&quot;},{&quot;family&quot;:&quot;Truman&quot;,&quot;given&quot;:&quot;Weston&quot;,&quot;parse-names&quot;:false,&quot;dropping-particle&quot;:&quot;&quot;,&quot;non-dropping-particle&quot;:&quot;&quot;},{&quot;family&quot;:&quot;Reusser&quot;,&quot;given&quot;:&quot;Willy&quot;,&quot;parse-names&quot;:false,&quot;dropping-particle&quot;:&quot;&quot;,&quot;non-dropping-particle&quot;:&quot;&quot;}],&quot;container-title&quot;:&quot;Scientific Reports&quot;,&quot;container-title-short&quot;:&quot;Sci Rep&quot;,&quot;DOI&quot;:&quot;10.1038/s41598-020-59016-0&quot;,&quot;ISSN&quot;:&quot;20452322&quot;,&quot;PMID&quot;:&quot;32034250&quot;,&quot;issued&quot;:{&quot;date-parts&quot;:[[2020,12,1]]},&quot;abstract&quot;:&quot;Oral microbiome dysbiosis has been associated with various local and systemic human diseases such as dental caries, periodontal disease, obesity, and cardiovascular disease. Bacterial composition may be affected by age, oral health, diet, and geography, although information about the natural variation found in the general public is still lacking. In this study, citizen-scientists used a crowdsourcing model to obtain oral bacterial composition data from guests at the Denver Museum of Nature &amp; Science to determine if previously suspected oral microbiome associations with an individual’s demographics, lifestyle, and/or genetics are robust and generalizable enough to be detected within a general population. Consistent with past research, we found bacterial composition to be more diverse in youth microbiomes when compared to adults. Adult oral microbiomes were predominantly impacted by oral health habits, while youth microbiomes were impacted by biological sex and weight status. The oral pathogen Treponema was detected more commonly in adults without recent dentist visits and in obese youth. Additionally, oral microbiomes from participants of the same family were more similar to each other than to oral microbiomes from non-related individuals. These results suggest that previously reported oral microbiome associations are observable in a human population containing the natural variation commonly found in the general public. Furthermore, these results support the use of crowdsourced data as a valid methodology to obtain community-based microbiome data.&quot;,&quot;publisher&quot;:&quot;Nature Research&quot;,&quot;issue&quot;:&quot;1&quot;,&quot;volume&quot;:&quot;10&quot;},&quot;isTemporary&quot;:false}],&quot;citationTag&quot;:&quot;MENDELEY_CITATION_v3_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&quot;},{&quot;citationID&quot;:&quot;MENDELEY_CITATION_d653bb0b-8b10-408a-9c76-eb2f95296ef2&quot;,&quot;properties&quot;:{&quot;noteIndex&quot;:0},&quot;isEdited&quot;:false,&quot;manualOverride&quot;:{&quot;isManuallyOverridden&quot;:false,&quot;citeprocText&quot;:&quot;&lt;sup&gt;8&lt;/sup&gt;&quot;,&quot;manualOverrideText&quot;:&quot;&quot;},&quot;citationItems&quot;:[{&quot;id&quot;:&quot;65b3736c-c7b7-34f8-bd7e-9808e227a7eb&quot;,&quot;itemData&quot;:{&quot;type&quot;:&quot;article-journal&quot;,&quot;id&quot;:&quot;65b3736c-c7b7-34f8-bd7e-9808e227a7eb&quot;,&quot;title&quot;:&quot;Host and environmental factors shape upper airway microbiota and respiratory health across the human lifespan&quot;,&quot;author&quot;:[{&quot;family&quot;:&quot;Odendaal&quot;,&quot;given&quot;:&quot;Mari Lee&quot;,&quot;parse-names&quot;:false,&quot;dropping-particle&quot;:&quot;&quot;,&quot;non-dropping-particle&quot;:&quot;&quot;},{&quot;family&quot;:&quot;Steenhuijsen Piters&quot;,&quot;given&quot;:&quot;Wouter A.A.&quot;,&quot;parse-names&quot;:false,&quot;dropping-particle&quot;:&quot;&quot;,&quot;non-dropping-particle&quot;:&quot;de&quot;},{&quot;family&quot;:&quot;Franz&quot;,&quot;given&quot;:&quot;Eelco&quot;,&quot;parse-names&quot;:false,&quot;dropping-particle&quot;:&quot;&quot;,&quot;non-dropping-particle&quot;:&quot;&quot;},{&quot;family&quot;:&quot;Chu&quot;,&quot;given&quot;:&quot;Mei Ling J.N.&quot;,&quot;parse-names&quot;:false,&quot;dropping-particle&quot;:&quot;&quot;,&quot;non-dropping-particle&quot;:&quot;&quot;},{&quot;family&quot;:&quot;Groot&quot;,&quot;given&quot;:&quot;James A.&quot;,&quot;parse-names&quot;:false,&quot;dropping-particle&quot;:&quot;&quot;,&quot;non-dropping-particle&quot;:&quot;&quot;},{&quot;family&quot;:&quot;Logchem&quot;,&quot;given&quot;:&quot;Elske M.&quot;,&quot;parse-names&quot;:false,&quot;dropping-particle&quot;:&quot;&quot;,&quot;non-dropping-particle&quot;:&quot;van&quot;},{&quot;family&quot;:&quot;Hasrat&quot;,&quot;given&quot;:&quot;Raiza&quot;,&quot;parse-names&quot;:false,&quot;dropping-particle&quot;:&quot;&quot;,&quot;non-dropping-particle&quot;:&quot;&quot;},{&quot;family&quot;:&quot;Kuiling&quot;,&quot;given&quot;:&quot;Sjoerd&quot;,&quot;parse-names&quot;:false,&quot;dropping-particle&quot;:&quot;&quot;,&quot;non-dropping-particle&quot;:&quot;&quot;},{&quot;family&quot;:&quot;Pijnacker&quot;,&quot;given&quot;:&quot;Roan&quot;,&quot;parse-names&quot;:false,&quot;dropping-particle&quot;:&quot;&quot;,&quot;non-dropping-particle&quot;:&quot;&quot;},{&quot;family&quot;:&quot;Mariman&quot;,&quot;given&quot;:&quot;Rob&quot;,&quot;parse-names&quot;:false,&quot;dropping-particle&quot;:&quot;&quot;,&quot;non-dropping-particle&quot;:&quot;&quot;},{&quot;family&quot;:&quot;Trzciński&quot;,&quot;given&quot;:&quot;Krzysztof&quot;,&quot;parse-names&quot;:false,&quot;dropping-particle&quot;:&quot;&quot;,&quot;non-dropping-particle&quot;:&quot;&quot;},{&quot;family&quot;:&quot;Klis&quot;,&quot;given&quot;:&quot;Fiona R.M.&quot;,&quot;parse-names&quot;:false,&quot;dropping-particle&quot;:&quot;&quot;,&quot;non-dropping-particle&quot;:&quot;van der&quot;},{&quot;family&quot;:&quot;Sanders&quot;,&quot;given&quot;:&quot;Elisabeth A.M.&quot;,&quot;parse-names&quot;:false,&quot;dropping-particle&quot;:&quot;&quot;,&quot;non-dropping-particle&quot;:&quot;&quot;},{&quot;family&quot;:&quot;Smit&quot;,&quot;given&quot;:&quot;Lidwien A.M.&quot;,&quot;parse-names&quot;:false,&quot;dropping-particle&quot;:&quot;&quot;,&quot;non-dropping-particle&quot;:&quot;&quot;},{&quot;family&quot;:&quot;Bogaert&quot;,&quot;given&quot;:&quot;Debby&quot;,&quot;parse-names&quot;:false,&quot;dropping-particle&quot;:&quot;&quot;,&quot;non-dropping-particle&quot;:&quot;&quot;},{&quot;family&quot;:&quot;Bosch&quot;,&quot;given&quot;:&quot;Thijs&quot;,&quot;parse-names&quot;:false,&quot;dropping-particle&quot;:&quot;&quot;,&quot;non-dropping-particle&quot;:&quot;&quot;}],&quot;container-title&quot;:&quot;Cell&quot;,&quot;container-title-short&quot;:&quot;Cell&quot;,&quot;DOI&quot;:&quot;10.1016/j.cell.2024.07.008&quot;,&quot;ISSN&quot;:&quot;10974172&quot;,&quot;PMID&quot;:&quot;39094567&quot;,&quot;issued&quot;:{&quot;date-parts&quot;:[[2024,8,22]]},&quot;page&quot;:&quot;4571-4585.e15&quot;,&quot;abstract&quot;:&quot;Our understanding of the normal variation in the upper respiratory tract (URT) microbiota across the human lifespan and how these relate to host, environment, and health is limited. We studied the microbiota of 3,104 saliva (&lt;10 year-olds)/oropharynx (≥10 year-olds) and 2,485 nasopharynx samples of 3,160 Dutch individuals 0–87 years of age, participating in a cross-sectional population-wide study (PIENTER-3) using 16S-rRNA sequencing. The microbiota composition was strongly related to age, especially in the nasopharynx, with maturation occurring throughout childhood and adolescence. Clear niche- and age-specific associations were found between the microbiota composition and host/environmental factors and health outcomes. Among others, social interaction, sex, and season were associated with the nasopharyngeal microbial community. By contrast, the oral microbiota was more related to antibiotics, tobacco, and alcohol use. We present an atlas of the URT microbiota across the lifespan in association with environment and health, establishing a baseline for future research.&quot;,&quot;publisher&quot;:&quot;Elsevier B.V.&quot;,&quot;issue&quot;:&quot;17&quot;,&quot;volume&quot;:&quot;187&quot;},&quot;isTemporary&quot;:false}],&quot;citationTag&quot;:&quot;MENDELEY_CITATION_v3_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&quot;},{&quot;citationID&quot;:&quot;MENDELEY_CITATION_7a11f710-f59d-499d-bdb6-55805bfc8713&quot;,&quot;properties&quot;:{&quot;noteIndex&quot;:0},&quot;isEdited&quot;:false,&quot;manualOverride&quot;:{&quot;isManuallyOverridden&quot;:false,&quot;citeprocText&quot;:&quot;&lt;sup&gt;9&lt;/sup&gt;&quot;,&quot;manualOverrideText&quot;:&quot;&quot;},&quot;citationItems&quot;:[{&quot;id&quot;:&quot;665afb28-c4b6-38f2-b813-497e372ca19f&quot;,&quot;itemData&quot;:{&quot;type&quot;:&quot;article-journal&quot;,&quot;id&quot;:&quot;665afb28-c4b6-38f2-b813-497e372ca19f&quot;,&quot;title&quot;:&quot;A longitudinal study of the development of the saliva microbiome in infants 2 days to 5 years compared to the microbiome in adolescents&quot;,&quot;author&quot;:[{&quot;family&quot;:&quot;Lif Holgerson&quot;,&quot;given&quot;:&quot;Pernilla&quot;,&quot;parse-names&quot;:false,&quot;dropping-particle&quot;:&quot;&quot;,&quot;non-dropping-particle&quot;:&quot;&quot;},{&quot;family&quot;:&quot;Esberg&quot;,&quot;given&quot;:&quot;Anders&quot;,&quot;parse-names&quot;:false,&quot;dropping-particle&quot;:&quot;&quot;,&quot;non-dropping-particle&quot;:&quot;&quot;},{&quot;family&quot;:&quot;Sjödin&quot;,&quot;given&quot;:&quot;Andreas&quot;,&quot;parse-names&quot;:false,&quot;dropping-particle&quot;:&quot;&quot;,&quot;non-dropping-particle&quot;:&quot;&quot;},{&quot;family&quot;:&quot;West&quot;,&quot;given&quot;:&quot;Christina E.&quot;,&quot;parse-names&quot;:false,&quot;dropping-particle&quot;:&quot;&quot;,&quot;non-dropping-particle&quot;:&quot;&quot;},{&quot;family&quot;:&quot;Johansson&quot;,&quot;given&quot;:&quot;Ingegerd&quot;,&quot;parse-names&quot;:false,&quot;dropping-particle&quot;:&quot;&quot;,&quot;non-dropping-particle&quot;:&quot;&quot;}],&quot;container-title&quot;:&quot;Scientific reports&quot;,&quot;container-title-short&quot;:&quot;Sci Rep&quot;,&quot;DOI&quot;:&quot;10.1038/s41598-020-66658-7&quot;,&quot;ISSN&quot;:&quot;20452322&quot;,&quot;PMID&quot;:&quot;32541791&quot;,&quot;issued&quot;:{&quot;date-parts&quot;:[[2020,6,15]]},&quot;page&quot;:&quot;9629&quot;,&quot;abstract&quot;:&quot;Understanding oral microbiota programming attracts increasing interest due to its importance for oral health and potential associations with systemic diseases. Here the oral microbiota was longitudinally characterized in children from 2 days (n = 206) to 5 years of age and in young adults (n = 175) by sequencing of the v3-v4 region of the 16S rRNA gene from saliva extracted DNA. Alpha diversity increased by age, with 2-day- and 3-month-old infants in one sub-group, and 18-month- and 3-year-old children in another. Firmicutes decreased up to 3 years of age, whereas Proteobacteria, Actinobacteria, Bacteroidetes and Fusobacteria abundances increased. Abiotrophia, Actinomyces, Capnocytophaga, Corynebacterium, Fusobacterium, Kingella, Leptotrichia, Neisseria and Porphyromonas appeared from 18-months of age. This was paralleled by expansions in the core microbiome that continued up to adulthood. The age-related microbiota transformation was paralleled by functional alterations, e.g., changed metabolic pathways that reflected e.g., breastfeeding and increasing proportions of anaerobic species. Oral microbiotas differed by feeding mode and weakly by mode of delivery, but not gender, pacifier use or cleaning method or probiotic intake. The study shows that the saliva microbiota is diverse 2 days after birth and under transformation up to 5 years of age and beyond, with fluctuations possibly reflecting age-related environmental influences.&quot;,&quot;publisher&quot;:&quot;NLM (Medline)&quot;,&quot;issue&quot;:&quot;1&quot;,&quot;volume&quot;:&quot;10&quot;},&quot;isTemporary&quot;:false}],&quot;citationTag&quot;:&quot;MENDELEY_CITATION_v3_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&quot;},{&quot;citationID&quot;:&quot;MENDELEY_CITATION_d561df51-00be-4625-a8c5-1a3b1ba33731&quot;,&quot;properties&quot;:{&quot;noteIndex&quot;:0},&quot;isEdited&quot;:false,&quot;manualOverride&quot;:{&quot;isManuallyOverridden&quot;:false,&quot;citeprocText&quot;:&quot;&lt;sup&gt;10&lt;/sup&gt;&quot;,&quot;manualOverrideText&quot;:&quot;&quot;},&quot;citationItems&quot;:[{&quot;id&quot;:&quot;2bfb3b4a-c81c-366a-a3a5-aa126e390f85&quot;,&quot;itemData&quot;:{&quot;type&quot;:&quot;article-journal&quot;,&quot;id&quot;:&quot;2bfb3b4a-c81c-366a-a3a5-aa126e390f85&quot;,&quot;title&quot;:&quot;The impact of fixed orthodontic appliances on oral microbiome dynamics in Japanese patients&quot;,&quot;author&quot;:[{&quot;family&quot;:&quot;Kado&quot;,&quot;given&quot;:&quot;Isamu&quot;,&quot;parse-names&quot;:false,&quot;dropping-particle&quot;:&quot;&quot;,&quot;non-dropping-particle&quot;:&quot;&quot;},{&quot;family&quot;:&quot;Hisatsune&quot;,&quot;given&quot;:&quot;Junzo&quot;,&quot;parse-names&quot;:false,&quot;dropping-particle&quot;:&quot;&quot;,&quot;non-dropping-particle&quot;:&quot;&quot;},{&quot;family&quot;:&quot;Tsuruda&quot;,&quot;given&quot;:&quot;Keiko&quot;,&quot;parse-names&quot;:false,&quot;dropping-particle&quot;:&quot;&quot;,&quot;non-dropping-particle&quot;:&quot;&quot;},{&quot;family&quot;:&quot;Tanimoto&quot;,&quot;given&quot;:&quot;Kotaro&quot;,&quot;parse-names&quot;:false,&quot;dropping-particle&quot;:&quot;&quot;,&quot;non-dropping-particle&quot;:&quot;&quot;},{&quot;family&quot;:&quot;Sugai&quot;,&quot;given&quot;:&quot;Motoyuki&quot;,&quot;parse-names&quot;:false,&quot;dropping-particle&quot;:&quot;&quot;,&quot;non-dropping-particle&quot;:&quot;&quot;}],&quot;container-title&quot;:&quot;Scientific Reports&quot;,&quot;container-title-short&quot;:&quot;Sci Rep&quot;,&quot;DOI&quot;:&quot;10.1038/s41598-020-78971-2&quot;,&quot;ISSN&quot;:&quot;20452322&quot;,&quot;PMID&quot;:&quot;33319834&quot;,&quot;issued&quot;:{&quot;date-parts&quot;:[[2020,12,1]]},&quot;abstract&quot;:&quot;Fixed orthodontic appliances are common and effective tools to treat malocclusion. Adverse effects of these appliances, such as dental caries and periodontitis, may be associated with alteration of the microbiome. This study investigated the impact of these appliances on the dynamics of the oral microbiome. Seventy-one patients were selected. Supragingival plaque samples were collected before placement (T0) and six months after placement (T1). Saliva samples were collected at T0 and T1, and then when appliance removal (T2). Microbial DNA was analyzed by 16S rRNA meta-sequencing. The diversity analysis indicated dynamic changes in the structure of the oral microbiome. Taxonomic analysis at phylum level showed a significant increase in Bacteroidetes and Saccharibacteria (formally TM7) and decrease in Proteobacteria and Actinobacteria over time, in both plaque and saliva. Genus level analysis of relative abundance indicated a significant increase in anaerobic and facultative anaerobes in both plaque and saliva. Fixed orthodontic appliances induced measurable changes in the oral microbiome. This was characterized by an increase in relative abundance of obligate anaerobes, including periodontal pathogens. It can be concluded that this dysbiosis induced by fixed orthodontic appliances is likely to represent a transitional stage in the shift in microbiome from healthy to periodontitis.&quot;,&quot;publisher&quot;:&quot;Nature Research&quot;,&quot;issue&quot;:&quot;1&quot;,&quot;volume&quot;:&quot;10&quot;},&quot;isTemporary&quot;:false}],&quot;citationTag&quot;:&quot;MENDELEY_CITATION_v3_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&quot;},{&quot;citationID&quot;:&quot;MENDELEY_CITATION_4f58704f-9c27-44eb-bf21-57f64ff2014d&quot;,&quot;properties&quot;:{&quot;noteIndex&quot;:0},&quot;isEdited&quot;:false,&quot;manualOverride&quot;:{&quot;isManuallyOverridden&quot;:false,&quot;citeprocText&quot;:&quot;&lt;sup&gt;11&lt;/sup&gt;&quot;,&quot;manualOverrideText&quot;:&quot;&quot;},&quot;citationItems&quot;:[{&quot;id&quot;:&quot;db8c8c94-e46e-3769-84f5-893bd4e6384f&quot;,&quot;itemData&quot;:{&quot;type&quot;:&quot;article-journal&quot;,&quot;id&quot;:&quot;db8c8c94-e46e-3769-84f5-893bd4e6384f&quot;,&quot;title&quot;:&quot;Sociodemographic variation in the oral microbiome&quot;,&quot;author&quot;:[{&quot;family&quot;:&quot;Renson&quot;,&quot;given&quot;:&quot;Audrey&quot;,&quot;parse-names&quot;:false,&quot;dropping-particle&quot;:&quot;&quot;,&quot;non-dropping-particle&quot;:&quot;&quot;},{&quot;family&quot;:&quot;Jones&quot;,&quot;given&quot;:&quot;Heidi E.&quot;,&quot;parse-names&quot;:false,&quot;dropping-particle&quot;:&quot;&quot;,&quot;non-dropping-particle&quot;:&quot;&quot;},{&quot;family&quot;:&quot;Beghini&quot;,&quot;given&quot;:&quot;Francesco&quot;,&quot;parse-names&quot;:false,&quot;dropping-particle&quot;:&quot;&quot;,&quot;non-dropping-particle&quot;:&quot;&quot;},{&quot;family&quot;:&quot;Segata&quot;,&quot;given&quot;:&quot;Nicola&quot;,&quot;parse-names&quot;:false,&quot;dropping-particle&quot;:&quot;&quot;,&quot;non-dropping-particle&quot;:&quot;&quot;},{&quot;family&quot;:&quot;Zolnik&quot;,&quot;given&quot;:&quot;Christine P.&quot;,&quot;parse-names&quot;:false,&quot;dropping-particle&quot;:&quot;&quot;,&quot;non-dropping-particle&quot;:&quot;&quot;},{&quot;family&quot;:&quot;Usyk&quot;,&quot;given&quot;:&quot;Mykhaylo&quot;,&quot;parse-names&quot;:false,&quot;dropping-particle&quot;:&quot;&quot;,&quot;non-dropping-particle&quot;:&quot;&quot;},{&quot;family&quot;:&quot;Moody&quot;,&quot;given&quot;:&quot;Thomas U.&quot;,&quot;parse-names&quot;:false,&quot;dropping-particle&quot;:&quot;&quot;,&quot;non-dropping-particle&quot;:&quot;&quot;},{&quot;family&quot;:&quot;Thorpe&quot;,&quot;given&quot;:&quot;Lorna&quot;,&quot;parse-names&quot;:false,&quot;dropping-particle&quot;:&quot;&quot;,&quot;non-dropping-particle&quot;:&quot;&quot;},{&quot;family&quot;:&quot;Burk&quot;,&quot;given&quot;:&quot;Robert&quot;,&quot;parse-names&quot;:false,&quot;dropping-particle&quot;:&quot;&quot;,&quot;non-dropping-particle&quot;:&quot;&quot;},{&quot;family&quot;:&quot;Waldron&quot;,&quot;given&quot;:&quot;Levi&quot;,&quot;parse-names&quot;:false,&quot;dropping-particle&quot;:&quot;&quot;,&quot;non-dropping-particle&quot;:&quot;&quot;},{&quot;family&quot;:&quot;Dowd&quot;,&quot;given&quot;:&quot;Jennifer B.&quot;,&quot;parse-names&quot;:false,&quot;dropping-particle&quot;:&quot;&quot;,&quot;non-dropping-particle&quot;:&quot;&quot;}],&quot;container-title&quot;:&quot;Annals of Epidemiology&quot;,&quot;container-title-short&quot;:&quot;Ann Epidemiol&quot;,&quot;DOI&quot;:&quot;10.1016/j.annepidem.2019.03.006&quot;,&quot;ISSN&quot;:&quot;18732585&quot;,&quot;PMID&quot;:&quot;31151886&quot;,&quot;URL&quot;:&quot;https://doi.org/10.1016/j.annepidem.2019.03.006&quot;,&quot;issued&quot;:{&quot;date-parts&quot;:[[2019]]},&quot;page&quot;:&quot;73-80.e2&quot;,&quot;abstract&quot;:&quot;Purpose: Variations in the oral microbiome are potentially implicated in social inequalities in oral disease, cancers, and metabolic disease. We describe sociodemographic variation of oral microbiomes in a diverse sample. Methods: We performed 16S rRNA sequencing on mouthwash specimens in a subsample (n = 282) of the 2013–2014 population-based New York City Health and Nutrition Examination Study. We examined differential abundance of 216 operational taxonomic units, and alpha and beta diversity by age, sex, income, education, nativity, and race/ethnicity. For comparison, we examined differential abundance by diet, smoking status, and oral health behaviors. Results: Sixty-nine operational taxonomic units were differentially abundant by any sociodemographic variable (false discovery rate &lt; 0.01), including 27 by race/ethnicity, 21 by family income, 19 by education, 3 by sex. We found 49 differentially abundant by smoking status, 23 by diet, 12 by oral health behaviors. Genera differing for multiple sociodemographic characteristics included Lactobacillus, Prevotella, Porphyromonas, Fusobacterium. Conclusions: We identified oral microbiome variation consistent with health inequalities, more taxa differing by race/ethnicity than diet, and more by SES variables than oral health behaviors. Investigation is warranted into possible mediating effects of the oral microbiome in social disparities in oral and metabolic diseases and cancers.&quot;,&quot;publisher&quot;:&quot;Elsevier Inc&quot;,&quot;volume&quot;:&quot;35&quot;},&quot;isTemporary&quot;:false}],&quot;citationTag&quot;:&quot;MENDELEY_CITATION_v3_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&quot;},{&quot;citationID&quot;:&quot;MENDELEY_CITATION_bc13282e-ac2a-406f-bc7e-8f583281c395&quot;,&quot;properties&quot;:{&quot;noteIndex&quot;:0},&quot;isEdited&quot;:false,&quot;manualOverride&quot;:{&quot;isManuallyOverridden&quot;:false,&quot;citeprocText&quot;:&quot;&lt;sup&gt;3&lt;/sup&gt;&quot;,&quot;manualOverrideText&quot;:&quot;&quot;},&quot;citationItems&quot;:[{&quot;id&quot;:&quot;98cf8fb2-910b-3610-928e-74c195bf55ab&quot;,&quot;itemData&quot;:{&quot;type&quot;:&quot;article-journal&quot;,&quot;id&quot;:&quot;98cf8fb2-910b-3610-928e-74c195bf55ab&quot;,&quot;title&quot;:&quot;Assessing the variation within the oral microbiome of healthy adults&quot;,&quot;author&quot;:[{&quot;family&quot;:&quot;Nearing&quot;,&quot;given&quot;:&quot;Jacob T.&quot;,&quot;parse-names&quot;:false,&quot;dropping-particle&quot;:&quot;&quot;,&quot;non-dropping-particle&quot;:&quot;&quot;},{&quot;family&quot;:&quot;DeClercq&quot;,&quot;given&quot;:&quot;Vanessa&quot;,&quot;parse-names&quot;:false,&quot;dropping-particle&quot;:&quot;&quot;,&quot;non-dropping-particle&quot;:&quot;&quot;},{&quot;family&quot;:&quot;Limbergen&quot;,&quot;given&quot;:&quot;Johan&quot;,&quot;parse-names&quot;:false,&quot;dropping-particle&quot;:&quot;Van&quot;,&quot;non-dropping-particle&quot;:&quot;&quot;},{&quot;family&quot;:&quot;Langille&quot;,&quot;given&quot;:&quot;Morgan G.I.&quot;,&quot;parse-names&quot;:false,&quot;dropping-particle&quot;:&quot;&quot;,&quot;non-dropping-particle&quot;:&quot;&quot;}],&quot;container-title&quot;:&quot;mSphere&quot;,&quot;container-title-short&quot;:&quot;mSphere&quot;,&quot;DOI&quot;:&quot;10.18372/0370-2197.86.14492&quot;,&quot;ISSN&quot;:&quot;0370-2197&quot;,&quot;issued&quot;:{&quot;date-parts&quot;:[[2020]]},&quot;page&quot;:&quot;1-20&quot;,&quot;abstract&quot;:&quot;Over 1000 different species of microbes have been found to live within the human oral cavity where they play important roles in maintaining both oral and systemic health. Several studies have identified the core members of this microbial community, however, the factors that determine oral microbiome composition are not well understood. In this study we exam the salivary oral microbiome of 1049 Atlantic Canadians using 16S rRNA gene sequencing in order to determine which dietary, lifestyle, and anthropometric features play a role in shaping microbial community composition. Features that were identified as being significantly associated with overall composition were then additionally examined for genera and amplicon sequence variants that were associated with these features. Several associations were replicated in an additional secondary validation dataset. Overall, we found that several anthropometric measurements including waist hip ratio, height, and fat free mass, as well as age and sex, were associated with oral microbiome composition in both our exploratory and validation cohorts. We were unable to validate dietary impacts on the oral microbiome but did find evidence to suggest potential contributions from factors such as the number of vegetable and refined grain servings an individual consumes. Interestingly, each one of these factors on their own were associated with only minor shifts in the oral microbiome suggesting that future biomarker identification for several diseases associated with the oral microbiome may be undertaken without the worry of confounding factors obscuring biological signal. Importance: The human oral cavity is inhabited by a diverse community of microbes known as the human oral microbiome. These microbes play a role in maintaining both oral and systemic health and as such have been proposed to be useful biomarkers of disease. However, to identify these biomarkers, we first need to determine the composition and variation of the healthy oral microbiome. Within this report we investigate the oral microbiome of 1049 healthy individuals to determine which genera and amplicon sequence variants are commonly found between individual oral microbiomes. We then further investigate how lifestyle, anthropometric, and dietary choices impact overall microbiome composition. Interestingly, the results from this investigation showed that while many features were significantly associated with oral microbiome composition no single biological factor explained a variation larger than 2%. These results indicate that future work on biomarker detection may be encourage by the lack of strong confounding factors.&quot;,&quot;issue&quot;:&quot;September&quot;},&quot;isTemporary&quot;:false}],&quot;citationTag&quot;:&quot;MENDELEY_CITATION_v3_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&quot;},{&quot;citationID&quot;:&quot;MENDELEY_CITATION_e8b0e4b1-c0cf-464f-acf6-277a74c76195&quot;,&quot;properties&quot;:{&quot;noteIndex&quot;:0},&quot;isEdited&quot;:false,&quot;manualOverride&quot;:{&quot;isManuallyOverridden&quot;:false,&quot;citeprocText&quot;:&quot;&lt;sup&gt;12&lt;/sup&gt;&quot;,&quot;manualOverrideText&quot;:&quot;&quot;},&quot;citationItems&quot;:[{&quot;id&quot;:&quot;d8b79983-da5a-36ff-a5f0-6d2490bc1cd9&quot;,&quot;itemData&quot;:{&quot;type&quot;:&quot;article-journal&quot;,&quot;id&quot;:&quot;d8b79983-da5a-36ff-a5f0-6d2490bc1cd9&quot;,&quot;title&quot;:&quot;Deep Sequencing Identifies Ethnicity-Specific Bacterial Signatures in the Oral Microbiome&quot;,&quot;author&quot;:[{&quot;family&quot;:&quot;Mason&quot;,&quot;given&quot;:&quot;Matthew R.&quot;,&quot;parse-names&quot;:false,&quot;dropping-particle&quot;:&quot;&quot;,&quot;non-dropping-particle&quot;:&quot;&quot;},{&quot;family&quot;:&quot;Nagaraja&quot;,&quot;given&quot;:&quot;Haikady N.&quot;,&quot;parse-names&quot;:false,&quot;dropping-particle&quot;:&quot;&quot;,&quot;non-dropping-particle&quot;:&quot;&quot;},{&quot;family&quot;:&quot;Camerlengo&quot;,&quot;given&quot;:&quot;Terry&quot;,&quot;parse-names&quot;:false,&quot;dropping-particle&quot;:&quot;&quot;,&quot;non-dropping-particle&quot;:&quot;&quot;},{&quot;family&quot;:&quot;Joshi&quot;,&quot;given&quot;:&quot;Vinayak&quot;,&quot;parse-names&quot;:false,&quot;dropping-particle&quot;:&quot;&quot;,&quot;non-dropping-particle&quot;:&quot;&quot;},{&quot;family&quot;:&quot;Kumar&quot;,&quot;given&quot;:&quot;Purnima S.&quot;,&quot;parse-names&quot;:false,&quot;dropping-particle&quot;:&quot;&quot;,&quot;non-dropping-particle&quot;:&quot;&quot;}],&quot;container-title&quot;:&quot;PLoS ONE&quot;,&quot;container-title-short&quot;:&quot;PLoS One&quot;,&quot;DOI&quot;:&quot;10.1371/journal.pone.0077287&quot;,&quot;ISSN&quot;:&quot;19326203&quot;,&quot;PMID&quot;:&quot;24194878&quot;,&quot;issued&quot;:{&quot;date-parts&quot;:[[2013,10,23]]},&quot;abstract&quot;:&quot;Oral infections have a strong ethnic predilection; suggesting that ethnicity is a critical determinant of oral microbial colonization. Dental plaque and saliva samples from 192 subjects belonging to four major ethnicities in the United States were analyzed using terminal restriction fragment length polymorphism (t-RFLP) and 16S pyrosequencing. Ethnicity-specific clustering of microbial communities was apparent in saliva and subgingival biofilms, and a machine-learning classifier was capable of identifying an individual's ethnicity from subgingival microbial signatures. The classifier identified African Americans with a 100% sensitivity and 74% specificity and Caucasians with a 50% sensitivity and 91% specificity. The data demonstrates a significant association between ethnic affiliation and the composition of the oral microbiome; to the extent that these microbial signatures appear to be capable of discriminating between ethnicities. © 2013 Mason et al.&quot;,&quot;publisher&quot;:&quot;Public Library of Science&quot;,&quot;issue&quot;:&quot;10&quot;,&quot;volume&quot;:&quot;8&quot;},&quot;isTemporary&quot;:false}],&quot;citationTag&quot;:&quot;MENDELEY_CITATION_v3_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&quot;},{&quot;citationID&quot;:&quot;MENDELEY_CITATION_0ffaa052-9fb1-4326-be64-435957acb3b8&quot;,&quot;properties&quot;:{&quot;noteIndex&quot;:0},&quot;isEdited&quot;:false,&quot;manualOverride&quot;:{&quot;isManuallyOverridden&quot;:false,&quot;citeprocText&quot;:&quot;&lt;sup&gt;13&lt;/sup&gt;&quot;,&quot;manualOverrideText&quot;:&quot;&quot;},&quot;citationItems&quot;:[{&quot;id&quot;:&quot;e7421c79-2d54-36cd-9099-44b4e808ad49&quot;,&quot;itemData&quot;:{&quot;type&quot;:&quot;article-journal&quot;,&quot;id&quot;:&quot;e7421c79-2d54-36cd-9099-44b4e808ad49&quot;,&quot;title&quot;:&quot;Gender-specific associations between saliva microbiota and body size&quot;,&quot;author&quot;:[{&quot;family&quot;:&quot;Raju&quot;,&quot;given&quot;:&quot;Sajan C.&quot;,&quot;parse-names&quot;:false,&quot;dropping-particle&quot;:&quot;&quot;,&quot;non-dropping-particle&quot;:&quot;&quot;},{&quot;family&quot;:&quot;Lagström&quot;,&quot;given&quot;:&quot;Sonja&quot;,&quot;parse-names&quot;:false,&quot;dropping-particle&quot;:&quot;&quot;,&quot;non-dropping-particle&quot;:&quot;&quot;},{&quot;family&quot;:&quot;Ellonen&quot;,&quot;given&quot;:&quot;Pekka&quot;,&quot;parse-names&quot;:false,&quot;dropping-particle&quot;:&quot;&quot;,&quot;non-dropping-particle&quot;:&quot;&quot;},{&quot;family&quot;:&quot;Vos&quot;,&quot;given&quot;:&quot;Willem M.&quot;,&quot;parse-names&quot;:false,&quot;dropping-particle&quot;:&quot;&quot;,&quot;non-dropping-particle&quot;:&quot;De&quot;},{&quot;family&quot;:&quot;Eriksson&quot;,&quot;given&quot;:&quot;Johan G.&quot;,&quot;parse-names&quot;:false,&quot;dropping-particle&quot;:&quot;&quot;,&quot;non-dropping-particle&quot;:&quot;&quot;},{&quot;family&quot;:&quot;Weiderpass&quot;,&quot;given&quot;:&quot;Elisabete&quot;,&quot;parse-names&quot;:false,&quot;dropping-particle&quot;:&quot;&quot;,&quot;non-dropping-particle&quot;:&quot;&quot;},{&quot;family&quot;:&quot;Rounge&quot;,&quot;given&quot;:&quot;Trine B.&quot;,&quot;parse-names&quot;:false,&quot;dropping-particle&quot;:&quot;&quot;,&quot;non-dropping-particle&quot;:&quot;&quot;}],&quot;container-title&quot;:&quot;Frontiers in Microbiology&quot;,&quot;container-title-short&quot;:&quot;Front Microbiol&quot;,&quot;DOI&quot;:&quot;10.3389/fmicb.2019.00767&quot;,&quot;ISSN&quot;:&quot;1664302X&quot;,&quot;issued&quot;:{&quot;date-parts&quot;:[[2019]]},&quot;abstract&quot;:&quot;Objective: The human intestinal microbiota likely play an important role in the development of overweight and obesity. However, the associations between saliva microbiota and body mass index (BMI) have been sparsely studied. The aim of this study was to identify the associations between saliva microbiota and body size in Finnish children. Methods: The saliva microbiota of 900 Finnish children, aged 11-14 years with measured height and weight, was characterized using 16S rRNA (V3-V4) sequencing. Results: The core saliva microbiota consisted of 14 genera that were present in more than 95% of the Finnish children. The saliva microbiota profiles were gender-specific with higher alpha-diversity in boys than girls and significant differences between the genders in community composition and abundances. Alpha-diversity differed between normal weight and overweight girls and between normal weight and obese boys. The composition was dissimilar between normal weight and obese girls, but not in boys. The relative abundance profiles differed according to body size. Decrease in commensal saliva bacteria were observed in all the body sizes when compared to normal weight children. Notably, the relative abundance of bacteria related to, Veillonella, Prevotella, Selenomonas, and Streptococcus was reduced in obese children. Conclusion: Saliva microbiota diversity and composition were significantly associated with body size and gender in Finnish children. Body size-specific saliva microbiota profiles open new avenues for studying the potential roles of microbiota in weight development and management.&quot;,&quot;publisher&quot;:&quot;Frontiers Media S.A.&quot;,&quot;issue&quot;:&quot;APR&quot;,&quot;volume&quot;:&quot;10&quot;},&quot;isTemporary&quot;:false}],&quot;citationTag&quot;:&quot;MENDELEY_CITATION_v3_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&quot;},{&quot;citationID&quot;:&quot;MENDELEY_CITATION_de008658-29da-44e9-84bf-835780661fdc&quot;,&quot;properties&quot;:{&quot;noteIndex&quot;:0},&quot;isEdited&quot;:false,&quot;manualOverride&quot;:{&quot;isManuallyOverridden&quot;:false,&quot;citeprocText&quot;:&quot;&lt;sup&gt;14&lt;/sup&gt;&quot;,&quot;manualOverrideText&quot;:&quot;&quot;},&quot;citationItems&quot;:[{&quot;id&quot;:&quot;3272d957-a0ee-3181-91e0-acbbe1f81ed4&quot;,&quot;itemData&quot;:{&quot;type&quot;:&quot;article-journal&quot;,&quot;id&quot;:&quot;3272d957-a0ee-3181-91e0-acbbe1f81ed4&quot;,&quot;title&quot;:&quot;Microbiota in the oral cavity of school-age children with HIV who started antiretroviral therapy at young ages in South Africa&quot;,&quot;author&quot;:[{&quot;family&quot;:&quot;Kuhn&quot;,&quot;given&quot;:&quot;Louise&quot;,&quot;parse-names&quot;:false,&quot;dropping-particle&quot;:&quot;&quot;,&quot;non-dropping-particle&quot;:&quot;&quot;},{&quot;family&quot;:&quot;Wang&quot;,&quot;given&quot;:&quot;Tian&quot;,&quot;parse-names&quot;:false,&quot;dropping-particle&quot;:&quot;&quot;,&quot;non-dropping-particle&quot;:&quot;&quot;},{&quot;family&quot;:&quot;Li&quot;,&quot;given&quot;:&quot;Fan&quot;,&quot;parse-names&quot;:false,&quot;dropping-particle&quot;:&quot;&quot;,&quot;non-dropping-particle&quot;:&quot;&quot;},{&quot;family&quot;:&quot;Strehlau&quot;,&quot;given&quot;:&quot;Renate&quot;,&quot;parse-names&quot;:false,&quot;dropping-particle&quot;:&quot;&quot;,&quot;non-dropping-particle&quot;:&quot;&quot;},{&quot;family&quot;:&quot;Tobin&quot;,&quot;given&quot;:&quot;Nicole H.&quot;,&quot;parse-names&quot;:false,&quot;dropping-particle&quot;:&quot;&quot;,&quot;non-dropping-particle&quot;:&quot;&quot;},{&quot;family&quot;:&quot;Violari&quot;,&quot;given&quot;:&quot;Avy&quot;,&quot;parse-names&quot;:false,&quot;dropping-particle&quot;:&quot;&quot;,&quot;non-dropping-particle&quot;:&quot;&quot;},{&quot;family&quot;:&quot;Brooker&quot;,&quot;given&quot;:&quot;Sarah&quot;,&quot;parse-names&quot;:false,&quot;dropping-particle&quot;:&quot;&quot;,&quot;non-dropping-particle&quot;:&quot;&quot;},{&quot;family&quot;:&quot;Patel&quot;,&quot;given&quot;:&quot;Faeezah&quot;,&quot;parse-names&quot;:false,&quot;dropping-particle&quot;:&quot;&quot;,&quot;non-dropping-particle&quot;:&quot;&quot;},{&quot;family&quot;:&quot;Liberty&quot;,&quot;given&quot;:&quot;Afaaf&quot;,&quot;parse-names&quot;:false,&quot;dropping-particle&quot;:&quot;&quot;,&quot;non-dropping-particle&quot;:&quot;&quot;},{&quot;family&quot;:&quot;Shiau&quot;,&quot;given&quot;:&quot;Stephanie&quot;,&quot;parse-names&quot;:false,&quot;dropping-particle&quot;:&quot;&quot;,&quot;non-dropping-particle&quot;:&quot;&quot;},{&quot;family&quot;:&quot;Arpadi&quot;,&quot;given&quot;:&quot;Stephen M.&quot;,&quot;parse-names&quot;:false,&quot;dropping-particle&quot;:&quot;&quot;,&quot;non-dropping-particle&quot;:&quot;&quot;},{&quot;family&quot;:&quot;Wadhwa&quot;,&quot;given&quot;:&quot;Sunil&quot;,&quot;parse-names&quot;:false,&quot;dropping-particle&quot;:&quot;&quot;,&quot;non-dropping-particle&quot;:&quot;&quot;},{&quot;family&quot;:&quot;Yin&quot;,&quot;given&quot;:&quot;Michael T.&quot;,&quot;parse-names&quot;:false,&quot;dropping-particle&quot;:&quot;&quot;,&quot;non-dropping-particle&quot;:&quot;&quot;},{&quot;family&quot;:&quot;Wang&quot;,&quot;given&quot;:&quot;Shuang&quot;,&quot;parse-names&quot;:false,&quot;dropping-particle&quot;:&quot;&quot;,&quot;non-dropping-particle&quot;:&quot;&quot;},{&quot;family&quot;:&quot;Tiemessen&quot;,&quot;given&quot;:&quot;Caroline T.&quot;,&quot;parse-names&quot;:false,&quot;dropping-particle&quot;:&quot;&quot;,&quot;non-dropping-particle&quot;:&quot;&quot;},{&quot;family&quot;:&quot;Aldrovandi&quot;,&quot;given&quot;:&quot;Grace M.&quot;,&quot;parse-names&quot;:false,&quot;dropping-particle&quot;:&quot;&quot;,&quot;non-dropping-particle&quot;:&quot;&quot;}],&quot;container-title&quot;:&quot;AIDS&quot;,&quot;DOI&quot;:&quot;10.1097/QAD.0000000000003599&quot;,&quot;ISSN&quot;:&quot;14735571&quot;,&quot;PMID&quot;:&quot;37199568&quot;,&quot;issued&quot;:{&quot;date-parts&quot;:[[2023,8,1]]},&quot;page&quot;:&quot;1583-1591&quot;,&quot;abstract&quot;:&quot;Background:Infancy is an important developmental period when the microbiome is shaped. We hypothesized that earlier antiretroviral therapy (ART) initiation would attenuate HIV effects on microbiota in the mouth.Methods:Oral swabs were collected from 477 children with HIV (CWH) and 123 children without (controls) at two sites in Johannesburg, South Africa. CWH had started ART less than 3 years of age; 63% less than 6 months of age. Most were well controlled on ART at median age 11 years when the swab was collected. Controls were age-matched and recruited from the same communities. Sequencing of V4 amplicon of 16S rRNA was done. Differences in microbial diversity and relative abundances of taxa were compared between the groups.Results:CWH had lower alpha diversity than controls. Genus-level abundances of Granulicatella, Streptococcus, and Gemella were greater and Neisseria and Haemophilus less abundant among CWH than controls. Associations were stronger among boys. Associations were not attenuated with earlier ART initiation. Shifts in genus-level taxa abundances in CWH relative to controls were most marked in children on lopinavir/ritonavir regimens, with fewer shifts seen if on efavirenz ART regimens.Conclusion:A distinct profile of less diverse oral bacterial taxa was observed in school-aged CWH on ART compared with uninfected controls suggesting modulation of microbiota in the mouth by HIV and/or its treatments. Earlier ART initiation was not associated with microbiota profile. Proximal factors, including current ART regimen, were associated with contemporaneous profile of oral microbiota and may have masked associations with distal factors such as age at ART initiation.&quot;,&quot;publisher&quot;:&quot;Lippincott Williams and Wilkins&quot;,&quot;issue&quot;:&quot;10&quot;,&quot;volume&quot;:&quot;37&quot;,&quot;container-title-short&quot;:&quot;&quot;},&quot;isTemporary&quot;:false}],&quot;citationTag&quot;:&quot;MENDELEY_CITATION_v3_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&quot;},{&quot;citationID&quot;:&quot;MENDELEY_CITATION_ad1b2ea5-e120-4c46-8ee0-4128f20fa5db&quot;,&quot;properties&quot;:{&quot;noteIndex&quot;:0},&quot;isEdited&quot;:false,&quot;manualOverride&quot;:{&quot;isManuallyOverridden&quot;:false,&quot;citeprocText&quot;:&quot;&lt;sup&gt;8&lt;/sup&gt;&quot;,&quot;manualOverrideText&quot;:&quot;&quot;},&quot;citationItems&quot;:[{&quot;id&quot;:&quot;65b3736c-c7b7-34f8-bd7e-9808e227a7eb&quot;,&quot;itemData&quot;:{&quot;type&quot;:&quot;article-journal&quot;,&quot;id&quot;:&quot;65b3736c-c7b7-34f8-bd7e-9808e227a7eb&quot;,&quot;title&quot;:&quot;Host and environmental factors shape upper airway microbiota and respiratory health across the human lifespan&quot;,&quot;author&quot;:[{&quot;family&quot;:&quot;Odendaal&quot;,&quot;given&quot;:&quot;Mari Lee&quot;,&quot;parse-names&quot;:false,&quot;dropping-particle&quot;:&quot;&quot;,&quot;non-dropping-particle&quot;:&quot;&quot;},{&quot;family&quot;:&quot;Steenhuijsen Piters&quot;,&quot;given&quot;:&quot;Wouter A.A.&quot;,&quot;parse-names&quot;:false,&quot;dropping-particle&quot;:&quot;&quot;,&quot;non-dropping-particle&quot;:&quot;de&quot;},{&quot;family&quot;:&quot;Franz&quot;,&quot;given&quot;:&quot;Eelco&quot;,&quot;parse-names&quot;:false,&quot;dropping-particle&quot;:&quot;&quot;,&quot;non-dropping-particle&quot;:&quot;&quot;},{&quot;family&quot;:&quot;Chu&quot;,&quot;given&quot;:&quot;Mei Ling J.N.&quot;,&quot;parse-names&quot;:false,&quot;dropping-particle&quot;:&quot;&quot;,&quot;non-dropping-particle&quot;:&quot;&quot;},{&quot;family&quot;:&quot;Groot&quot;,&quot;given&quot;:&quot;James A.&quot;,&quot;parse-names&quot;:false,&quot;dropping-particle&quot;:&quot;&quot;,&quot;non-dropping-particle&quot;:&quot;&quot;},{&quot;family&quot;:&quot;Logchem&quot;,&quot;given&quot;:&quot;Elske M.&quot;,&quot;parse-names&quot;:false,&quot;dropping-particle&quot;:&quot;&quot;,&quot;non-dropping-particle&quot;:&quot;van&quot;},{&quot;family&quot;:&quot;Hasrat&quot;,&quot;given&quot;:&quot;Raiza&quot;,&quot;parse-names&quot;:false,&quot;dropping-particle&quot;:&quot;&quot;,&quot;non-dropping-particle&quot;:&quot;&quot;},{&quot;family&quot;:&quot;Kuiling&quot;,&quot;given&quot;:&quot;Sjoerd&quot;,&quot;parse-names&quot;:false,&quot;dropping-particle&quot;:&quot;&quot;,&quot;non-dropping-particle&quot;:&quot;&quot;},{&quot;family&quot;:&quot;Pijnacker&quot;,&quot;given&quot;:&quot;Roan&quot;,&quot;parse-names&quot;:false,&quot;dropping-particle&quot;:&quot;&quot;,&quot;non-dropping-particle&quot;:&quot;&quot;},{&quot;family&quot;:&quot;Mariman&quot;,&quot;given&quot;:&quot;Rob&quot;,&quot;parse-names&quot;:false,&quot;dropping-particle&quot;:&quot;&quot;,&quot;non-dropping-particle&quot;:&quot;&quot;},{&quot;family&quot;:&quot;Trzciński&quot;,&quot;given&quot;:&quot;Krzysztof&quot;,&quot;parse-names&quot;:false,&quot;dropping-particle&quot;:&quot;&quot;,&quot;non-dropping-particle&quot;:&quot;&quot;},{&quot;family&quot;:&quot;Klis&quot;,&quot;given&quot;:&quot;Fiona R.M.&quot;,&quot;parse-names&quot;:false,&quot;dropping-particle&quot;:&quot;&quot;,&quot;non-dropping-particle&quot;:&quot;van der&quot;},{&quot;family&quot;:&quot;Sanders&quot;,&quot;given&quot;:&quot;Elisabeth A.M.&quot;,&quot;parse-names&quot;:false,&quot;dropping-particle&quot;:&quot;&quot;,&quot;non-dropping-particle&quot;:&quot;&quot;},{&quot;family&quot;:&quot;Smit&quot;,&quot;given&quot;:&quot;Lidwien A.M.&quot;,&quot;parse-names&quot;:false,&quot;dropping-particle&quot;:&quot;&quot;,&quot;non-dropping-particle&quot;:&quot;&quot;},{&quot;family&quot;:&quot;Bogaert&quot;,&quot;given&quot;:&quot;Debby&quot;,&quot;parse-names&quot;:false,&quot;dropping-particle&quot;:&quot;&quot;,&quot;non-dropping-particle&quot;:&quot;&quot;},{&quot;family&quot;:&quot;Bosch&quot;,&quot;given&quot;:&quot;Thijs&quot;,&quot;parse-names&quot;:false,&quot;dropping-particle&quot;:&quot;&quot;,&quot;non-dropping-particle&quot;:&quot;&quot;}],&quot;container-title&quot;:&quot;Cell&quot;,&quot;container-title-short&quot;:&quot;Cell&quot;,&quot;DOI&quot;:&quot;10.1016/j.cell.2024.07.008&quot;,&quot;ISSN&quot;:&quot;10974172&quot;,&quot;PMID&quot;:&quot;39094567&quot;,&quot;issued&quot;:{&quot;date-parts&quot;:[[2024,8,22]]},&quot;page&quot;:&quot;4571-4585.e15&quot;,&quot;abstract&quot;:&quot;Our understanding of the normal variation in the upper respiratory tract (URT) microbiota across the human lifespan and how these relate to host, environment, and health is limited. We studied the microbiota of 3,104 saliva (&lt;10 year-olds)/oropharynx (≥10 year-olds) and 2,485 nasopharynx samples of 3,160 Dutch individuals 0–87 years of age, participating in a cross-sectional population-wide study (PIENTER-3) using 16S-rRNA sequencing. The microbiota composition was strongly related to age, especially in the nasopharynx, with maturation occurring throughout childhood and adolescence. Clear niche- and age-specific associations were found between the microbiota composition and host/environmental factors and health outcomes. Among others, social interaction, sex, and season were associated with the nasopharyngeal microbial community. By contrast, the oral microbiota was more related to antibiotics, tobacco, and alcohol use. We present an atlas of the URT microbiota across the lifespan in association with environment and health, establishing a baseline for future research.&quot;,&quot;publisher&quot;:&quot;Elsevier B.V.&quot;,&quot;issue&quot;:&quot;17&quot;,&quot;volume&quot;:&quot;187&quot;},&quot;isTemporary&quot;:false}],&quot;citationTag&quot;:&quot;MENDELEY_CITATION_v3_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&quot;},{&quot;citationID&quot;:&quot;MENDELEY_CITATION_2f31d5b7-cc2b-4dca-99cc-f44a1ac8ae66&quot;,&quot;properties&quot;:{&quot;noteIndex&quot;:0},&quot;isEdited&quot;:false,&quot;manualOverride&quot;:{&quot;isManuallyOverridden&quot;:false,&quot;citeprocText&quot;:&quot;&lt;sup&gt;15,16&lt;/sup&gt;&quot;,&quot;manualOverrideText&quot;:&quot;&quot;},&quot;citationItems&quot;:[{&quot;id&quot;:&quot;68aaeb53-67e4-37e7-9c14-228436931834&quot;,&quot;itemData&quot;:{&quot;type&quot;:&quot;article-journal&quot;,&quot;id&quot;:&quot;68aaeb53-67e4-37e7-9c14-228436931834&quot;,&quot;title&quot;:&quot;Large-scale metagenomic analysis of oral microbiomes reveals markers for autism spectrum disorders&quot;,&quot;author&quot;:[{&quot;family&quot;:&quot;Manghi&quot;,&quot;given&quot;:&quot;Paolo&quot;,&quot;parse-names&quot;:false,&quot;dropping-particle&quot;:&quot;&quot;,&quot;non-dropping-particle&quot;:&quot;&quot;},{&quot;family&quot;:&quot;Filosi&quot;,&quot;given&quot;:&quot;Michele&quot;,&quot;parse-names&quot;:false,&quot;dropping-particle&quot;:&quot;&quot;,&quot;non-dropping-particle&quot;:&quot;&quot;},{&quot;family&quot;:&quot;Zolfo&quot;,&quot;given&quot;:&quot;Moreno&quot;,&quot;parse-names&quot;:false,&quot;dropping-particle&quot;:&quot;&quot;,&quot;non-dropping-particle&quot;:&quot;&quot;},{&quot;family&quot;:&quot;Casten&quot;,&quot;given&quot;:&quot;Lucas G.&quot;,&quot;parse-names&quot;:false,&quot;dropping-particle&quot;:&quot;&quot;,&quot;non-dropping-particle&quot;:&quot;&quot;},{&quot;family&quot;:&quot;Garcia-Valiente&quot;,&quot;given&quot;:&quot;Albert&quot;,&quot;parse-names&quot;:false,&quot;dropping-particle&quot;:&quot;&quot;,&quot;non-dropping-particle&quot;:&quot;&quot;},{&quot;family&quot;:&quot;Mattevi&quot;,&quot;given&quot;:&quot;Stefania&quot;,&quot;parse-names&quot;:false,&quot;dropping-particle&quot;:&quot;&quot;,&quot;non-dropping-particle&quot;:&quot;&quot;},{&quot;family&quot;:&quot;Heidrich&quot;,&quot;given&quot;:&quot;Vitor&quot;,&quot;parse-names&quot;:false,&quot;dropping-particle&quot;:&quot;&quot;,&quot;non-dropping-particle&quot;:&quot;&quot;},{&quot;family&quot;:&quot;Golzato&quot;,&quot;given&quot;:&quot;Davide&quot;,&quot;parse-names&quot;:false,&quot;dropping-particle&quot;:&quot;&quot;,&quot;non-dropping-particle&quot;:&quot;&quot;},{&quot;family&quot;:&quot;Perini&quot;,&quot;given&quot;:&quot;Samuel&quot;,&quot;parse-names&quot;:false,&quot;dropping-particle&quot;:&quot;&quot;,&quot;non-dropping-particle&quot;:&quot;&quot;},{&quot;family&quot;:&quot;Thomas&quot;,&quot;given&quot;:&quot;Andrew M.&quot;,&quot;parse-names&quot;:false,&quot;dropping-particle&quot;:&quot;&quot;,&quot;non-dropping-particle&quot;:&quot;&quot;},{&quot;family&quot;:&quot;Montalbano&quot;,&quot;given&quot;:&quot;Simone&quot;,&quot;parse-names&quot;:false,&quot;dropping-particle&quot;:&quot;&quot;,&quot;non-dropping-particle&quot;:&quot;&quot;},{&quot;family&quot;:&quot;Cancellieri&quot;,&quot;given&quot;:&quot;Samuele&quot;,&quot;parse-names&quot;:false,&quot;dropping-particle&quot;:&quot;&quot;,&quot;non-dropping-particle&quot;:&quot;&quot;},{&quot;family&quot;:&quot;Waldron&quot;,&quot;given&quot;:&quot;Levi&quot;,&quot;parse-names&quot;:false,&quot;dropping-particle&quot;:&quot;&quot;,&quot;non-dropping-particle&quot;:&quot;&quot;},{&quot;family&quot;:&quot;Hall&quot;,&quot;given&quot;:&quot;Jacob B.&quot;,&quot;parse-names&quot;:false,&quot;dropping-particle&quot;:&quot;&quot;,&quot;non-dropping-particle&quot;:&quot;&quot;},{&quot;family&quot;:&quot;Xu&quot;,&quot;given&quot;:&quot;Simon&quot;,&quot;parse-names&quot;:false,&quot;dropping-particle&quot;:&quot;&quot;,&quot;non-dropping-particle&quot;:&quot;&quot;},{&quot;family&quot;:&quot;Volfovsky&quot;,&quot;given&quot;:&quot;Natalia&quot;,&quot;parse-names&quot;:false,&quot;dropping-particle&quot;:&quot;&quot;,&quot;non-dropping-particle&quot;:&quot;&quot;},{&quot;family&quot;:&quot;Green Snyder&quot;,&quot;given&quot;:&quot;Lee Anne&quot;,&quot;parse-names&quot;:false,&quot;dropping-particle&quot;:&quot;&quot;,&quot;non-dropping-particle&quot;:&quot;&quot;},{&quot;family&quot;:&quot;Feliciano&quot;,&quot;given&quot;:&quot;Pamela&quot;,&quot;parse-names&quot;:false,&quot;dropping-particle&quot;:&quot;&quot;,&quot;non-dropping-particle&quot;:&quot;&quot;},{&quot;family&quot;:&quot;Asnicar&quot;,&quot;given&quot;:&quot;Francesco&quot;,&quot;parse-names&quot;:false,&quot;dropping-particle&quot;:&quot;&quot;,&quot;non-dropping-particle&quot;:&quot;&quot;},{&quot;family&quot;:&quot;Valles-Colomer&quot;,&quot;given&quot;:&quot;Mireia&quot;,&quot;parse-names&quot;:false,&quot;dropping-particle&quot;:&quot;&quot;,&quot;non-dropping-particle&quot;:&quot;&quot;},{&quot;family&quot;:&quot;Michaelson&quot;,&quot;given&quot;:&quot;Jacob J.&quot;,&quot;parse-names&quot;:false,&quot;dropping-particle&quot;:&quot;&quot;,&quot;non-dropping-particle&quot;:&quot;&quot;},{&quot;family&quot;:&quot;Segata&quot;,&quot;given&quot;:&quot;Nicola&quot;,&quot;parse-names&quot;:false,&quot;dropping-particle&quot;:&quot;&quot;,&quot;non-dropping-particle&quot;:&quot;&quot;},{&quot;family&quot;:&quot;Domenici&quot;,&quot;given&quot;:&quot;Enrico&quot;,&quot;parse-names&quot;:false,&quot;dropping-particle&quot;:&quot;&quot;,&quot;non-dropping-particle&quot;:&quot;&quot;}],&quot;container-title&quot;:&quot;Nature Communications &quot;,&quot;DOI&quot;:&quot;10.1038/s41467-024-53934-7&quot;,&quot;ISSN&quot;:&quot;20411723&quot;,&quot;PMID&quot;:&quot;39528484&quot;,&quot;issued&quot;:{&quot;date-parts&quot;:[[2024,12,1]]},&quot;abstract&quot;:&quot;The link between the oral microbiome and neurodevelopmental disorders remains a compelling hypothesis, still requiring confirmation in large-scale datasets. Leveraging over 7000 whole-genome sequenced salivary samples from 2025 US families with children diagnosed with autism spectrum disorders (ASD), our cross-sectional study shows that the oral microbiome composition can discriminate ASD subjects from neurotypical siblings (NTs, AUC = 0.66), with 108 differentiating species (q &lt; 0.005). The relative abundance of these species is highly correlated with cognitive impairment as measured by Full-Scale Intelligence Quotient (IQ). ASD children with IQ &lt; 70 also exhibit lower microbiome strain sharing with parents (p &lt; 10−6) with respect to NTs. A two-pronged functional enrichment analysis suggests the contribution of enzymes from the serotonin, GABA, and dopamine degradation pathways to the distinct microbial community compositions observed between ASD and NT samples. Although measures of restrictive eating diet and proxies of oral hygiene show relatively minor effects on the microbiome composition, the observed associations with ASD and IQ may still represent unaccounted-for underlying differences in lifestyle among groups. While causal relationships could not be established, our study provides substantial support to the investigation of oral microbiome biomarkers in ASD.&quot;,&quot;publisher&quot;:&quot;Nature Research&quot;,&quot;issue&quot;:&quot;1&quot;,&quot;volume&quot;:&quot;15&quot;,&quot;container-title-short&quot;:&quot;&quot;},&quot;isTemporary&quot;:false},{&quot;id&quot;:&quot;5accb5a4-69a4-3a62-a261-37e711aa1d1d&quot;,&quot;itemData&quot;:{&quot;type&quot;:&quot;article-journal&quot;,&quot;id&quot;:&quot;5accb5a4-69a4-3a62-a261-37e711aa1d1d&quot;,&quot;title&quot;:&quot;Citizen science charts two major \&quot;stomatotypes\&quot; in the oral microbiome of adolescents and reveals links with habits and drinking water composition&quot;,&quot;author&quot;:[{&quot;family&quot;:&quot;Willis&quot;,&quot;given&quot;:&quot;Jesse R.&quot;,&quot;parse-names&quot;:false,&quot;dropping-particle&quot;:&quot;&quot;,&quot;non-dropping-particle&quot;:&quot;&quot;},{&quot;family&quot;:&quot;González-Torres&quot;,&quot;given&quot;:&quot;Pedro&quot;,&quot;parse-names&quot;:false,&quot;dropping-particle&quot;:&quot;&quot;,&quot;non-dropping-particle&quot;:&quot;&quot;},{&quot;family&quot;:&quot;Pittis&quot;,&quot;given&quot;:&quot;Alexandros A.&quot;,&quot;parse-names&quot;:false,&quot;dropping-particle&quot;:&quot;&quot;,&quot;non-dropping-particle&quot;:&quot;&quot;},{&quot;family&quot;:&quot;Bejarano&quot;,&quot;given&quot;:&quot;Luis A.&quot;,&quot;parse-names&quot;:false,&quot;dropping-particle&quot;:&quot;&quot;,&quot;non-dropping-particle&quot;:&quot;&quot;},{&quot;family&quot;:&quot;Cozzuto&quot;,&quot;given&quot;:&quot;Luca&quot;,&quot;parse-names&quot;:false,&quot;dropping-particle&quot;:&quot;&quot;,&quot;non-dropping-particle&quot;:&quot;&quot;},{&quot;family&quot;:&quot;Andreu-Somavilla&quot;,&quot;given&quot;:&quot;Nuria&quot;,&quot;parse-names&quot;:false,&quot;dropping-particle&quot;:&quot;&quot;,&quot;non-dropping-particle&quot;:&quot;&quot;},{&quot;family&quot;:&quot;Alloza-Trabado&quot;,&quot;given&quot;:&quot;Miriam&quot;,&quot;parse-names&quot;:false,&quot;dropping-particle&quot;:&quot;&quot;,&quot;non-dropping-particle&quot;:&quot;&quot;},{&quot;family&quot;:&quot;Valentín&quot;,&quot;given&quot;:&quot;Antonia&quot;,&quot;parse-names&quot;:false,&quot;dropping-particle&quot;:&quot;&quot;,&quot;non-dropping-particle&quot;:&quot;&quot;},{&quot;family&quot;:&quot;Ksiezopolska&quot;,&quot;given&quot;:&quot;Ewa&quot;,&quot;parse-names&quot;:false,&quot;dropping-particle&quot;:&quot;&quot;,&quot;non-dropping-particle&quot;:&quot;&quot;},{&quot;family&quot;:&quot;Company&quot;,&quot;given&quot;:&quot;Carlos&quot;,&quot;parse-names&quot;:false,&quot;dropping-particle&quot;:&quot;&quot;,&quot;non-dropping-particle&quot;:&quot;&quot;},{&quot;family&quot;:&quot;Onywera&quot;,&quot;given&quot;:&quot;Harris&quot;,&quot;parse-names&quot;:false,&quot;dropping-particle&quot;:&quot;&quot;,&quot;non-dropping-particle&quot;:&quot;&quot;},{&quot;family&quot;:&quot;Montfort&quot;,&quot;given&quot;:&quot;Magda&quot;,&quot;parse-names&quot;:false,&quot;dropping-particle&quot;:&quot;&quot;,&quot;non-dropping-particle&quot;:&quot;&quot;},{&quot;family&quot;:&quot;Hermoso&quot;,&quot;given&quot;:&quot;Antonio&quot;,&quot;parse-names&quot;:false,&quot;dropping-particle&quot;:&quot;&quot;,&quot;non-dropping-particle&quot;:&quot;&quot;},{&quot;family&quot;:&quot;Iraola-Guzmán&quot;,&quot;given&quot;:&quot;Susana&quot;,&quot;parse-names&quot;:false,&quot;dropping-particle&quot;:&quot;&quot;,&quot;non-dropping-particle&quot;:&quot;&quot;},{&quot;family&quot;:&quot;Saus&quot;,&quot;given&quot;:&quot;Ester&quot;,&quot;parse-names&quot;:false,&quot;dropping-particle&quot;:&quot;&quot;,&quot;non-dropping-particle&quot;:&quot;&quot;},{&quot;family&quot;:&quot;Labeeuw&quot;,&quot;given&quot;:&quot;Annick&quot;,&quot;parse-names&quot;:false,&quot;dropping-particle&quot;:&quot;&quot;,&quot;non-dropping-particle&quot;:&quot;&quot;},{&quot;family&quot;:&quot;Carolis&quot;,&quot;given&quot;:&quot;Carlo&quot;,&quot;parse-names&quot;:false,&quot;dropping-particle&quot;:&quot;&quot;,&quot;non-dropping-particle&quot;:&quot;&quot;},{&quot;family&quot;:&quot;Hecht&quot;,&quot;given&quot;:&quot;Jochen&quot;,&quot;parse-names&quot;:false,&quot;dropping-particle&quot;:&quot;&quot;,&quot;non-dropping-particle&quot;:&quot;&quot;},{&quot;family&quot;:&quot;Ponomarenko&quot;,&quot;given&quot;:&quot;Julia&quot;,&quot;parse-names&quot;:false,&quot;dropping-particle&quot;:&quot;&quot;,&quot;non-dropping-particle&quot;:&quot;&quot;},{&quot;family&quot;:&quot;Gabaldón&quot;,&quot;given&quot;:&quot;Toni&quot;,&quot;parse-names&quot;:false,&quot;dropping-particle&quot;:&quot;&quot;,&quot;non-dropping-particle&quot;:&quot;&quot;}],&quot;container-title&quot;:&quot;Microbiome&quot;,&quot;container-title-short&quot;:&quot;Microbiome&quot;,&quot;DOI&quot;:&quot;10.1186/s40168-018-0592-3&quot;,&quot;ISSN&quot;:&quot;20492618&quot;,&quot;PMID&quot;:&quot;30522523&quot;,&quot;issued&quot;:{&quot;date-parts&quot;:[[2018,12,6]]},&quot;abstract&quot;:&quot;Background: The oral cavity comprises a rich and diverse microbiome, which plays important roles in health and disease. Previous studies have mostly focused on adult populations or in very young children, whereas the adolescent oral microbiome remains poorly studied. Here, we used a citizen science approach and 16S profiling to assess the oral microbiome of 1500 adolescents around Spain and its relationships with lifestyle, diet, hygiene, and socioeconomic and environmental parameters. Results: Our results provide a detailed snapshot of the adolescent oral microbiome and how it varies with lifestyle and other factors. In addition to hygiene and dietary habits, we found that the composition of tap water was related to important changes in the abundance of several bacterial genera. This points to an important role of drinking water in shaping the oral microbiota, which has been so far poorly explored. Overall, the microbiome samples of our study can be clustered into two broad compositional patterns (stomatotypes), driven mostly by Neisseria and Prevotella, respectively. These patterns show striking similarities with those found in unrelated populations. Conclusions: We hypothesize that these stomatotypes represent two possible global optimal equilibria in the oral microbiome that reflect underlying constraints of the human oral niche. As such, they should be found across a variety of geographical regions, lifestyles, and ages.&quot;,&quot;publisher&quot;:&quot;BioMed Central Ltd.&quot;,&quot;issue&quot;:&quot;1&quot;,&quot;volume&quot;:&quot;6&quot;},&quot;isTemporary&quot;:false}],&quot;citationTag&quot;:&quot;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&quot;},{&quot;citationID&quot;:&quot;MENDELEY_CITATION_980870c2-0581-4743-918b-eef5017e2323&quot;,&quot;properties&quot;:{&quot;noteIndex&quot;:0},&quot;isEdited&quot;:false,&quot;manualOverride&quot;:{&quot;isManuallyOverridden&quot;:false,&quot;citeprocText&quot;:&quot;&lt;sup&gt;3&lt;/sup&gt;&quot;,&quot;manualOverrideText&quot;:&quot;&quot;},&quot;citationItems&quot;:[{&quot;id&quot;:&quot;98cf8fb2-910b-3610-928e-74c195bf55ab&quot;,&quot;itemData&quot;:{&quot;type&quot;:&quot;article-journal&quot;,&quot;id&quot;:&quot;98cf8fb2-910b-3610-928e-74c195bf55ab&quot;,&quot;title&quot;:&quot;Assessing the variation within the oral microbiome of healthy adults&quot;,&quot;author&quot;:[{&quot;family&quot;:&quot;Nearing&quot;,&quot;given&quot;:&quot;Jacob T.&quot;,&quot;parse-names&quot;:false,&quot;dropping-particle&quot;:&quot;&quot;,&quot;non-dropping-particle&quot;:&quot;&quot;},{&quot;family&quot;:&quot;DeClercq&quot;,&quot;given&quot;:&quot;Vanessa&quot;,&quot;parse-names&quot;:false,&quot;dropping-particle&quot;:&quot;&quot;,&quot;non-dropping-particle&quot;:&quot;&quot;},{&quot;family&quot;:&quot;Limbergen&quot;,&quot;given&quot;:&quot;Johan&quot;,&quot;parse-names&quot;:false,&quot;dropping-particle&quot;:&quot;Van&quot;,&quot;non-dropping-particle&quot;:&quot;&quot;},{&quot;family&quot;:&quot;Langille&quot;,&quot;given&quot;:&quot;Morgan G.I.&quot;,&quot;parse-names&quot;:false,&quot;dropping-particle&quot;:&quot;&quot;,&quot;non-dropping-particle&quot;:&quot;&quot;}],&quot;container-title&quot;:&quot;mSphere&quot;,&quot;container-title-short&quot;:&quot;mSphere&quot;,&quot;DOI&quot;:&quot;10.18372/0370-2197.86.14492&quot;,&quot;ISSN&quot;:&quot;0370-2197&quot;,&quot;issued&quot;:{&quot;date-parts&quot;:[[2020]]},&quot;page&quot;:&quot;1-20&quot;,&quot;abstract&quot;:&quot;Over 1000 different species of microbes have been found to live within the human oral cavity where they play important roles in maintaining both oral and systemic health. Several studies have identified the core members of this microbial community, however, the factors that determine oral microbiome composition are not well understood. In this study we exam the salivary oral microbiome of 1049 Atlantic Canadians using 16S rRNA gene sequencing in order to determine which dietary, lifestyle, and anthropometric features play a role in shaping microbial community composition. Features that were identified as being significantly associated with overall composition were then additionally examined for genera and amplicon sequence variants that were associated with these features. Several associations were replicated in an additional secondary validation dataset. Overall, we found that several anthropometric measurements including waist hip ratio, height, and fat free mass, as well as age and sex, were associated with oral microbiome composition in both our exploratory and validation cohorts. We were unable to validate dietary impacts on the oral microbiome but did find evidence to suggest potential contributions from factors such as the number of vegetable and refined grain servings an individual consumes. Interestingly, each one of these factors on their own were associated with only minor shifts in the oral microbiome suggesting that future biomarker identification for several diseases associated with the oral microbiome may be undertaken without the worry of confounding factors obscuring biological signal. Importance: The human oral cavity is inhabited by a diverse community of microbes known as the human oral microbiome. These microbes play a role in maintaining both oral and systemic health and as such have been proposed to be useful biomarkers of disease. However, to identify these biomarkers, we first need to determine the composition and variation of the healthy oral microbiome. Within this report we investigate the oral microbiome of 1049 healthy individuals to determine which genera and amplicon sequence variants are commonly found between individual oral microbiomes. We then further investigate how lifestyle, anthropometric, and dietary choices impact overall microbiome composition. Interestingly, the results from this investigation showed that while many features were significantly associated with oral microbiome composition no single biological factor explained a variation larger than 2%. These results indicate that future work on biomarker detection may be encourage by the lack of strong confounding factors.&quot;,&quot;issue&quot;:&quot;September&quot;},&quot;isTemporary&quot;:false}],&quot;citationTag&quot;:&quot;MENDELEY_CITATION_v3_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&quot;},{&quot;citationID&quot;:&quot;MENDELEY_CITATION_6998fdce-1244-4868-bf62-6007df372ec1&quot;,&quot;properties&quot;:{&quot;noteIndex&quot;:0},&quot;isEdited&quot;:false,&quot;manualOverride&quot;:{&quot;isManuallyOverridden&quot;:false,&quot;citeprocText&quot;:&quot;&lt;sup&gt;8&lt;/sup&gt;&quot;,&quot;manualOverrideText&quot;:&quot;&quot;},&quot;citationItems&quot;:[{&quot;id&quot;:&quot;65b3736c-c7b7-34f8-bd7e-9808e227a7eb&quot;,&quot;itemData&quot;:{&quot;type&quot;:&quot;article-journal&quot;,&quot;id&quot;:&quot;65b3736c-c7b7-34f8-bd7e-9808e227a7eb&quot;,&quot;title&quot;:&quot;Host and environmental factors shape upper airway microbiota and respiratory health across the human lifespan&quot;,&quot;author&quot;:[{&quot;family&quot;:&quot;Odendaal&quot;,&quot;given&quot;:&quot;Mari Lee&quot;,&quot;parse-names&quot;:false,&quot;dropping-particle&quot;:&quot;&quot;,&quot;non-dropping-particle&quot;:&quot;&quot;},{&quot;family&quot;:&quot;Steenhuijsen Piters&quot;,&quot;given&quot;:&quot;Wouter A.A.&quot;,&quot;parse-names&quot;:false,&quot;dropping-particle&quot;:&quot;&quot;,&quot;non-dropping-particle&quot;:&quot;de&quot;},{&quot;family&quot;:&quot;Franz&quot;,&quot;given&quot;:&quot;Eelco&quot;,&quot;parse-names&quot;:false,&quot;dropping-particle&quot;:&quot;&quot;,&quot;non-dropping-particle&quot;:&quot;&quot;},{&quot;family&quot;:&quot;Chu&quot;,&quot;given&quot;:&quot;Mei Ling J.N.&quot;,&quot;parse-names&quot;:false,&quot;dropping-particle&quot;:&quot;&quot;,&quot;non-dropping-particle&quot;:&quot;&quot;},{&quot;family&quot;:&quot;Groot&quot;,&quot;given&quot;:&quot;James A.&quot;,&quot;parse-names&quot;:false,&quot;dropping-particle&quot;:&quot;&quot;,&quot;non-dropping-particle&quot;:&quot;&quot;},{&quot;family&quot;:&quot;Logchem&quot;,&quot;given&quot;:&quot;Elske M.&quot;,&quot;parse-names&quot;:false,&quot;dropping-particle&quot;:&quot;&quot;,&quot;non-dropping-particle&quot;:&quot;van&quot;},{&quot;family&quot;:&quot;Hasrat&quot;,&quot;given&quot;:&quot;Raiza&quot;,&quot;parse-names&quot;:false,&quot;dropping-particle&quot;:&quot;&quot;,&quot;non-dropping-particle&quot;:&quot;&quot;},{&quot;family&quot;:&quot;Kuiling&quot;,&quot;given&quot;:&quot;Sjoerd&quot;,&quot;parse-names&quot;:false,&quot;dropping-particle&quot;:&quot;&quot;,&quot;non-dropping-particle&quot;:&quot;&quot;},{&quot;family&quot;:&quot;Pijnacker&quot;,&quot;given&quot;:&quot;Roan&quot;,&quot;parse-names&quot;:false,&quot;dropping-particle&quot;:&quot;&quot;,&quot;non-dropping-particle&quot;:&quot;&quot;},{&quot;family&quot;:&quot;Mariman&quot;,&quot;given&quot;:&quot;Rob&quot;,&quot;parse-names&quot;:false,&quot;dropping-particle&quot;:&quot;&quot;,&quot;non-dropping-particle&quot;:&quot;&quot;},{&quot;family&quot;:&quot;Trzciński&quot;,&quot;given&quot;:&quot;Krzysztof&quot;,&quot;parse-names&quot;:false,&quot;dropping-particle&quot;:&quot;&quot;,&quot;non-dropping-particle&quot;:&quot;&quot;},{&quot;family&quot;:&quot;Klis&quot;,&quot;given&quot;:&quot;Fiona R.M.&quot;,&quot;parse-names&quot;:false,&quot;dropping-particle&quot;:&quot;&quot;,&quot;non-dropping-particle&quot;:&quot;van der&quot;},{&quot;family&quot;:&quot;Sanders&quot;,&quot;given&quot;:&quot;Elisabeth A.M.&quot;,&quot;parse-names&quot;:false,&quot;dropping-particle&quot;:&quot;&quot;,&quot;non-dropping-particle&quot;:&quot;&quot;},{&quot;family&quot;:&quot;Smit&quot;,&quot;given&quot;:&quot;Lidwien A.M.&quot;,&quot;parse-names&quot;:false,&quot;dropping-particle&quot;:&quot;&quot;,&quot;non-dropping-particle&quot;:&quot;&quot;},{&quot;family&quot;:&quot;Bogaert&quot;,&quot;given&quot;:&quot;Debby&quot;,&quot;parse-names&quot;:false,&quot;dropping-particle&quot;:&quot;&quot;,&quot;non-dropping-particle&quot;:&quot;&quot;},{&quot;family&quot;:&quot;Bosch&quot;,&quot;given&quot;:&quot;Thijs&quot;,&quot;parse-names&quot;:false,&quot;dropping-particle&quot;:&quot;&quot;,&quot;non-dropping-particle&quot;:&quot;&quot;}],&quot;container-title&quot;:&quot;Cell&quot;,&quot;container-title-short&quot;:&quot;Cell&quot;,&quot;DOI&quot;:&quot;10.1016/j.cell.2024.07.008&quot;,&quot;ISSN&quot;:&quot;10974172&quot;,&quot;PMID&quot;:&quot;39094567&quot;,&quot;issued&quot;:{&quot;date-parts&quot;:[[2024,8,22]]},&quot;page&quot;:&quot;4571-4585.e15&quot;,&quot;abstract&quot;:&quot;Our understanding of the normal variation in the upper respiratory tract (URT) microbiota across the human lifespan and how these relate to host, environment, and health is limited. We studied the microbiota of 3,104 saliva (&lt;10 year-olds)/oropharynx (≥10 year-olds) and 2,485 nasopharynx samples of 3,160 Dutch individuals 0–87 years of age, participating in a cross-sectional population-wide study (PIENTER-3) using 16S-rRNA sequencing. The microbiota composition was strongly related to age, especially in the nasopharynx, with maturation occurring throughout childhood and adolescence. Clear niche- and age-specific associations were found between the microbiota composition and host/environmental factors and health outcomes. Among others, social interaction, sex, and season were associated with the nasopharyngeal microbial community. By contrast, the oral microbiota was more related to antibiotics, tobacco, and alcohol use. We present an atlas of the URT microbiota across the lifespan in association with environment and health, establishing a baseline for future research.&quot;,&quot;publisher&quot;:&quot;Elsevier B.V.&quot;,&quot;issue&quot;:&quot;17&quot;,&quot;volume&quot;:&quot;187&quot;},&quot;isTemporary&quot;:false}],&quot;citationTag&quot;:&quot;MENDELEY_CITATION_v3_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&quot;},{&quot;citationID&quot;:&quot;MENDELEY_CITATION_ecf88ea7-e676-4d81-8588-2372acd5edd8&quot;,&quot;properties&quot;:{&quot;noteIndex&quot;:0},&quot;isEdited&quot;:false,&quot;manualOverride&quot;:{&quot;isManuallyOverridden&quot;:false,&quot;citeprocText&quot;:&quot;&lt;sup&gt;13&lt;/sup&gt;&quot;,&quot;manualOverrideText&quot;:&quot;&quot;},&quot;citationItems&quot;:[{&quot;id&quot;:&quot;e7421c79-2d54-36cd-9099-44b4e808ad49&quot;,&quot;itemData&quot;:{&quot;type&quot;:&quot;article-journal&quot;,&quot;id&quot;:&quot;e7421c79-2d54-36cd-9099-44b4e808ad49&quot;,&quot;title&quot;:&quot;Gender-specific associations between saliva microbiota and body size&quot;,&quot;author&quot;:[{&quot;family&quot;:&quot;Raju&quot;,&quot;given&quot;:&quot;Sajan C.&quot;,&quot;parse-names&quot;:false,&quot;dropping-particle&quot;:&quot;&quot;,&quot;non-dropping-particle&quot;:&quot;&quot;},{&quot;family&quot;:&quot;Lagström&quot;,&quot;given&quot;:&quot;Sonja&quot;,&quot;parse-names&quot;:false,&quot;dropping-particle&quot;:&quot;&quot;,&quot;non-dropping-particle&quot;:&quot;&quot;},{&quot;family&quot;:&quot;Ellonen&quot;,&quot;given&quot;:&quot;Pekka&quot;,&quot;parse-names&quot;:false,&quot;dropping-particle&quot;:&quot;&quot;,&quot;non-dropping-particle&quot;:&quot;&quot;},{&quot;family&quot;:&quot;Vos&quot;,&quot;given&quot;:&quot;Willem M.&quot;,&quot;parse-names&quot;:false,&quot;dropping-particle&quot;:&quot;&quot;,&quot;non-dropping-particle&quot;:&quot;De&quot;},{&quot;family&quot;:&quot;Eriksson&quot;,&quot;given&quot;:&quot;Johan G.&quot;,&quot;parse-names&quot;:false,&quot;dropping-particle&quot;:&quot;&quot;,&quot;non-dropping-particle&quot;:&quot;&quot;},{&quot;family&quot;:&quot;Weiderpass&quot;,&quot;given&quot;:&quot;Elisabete&quot;,&quot;parse-names&quot;:false,&quot;dropping-particle&quot;:&quot;&quot;,&quot;non-dropping-particle&quot;:&quot;&quot;},{&quot;family&quot;:&quot;Rounge&quot;,&quot;given&quot;:&quot;Trine B.&quot;,&quot;parse-names&quot;:false,&quot;dropping-particle&quot;:&quot;&quot;,&quot;non-dropping-particle&quot;:&quot;&quot;}],&quot;container-title&quot;:&quot;Frontiers in Microbiology&quot;,&quot;container-title-short&quot;:&quot;Front Microbiol&quot;,&quot;DOI&quot;:&quot;10.3389/fmicb.2019.00767&quot;,&quot;ISSN&quot;:&quot;1664302X&quot;,&quot;issued&quot;:{&quot;date-parts&quot;:[[2019]]},&quot;abstract&quot;:&quot;Objective: The human intestinal microbiota likely play an important role in the development of overweight and obesity. However, the associations between saliva microbiota and body mass index (BMI) have been sparsely studied. The aim of this study was to identify the associations between saliva microbiota and body size in Finnish children. Methods: The saliva microbiota of 900 Finnish children, aged 11-14 years with measured height and weight, was characterized using 16S rRNA (V3-V4) sequencing. Results: The core saliva microbiota consisted of 14 genera that were present in more than 95% of the Finnish children. The saliva microbiota profiles were gender-specific with higher alpha-diversity in boys than girls and significant differences between the genders in community composition and abundances. Alpha-diversity differed between normal weight and overweight girls and between normal weight and obese boys. The composition was dissimilar between normal weight and obese girls, but not in boys. The relative abundance profiles differed according to body size. Decrease in commensal saliva bacteria were observed in all the body sizes when compared to normal weight children. Notably, the relative abundance of bacteria related to, Veillonella, Prevotella, Selenomonas, and Streptococcus was reduced in obese children. Conclusion: Saliva microbiota diversity and composition were significantly associated with body size and gender in Finnish children. Body size-specific saliva microbiota profiles open new avenues for studying the potential roles of microbiota in weight development and management.&quot;,&quot;publisher&quot;:&quot;Frontiers Media S.A.&quot;,&quot;issue&quot;:&quot;APR&quot;,&quot;volume&quot;:&quot;10&quot;},&quot;isTemporary&quot;:false}],&quot;citationTag&quot;:&quot;MENDELEY_CITATION_v3_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&quot;},{&quot;citationID&quot;:&quot;MENDELEY_CITATION_f7e284fe-d8e2-4f0b-8a44-a55f67c852aa&quot;,&quot;properties&quot;:{&quot;noteIndex&quot;:0},&quot;isEdited&quot;:false,&quot;manualOverride&quot;:{&quot;isManuallyOverridden&quot;:false,&quot;citeprocText&quot;:&quot;&lt;sup&gt;17&lt;/sup&gt;&quot;,&quot;manualOverrideText&quot;:&quot;&quot;},&quot;citationItems&quot;:[{&quot;id&quot;:&quot;79fe21e5-d466-3487-bc5c-a1248de38acc&quot;,&quot;itemData&quot;:{&quot;type&quot;:&quot;article-journal&quot;,&quot;id&quot;:&quot;79fe21e5-d466-3487-bc5c-a1248de38acc&quot;,&quot;title&quot;:&quot;Gender identity and sexual attraction among Canadian youth: findings from the 2019 Canadian Health Survey on Children and Youth&quot;,&quot;author&quot;:[{&quot;family&quot;:&quot;Wang&quot;,&quot;given&quot;:&quot;Chinchin&quot;,&quot;parse-names&quot;:false,&quot;dropping-particle&quot;:&quot;&quot;,&quot;non-dropping-particle&quot;:&quot;&quot;},{&quot;family&quot;:&quot;Butler&quot;,&quot;given&quot;:&quot;Gregory&quot;,&quot;parse-names&quot;:false,&quot;dropping-particle&quot;:&quot;&quot;,&quot;non-dropping-particle&quot;:&quot;&quot;},{&quot;family&quot;:&quot;Wong&quot;,&quot;given&quot;:&quot;Suzy L.&quot;,&quot;parse-names&quot;:false,&quot;dropping-particle&quot;:&quot;&quot;,&quot;non-dropping-particle&quot;:&quot;&quot;},{&quot;family&quot;:&quot;Steensma&quot;,&quot;given&quot;:&quot;Colin&quot;,&quot;parse-names&quot;:false,&quot;dropping-particle&quot;:&quot;&quot;,&quot;non-dropping-particle&quot;:&quot;&quot;},{&quot;family&quot;:&quot;Jackson&quot;,&quot;given&quot;:&quot;Beth&quot;,&quot;parse-names&quot;:false,&quot;dropping-particle&quot;:&quot;&quot;,&quot;non-dropping-particle&quot;:&quot;&quot;},{&quot;family&quot;:&quot;Betancourt&quot;,&quot;given&quot;:&quot;Marisol T.&quot;,&quot;parse-names&quot;:false,&quot;dropping-particle&quot;:&quot;&quot;,&quot;non-dropping-particle&quot;:&quot;&quot;},{&quot;family&quot;:&quot;Roberts&quot;,&quot;given&quot;:&quot;Karen C.&quot;,&quot;parse-names&quot;:false,&quot;dropping-particle&quot;:&quot;&quot;,&quot;non-dropping-particle&quot;:&quot;&quot;}],&quot;container-title&quot;:&quot;Health Promotion and Chronic Disease Prevention in Canada&quot;,&quot;DOI&quot;:&quot;10.24095/hpcdp.43.6.04&quot;,&quot;ISSN&quot;:&quot;2368738X&quot;,&quot;PMID&quot;:&quot;37379359&quot;,&quot;issued&quot;:{&quot;date-parts&quot;:[[2023,6,1]]},&quot;page&quot;:&quot;299-305&quot;,&quot;abstract&quot;:&quot;Gender identity and sexual attraction are important determinants of health. This study reports distributions of gender identity and sexual attraction among Canadian youth using data from the 2019 Canadian Health Survey on Children and Youth. Among youth aged 12 to 17, 0.2% are nonbinary and 0.2% are transgender. Among youth aged 15 to 17, 21.0%, comprising more females than males, report attraction not exclusive to the opposite gender. Given known associations between health and gender and sexual attraction, oversampling of sexual minority groups is recommended in future studies to obtain reliable estimates for identifying inequities and informing policy.&quot;,&quot;publisher&quot;:&quot;Public Health Agency of Canada&quot;,&quot;issue&quot;:&quot;6&quot;,&quot;volume&quot;:&quot;43&quot;,&quot;container-title-short&quot;:&quot;&quot;},&quot;isTemporary&quot;:false}],&quot;citationTag&quot;:&quot;MENDELEY_CITATION_v3_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&quot;},{&quot;citationID&quot;:&quot;MENDELEY_CITATION_850ea317-651d-4b91-a5fc-f8d67fa7cd28&quot;,&quot;properties&quot;:{&quot;noteIndex&quot;:0},&quot;isEdited&quot;:false,&quot;manualOverride&quot;:{&quot;isManuallyOverridden&quot;:false,&quot;citeprocText&quot;:&quot;&lt;sup&gt;18&lt;/sup&gt;&quot;,&quot;manualOverrideText&quot;:&quot;&quot;},&quot;citationItems&quot;:[{&quot;id&quot;:&quot;84fddc01-221e-3dbe-9610-1236fbd0f070&quot;,&quot;itemData&quot;:{&quot;type&quot;:&quot;article-journal&quot;,&quot;id&quot;:&quot;84fddc01-221e-3dbe-9610-1236fbd0f070&quot;,&quot;title&quot;:&quot;Prevalence of gender-diverse youth in an urban school district&quot;,&quot;author&quot;:[{&quot;family&quot;:&quot;Kidd&quot;,&quot;given&quot;:&quot;Kacie M.&quot;,&quot;parse-names&quot;:false,&quot;dropping-particle&quot;:&quot;&quot;,&quot;non-dropping-particle&quot;:&quot;&quot;},{&quot;family&quot;:&quot;Sequeira&quot;,&quot;given&quot;:&quot;Gina M.&quot;,&quot;parse-names&quot;:false,&quot;dropping-particle&quot;:&quot;&quot;,&quot;non-dropping-particle&quot;:&quot;&quot;},{&quot;family&quot;:&quot;Douglas&quot;,&quot;given&quot;:&quot;Claudia&quot;,&quot;parse-names&quot;:false,&quot;dropping-particle&quot;:&quot;&quot;,&quot;non-dropping-particle&quot;:&quot;&quot;},{&quot;family&quot;:&quot;Paglisotti&quot;,&quot;given&quot;:&quot;Taylor&quot;,&quot;parse-names&quot;:false,&quot;dropping-particle&quot;:&quot;&quot;,&quot;non-dropping-particle&quot;:&quot;&quot;},{&quot;family&quot;:&quot;Inwards-Breland&quot;,&quot;given&quot;:&quot;David J.&quot;,&quot;parse-names&quot;:false,&quot;dropping-particle&quot;:&quot;&quot;,&quot;non-dropping-particle&quot;:&quot;&quot;},{&quot;family&quot;:&quot;Miller&quot;,&quot;given&quot;:&quot;Elizabeth&quot;,&quot;parse-names&quot;:false,&quot;dropping-particle&quot;:&quot;&quot;,&quot;non-dropping-particle&quot;:&quot;&quot;},{&quot;family&quot;:&quot;Coulter&quot;,&quot;given&quot;:&quot;Robert W.S.&quot;,&quot;parse-names&quot;:false,&quot;dropping-particle&quot;:&quot;&quot;,&quot;non-dropping-particle&quot;:&quot;&quot;}],&quot;container-title&quot;:&quot;Pediatrics&quot;,&quot;container-title-short&quot;:&quot;Pediatrics&quot;,&quot;DOI&quot;:&quot;10.1542/peds.2020-049823&quot;,&quot;ISSN&quot;:&quot;10984275&quot;,&quot;PMID&quot;:&quot;34006616&quot;,&quot;issued&quot;:{&quot;date-parts&quot;:[[2021,6,1]]},&quot;publisher&quot;:&quot;American Academy of Pediatrics&quot;,&quot;issue&quot;:&quot;6&quot;,&quot;volume&quot;:&quot;147&quot;},&quot;isTemporary&quot;:false}],&quot;citationTag&quot;:&quot;MENDELEY_CITATION_v3_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&quot;},{&quot;citationID&quot;:&quot;MENDELEY_CITATION_4e4e85fd-66a9-4f04-a0af-7d60b932204f&quot;,&quot;properties&quot;:{&quot;noteIndex&quot;:0},&quot;isEdited&quot;:false,&quot;manualOverride&quot;:{&quot;isManuallyOverridden&quot;:false,&quot;citeprocText&quot;:&quot;&lt;sup&gt;1&lt;/sup&gt;&quot;,&quot;manualOverrideText&quot;:&quot;&quot;},&quot;citationItems&quot;:[{&quot;id&quot;:&quot;8761d377-eb22-3851-a391-9699880e2f0e&quot;,&quot;itemData&quot;:{&quot;type&quot;:&quot;article-journal&quot;,&quot;id&quot;:&quot;8761d377-eb22-3851-a391-9699880e2f0e&quot;,&quot;title&quot;:&quot;Oral microbial signatures associated with age and frailty in Canadian adults&quot;,&quot;author&quot;:[{&quot;family&quot;:&quot;DeClercq&quot;,&quot;given&quot;:&quot;Vanessa&quot;,&quot;parse-names&quot;:false,&quot;dropping-particle&quot;:&quot;&quot;,&quot;non-dropping-particle&quot;:&quot;&quot;},{&quot;family&quot;:&quot;Wright&quot;,&quot;given&quot;:&quot;Robyn J.&quot;,&quot;parse-names&quot;:false,&quot;dropping-particle&quot;:&quot;&quot;,&quot;non-dropping-particle&quot;:&quot;&quot;},{&quot;family&quot;:&quot;Nearing&quot;,&quot;given&quot;:&quot;Jacob T.&quot;,&quot;parse-names&quot;:false,&quot;dropping-particle&quot;:&quot;&quot;,&quot;non-dropping-particle&quot;:&quot;&quot;},{&quot;family&quot;:&quot;Langille&quot;,&quot;given&quot;:&quot;Morgan G.I.&quot;,&quot;parse-names&quot;:false,&quot;dropping-particle&quot;:&quot;&quot;,&quot;non-dropping-particle&quot;:&quot;&quot;}],&quot;container-title&quot;:&quot;Scientific Reports&quot;,&quot;container-title-short&quot;:&quot;Sci Rep&quot;,&quot;DOI&quot;:&quot;10.1038/s41598-024-60409-8&quot;,&quot;ISSN&quot;:&quot;20452322&quot;,&quot;PMID&quot;:&quot;38678061&quot;,&quot;issued&quot;:{&quot;date-parts&quot;:[[2024,12,1]]},&quot;abstract&quot;:&quot;This study aimed to assess the association between the oral microbiome, age, and frailty. Data and saliva samples were obtained from male and female participants aged 35–70 years (n = 1357). Saliva samples were analysed by 16S rRNA gene sequencing and differences in microbial diversity and community compositions were examined in relation to chronological age and the frailty index (FI). Most alpha diversity measures (Richness, Shannon Diversity, Faith’s Phylogenetic Diversity) showed an inverse association with frailty, whereas a positive association was observed with age and Shannon Diversity and Evenness. A further sex-stratified analysis revealed differences in measures of microbial diversity and composition. Multiple genera were detected as significantly differentially abundant with increasing frailty and age by at least two methods. With age, the relative abundance of Veillonella was reduced in both males and females, whereas increases in Corynebacterium appeared specific to males and Aggregatibacter, Fusobacterium, Neisseria, Stomatobaculum, and Porphyromonas specific to females. Beta diversity was significantly associated with multiple mental health components of the FI. This study shows age and frailty are differentially associated with measures of microbial diversity and composition, suggesting the oral microbiome may be a useful indicator of increased risk of frailty or a potential target for improving health in ageing adults.&quot;,&quot;publisher&quot;:&quot;Nature Research&quot;,&quot;issue&quot;:&quot;1&quot;,&quot;volume&quot;:&quot;14&quot;},&quot;isTemporary&quot;:false}],&quot;citationTag&quot;:&quot;MENDELEY_CITATION_v3_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&quot;},{&quot;citationID&quot;:&quot;MENDELEY_CITATION_dd1dd436-4a73-4c57-ad21-808371238f30&quot;,&quot;properties&quot;:{&quot;noteIndex&quot;:0},&quot;isEdited&quot;:false,&quot;manualOverride&quot;:{&quot;isManuallyOverridden&quot;:false,&quot;citeprocText&quot;:&quot;&lt;sup&gt;19&lt;/sup&gt;&quot;,&quot;manualOverrideText&quot;:&quot;&quot;},&quot;citationItems&quot;:[{&quot;id&quot;:&quot;04075886-9e12-3c98-a906-121b475b9537&quot;,&quot;itemData&quot;:{&quot;type&quot;:&quot;article&quot;,&quot;id&quot;:&quot;04075886-9e12-3c98-a906-121b475b9537&quot;,&quot;title&quot;:&quot;The oral–gut microbiome axis in health and disease&quot;,&quot;author&quot;:[{&quot;family&quot;:&quot;Kunath&quot;,&quot;given&quot;:&quot;Benoit J.&quot;,&quot;parse-names&quot;:false,&quot;dropping-particle&quot;:&quot;&quot;,&quot;non-dropping-particle&quot;:&quot;&quot;},{&quot;family&quot;:&quot;Rudder&quot;,&quot;given&quot;:&quot;Charlotte&quot;,&quot;parse-names&quot;:false,&quot;dropping-particle&quot;:&quot;&quot;,&quot;non-dropping-particle&quot;:&quot;De&quot;},{&quot;family&quot;:&quot;Laczny&quot;,&quot;given&quot;:&quot;Cedric C.&quot;,&quot;parse-names&quot;:false,&quot;dropping-particle&quot;:&quot;&quot;,&quot;non-dropping-particle&quot;:&quot;&quot;},{&quot;family&quot;:&quot;Letellier&quot;,&quot;given&quot;:&quot;Elisabeth&quot;,&quot;parse-names&quot;:false,&quot;dropping-particle&quot;:&quot;&quot;,&quot;non-dropping-particle&quot;:&quot;&quot;},{&quot;family&quot;:&quot;Wilmes&quot;,&quot;given&quot;:&quot;Paul&quot;,&quot;parse-names&quot;:false,&quot;dropping-particle&quot;:&quot;&quot;,&quot;non-dropping-particle&quot;:&quot;&quot;}],&quot;container-title&quot;:&quot;Nature Reviews Microbiology&quot;,&quot;container-title-short&quot;:&quot;Nat Rev Microbiol&quot;,&quot;DOI&quot;:&quot;10.1038/s41579-024-01075-5&quot;,&quot;ISSN&quot;:&quot;17401534&quot;,&quot;PMID&quot;:&quot;39039286&quot;,&quot;issued&quot;:{&quot;date-parts&quot;:[[2024,12,1]]},&quot;page&quot;:&quot;791-805&quot;,&quot;abstract&quot;:&quot;The human body hosts trillions of microorganisms throughout many diverse habitats with different physico-chemical characteristics. Among them, the oral cavity and the gut harbour some of the most dense and diverse microbial communities. Although these two sites are physiologically distinct, they are directly connected and can influence each other in several ways. For example, oral microorganisms can reach and colonize the gastrointestinal tract, particularly in the context of gut dysbiosis. However, the mechanisms of colonization and the role that the oral microbiome plays in causing or exacerbating diseases in other organs have not yet been fully elucidated. Here, we describe recent advances in our understanding of how the oral and intestinal microbiota interplay in relation to their impact on human health and disease.&quot;,&quot;publisher&quot;:&quot;Nature Research&quot;,&quot;issue&quot;:&quot;12&quot;,&quot;volume&quot;:&quot;22&quot;},&quot;isTemporary&quot;:false}],&quot;citationTag&quot;:&quot;MENDELEY_CITATION_v3_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&quot;},{&quot;citationID&quot;:&quot;MENDELEY_CITATION_087ab2ce-c1c8-46a3-b53c-6b1b1c36da72&quot;,&quot;properties&quot;:{&quot;noteIndex&quot;:0},&quot;isEdited&quot;:false,&quot;manualOverride&quot;:{&quot;isManuallyOverridden&quot;:false,&quot;citeprocText&quot;:&quot;&lt;sup&gt;15&lt;/sup&gt;&quot;,&quot;manualOverrideText&quot;:&quot;&quot;},&quot;citationItems&quot;:[{&quot;id&quot;:&quot;68aaeb53-67e4-37e7-9c14-228436931834&quot;,&quot;itemData&quot;:{&quot;type&quot;:&quot;article-journal&quot;,&quot;id&quot;:&quot;68aaeb53-67e4-37e7-9c14-228436931834&quot;,&quot;title&quot;:&quot;Large-scale metagenomic analysis of oral microbiomes reveals markers for autism spectrum disorders&quot;,&quot;author&quot;:[{&quot;family&quot;:&quot;Manghi&quot;,&quot;given&quot;:&quot;Paolo&quot;,&quot;parse-names&quot;:false,&quot;dropping-particle&quot;:&quot;&quot;,&quot;non-dropping-particle&quot;:&quot;&quot;},{&quot;family&quot;:&quot;Filosi&quot;,&quot;given&quot;:&quot;Michele&quot;,&quot;parse-names&quot;:false,&quot;dropping-particle&quot;:&quot;&quot;,&quot;non-dropping-particle&quot;:&quot;&quot;},{&quot;family&quot;:&quot;Zolfo&quot;,&quot;given&quot;:&quot;Moreno&quot;,&quot;parse-names&quot;:false,&quot;dropping-particle&quot;:&quot;&quot;,&quot;non-dropping-particle&quot;:&quot;&quot;},{&quot;family&quot;:&quot;Casten&quot;,&quot;given&quot;:&quot;Lucas G.&quot;,&quot;parse-names&quot;:false,&quot;dropping-particle&quot;:&quot;&quot;,&quot;non-dropping-particle&quot;:&quot;&quot;},{&quot;family&quot;:&quot;Garcia-Valiente&quot;,&quot;given&quot;:&quot;Albert&quot;,&quot;parse-names&quot;:false,&quot;dropping-particle&quot;:&quot;&quot;,&quot;non-dropping-particle&quot;:&quot;&quot;},{&quot;family&quot;:&quot;Mattevi&quot;,&quot;given&quot;:&quot;Stefania&quot;,&quot;parse-names&quot;:false,&quot;dropping-particle&quot;:&quot;&quot;,&quot;non-dropping-particle&quot;:&quot;&quot;},{&quot;family&quot;:&quot;Heidrich&quot;,&quot;given&quot;:&quot;Vitor&quot;,&quot;parse-names&quot;:false,&quot;dropping-particle&quot;:&quot;&quot;,&quot;non-dropping-particle&quot;:&quot;&quot;},{&quot;family&quot;:&quot;Golzato&quot;,&quot;given&quot;:&quot;Davide&quot;,&quot;parse-names&quot;:false,&quot;dropping-particle&quot;:&quot;&quot;,&quot;non-dropping-particle&quot;:&quot;&quot;},{&quot;family&quot;:&quot;Perini&quot;,&quot;given&quot;:&quot;Samuel&quot;,&quot;parse-names&quot;:false,&quot;dropping-particle&quot;:&quot;&quot;,&quot;non-dropping-particle&quot;:&quot;&quot;},{&quot;family&quot;:&quot;Thomas&quot;,&quot;given&quot;:&quot;Andrew M.&quot;,&quot;parse-names&quot;:false,&quot;dropping-particle&quot;:&quot;&quot;,&quot;non-dropping-particle&quot;:&quot;&quot;},{&quot;family&quot;:&quot;Montalbano&quot;,&quot;given&quot;:&quot;Simone&quot;,&quot;parse-names&quot;:false,&quot;dropping-particle&quot;:&quot;&quot;,&quot;non-dropping-particle&quot;:&quot;&quot;},{&quot;family&quot;:&quot;Cancellieri&quot;,&quot;given&quot;:&quot;Samuele&quot;,&quot;parse-names&quot;:false,&quot;dropping-particle&quot;:&quot;&quot;,&quot;non-dropping-particle&quot;:&quot;&quot;},{&quot;family&quot;:&quot;Waldron&quot;,&quot;given&quot;:&quot;Levi&quot;,&quot;parse-names&quot;:false,&quot;dropping-particle&quot;:&quot;&quot;,&quot;non-dropping-particle&quot;:&quot;&quot;},{&quot;family&quot;:&quot;Hall&quot;,&quot;given&quot;:&quot;Jacob B.&quot;,&quot;parse-names&quot;:false,&quot;dropping-particle&quot;:&quot;&quot;,&quot;non-dropping-particle&quot;:&quot;&quot;},{&quot;family&quot;:&quot;Xu&quot;,&quot;given&quot;:&quot;Simon&quot;,&quot;parse-names&quot;:false,&quot;dropping-particle&quot;:&quot;&quot;,&quot;non-dropping-particle&quot;:&quot;&quot;},{&quot;family&quot;:&quot;Volfovsky&quot;,&quot;given&quot;:&quot;Natalia&quot;,&quot;parse-names&quot;:false,&quot;dropping-particle&quot;:&quot;&quot;,&quot;non-dropping-particle&quot;:&quot;&quot;},{&quot;family&quot;:&quot;Green Snyder&quot;,&quot;given&quot;:&quot;Lee Anne&quot;,&quot;parse-names&quot;:false,&quot;dropping-particle&quot;:&quot;&quot;,&quot;non-dropping-particle&quot;:&quot;&quot;},{&quot;family&quot;:&quot;Feliciano&quot;,&quot;given&quot;:&quot;Pamela&quot;,&quot;parse-names&quot;:false,&quot;dropping-particle&quot;:&quot;&quot;,&quot;non-dropping-particle&quot;:&quot;&quot;},{&quot;family&quot;:&quot;Asnicar&quot;,&quot;given&quot;:&quot;Francesco&quot;,&quot;parse-names&quot;:false,&quot;dropping-particle&quot;:&quot;&quot;,&quot;non-dropping-particle&quot;:&quot;&quot;},{&quot;family&quot;:&quot;Valles-Colomer&quot;,&quot;given&quot;:&quot;Mireia&quot;,&quot;parse-names&quot;:false,&quot;dropping-particle&quot;:&quot;&quot;,&quot;non-dropping-particle&quot;:&quot;&quot;},{&quot;family&quot;:&quot;Michaelson&quot;,&quot;given&quot;:&quot;Jacob J.&quot;,&quot;parse-names&quot;:false,&quot;dropping-particle&quot;:&quot;&quot;,&quot;non-dropping-particle&quot;:&quot;&quot;},{&quot;family&quot;:&quot;Segata&quot;,&quot;given&quot;:&quot;Nicola&quot;,&quot;parse-names&quot;:false,&quot;dropping-particle&quot;:&quot;&quot;,&quot;non-dropping-particle&quot;:&quot;&quot;},{&quot;family&quot;:&quot;Domenici&quot;,&quot;given&quot;:&quot;Enrico&quot;,&quot;parse-names&quot;:false,&quot;dropping-particle&quot;:&quot;&quot;,&quot;non-dropping-particle&quot;:&quot;&quot;}],&quot;container-title&quot;:&quot;Nature Communications &quot;,&quot;DOI&quot;:&quot;10.1038/s41467-024-53934-7&quot;,&quot;ISSN&quot;:&quot;20411723&quot;,&quot;PMID&quot;:&quot;39528484&quot;,&quot;issued&quot;:{&quot;date-parts&quot;:[[2024,12,1]]},&quot;abstract&quot;:&quot;The link between the oral microbiome and neurodevelopmental disorders remains a compelling hypothesis, still requiring confirmation in large-scale datasets. Leveraging over 7000 whole-genome sequenced salivary samples from 2025 US families with children diagnosed with autism spectrum disorders (ASD), our cross-sectional study shows that the oral microbiome composition can discriminate ASD subjects from neurotypical siblings (NTs, AUC = 0.66), with 108 differentiating species (q &lt; 0.005). The relative abundance of these species is highly correlated with cognitive impairment as measured by Full-Scale Intelligence Quotient (IQ). ASD children with IQ &lt; 70 also exhibit lower microbiome strain sharing with parents (p &lt; 10−6) with respect to NTs. A two-pronged functional enrichment analysis suggests the contribution of enzymes from the serotonin, GABA, and dopamine degradation pathways to the distinct microbial community compositions observed between ASD and NT samples. Although measures of restrictive eating diet and proxies of oral hygiene show relatively minor effects on the microbiome composition, the observed associations with ASD and IQ may still represent unaccounted-for underlying differences in lifestyle among groups. While causal relationships could not be established, our study provides substantial support to the investigation of oral microbiome biomarkers in ASD.&quot;,&quot;publisher&quot;:&quot;Nature Research&quot;,&quot;issue&quot;:&quot;1&quot;,&quot;volume&quot;:&quot;15&quot;,&quot;container-title-short&quot;:&quot;&quot;},&quot;isTemporary&quot;:false}],&quot;citationTag&quot;:&quot;MENDELEY_CITATION_v3_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&quot;},{&quot;citationID&quot;:&quot;MENDELEY_CITATION_bd2ba82d-b5a5-42f0-b5c4-33644c46d1c3&quot;,&quot;properties&quot;:{&quot;noteIndex&quot;:0},&quot;isEdited&quot;:false,&quot;manualOverride&quot;:{&quot;isManuallyOverridden&quot;:false,&quot;citeprocText&quot;:&quot;&lt;sup&gt;20&lt;/sup&gt;&quot;,&quot;manualOverrideText&quot;:&quot;&quot;},&quot;citationItems&quot;:[{&quot;id&quot;:&quot;58100507-3036-3ab2-9020-9cfed5eb43be&quot;,&quot;itemData&quot;:{&quot;type&quot;:&quot;article-journal&quot;,&quot;id&quot;:&quot;58100507-3036-3ab2-9020-9cfed5eb43be&quot;,&quot;title&quot;:&quot;Variations in the oral microbiome are associated with depression in young adults&quot;,&quot;author&quot;:[{&quot;family&quot;:&quot;Wingfield&quot;,&quot;given&quot;:&quot;Benjamin&quot;,&quot;parse-names&quot;:false,&quot;dropping-particle&quot;:&quot;&quot;,&quot;non-dropping-particle&quot;:&quot;&quot;},{&quot;family&quot;:&quot;Lapsley&quot;,&quot;given&quot;:&quot;Coral&quot;,&quot;parse-names&quot;:false,&quot;dropping-particle&quot;:&quot;&quot;,&quot;non-dropping-particle&quot;:&quot;&quot;},{&quot;family&quot;:&quot;McDowell&quot;,&quot;given&quot;:&quot;Andrew&quot;,&quot;parse-names&quot;:false,&quot;dropping-particle&quot;:&quot;&quot;,&quot;non-dropping-particle&quot;:&quot;&quot;},{&quot;family&quot;:&quot;Miliotis&quot;,&quot;given&quot;:&quot;Georgios&quot;,&quot;parse-names&quot;:false,&quot;dropping-particle&quot;:&quot;&quot;,&quot;non-dropping-particle&quot;:&quot;&quot;},{&quot;family&quot;:&quot;McLafferty&quot;,&quot;given&quot;:&quot;Margaret&quot;,&quot;parse-names&quot;:false,&quot;dropping-particle&quot;:&quot;&quot;,&quot;non-dropping-particle&quot;:&quot;&quot;},{&quot;family&quot;:&quot;O’Neill&quot;,&quot;given&quot;:&quot;Siobhan M.&quot;,&quot;parse-names&quot;:false,&quot;dropping-particle&quot;:&quot;&quot;,&quot;non-dropping-particle&quot;:&quot;&quot;},{&quot;family&quot;:&quot;Coleman&quot;,&quot;given&quot;:&quot;Sonya&quot;,&quot;parse-names&quot;:false,&quot;dropping-particle&quot;:&quot;&quot;,&quot;non-dropping-particle&quot;:&quot;&quot;},{&quot;family&quot;:&quot;McGinnity&quot;,&quot;given&quot;:&quot;T. Martin&quot;,&quot;parse-names&quot;:false,&quot;dropping-particle&quot;:&quot;&quot;,&quot;non-dropping-particle&quot;:&quot;&quot;},{&quot;family&quot;:&quot;Bjourson&quot;,&quot;given&quot;:&quot;Anthony J.&quot;,&quot;parse-names&quot;:false,&quot;dropping-particle&quot;:&quot;&quot;,&quot;non-dropping-particle&quot;:&quot;&quot;},{&quot;family&quot;:&quot;Murray&quot;,&quot;given&quot;:&quot;Elaine K.&quot;,&quot;parse-names&quot;:false,&quot;dropping-particle&quot;:&quot;&quot;,&quot;non-dropping-particle&quot;:&quot;&quot;}],&quot;container-title&quot;:&quot;Scientific Reports&quot;,&quot;container-title-short&quot;:&quot;Sci Rep&quot;,&quot;DOI&quot;:&quot;10.1038/s41598-021-94498-6&quot;,&quot;ISSN&quot;:&quot;20452322&quot;,&quot;PMID&quot;:&quot;34294835&quot;,&quot;issued&quot;:{&quot;date-parts&quot;:[[2021,12,1]]},&quot;abstract&quot;:&quot;A growing body of evidence supports an important role for alterations in the brain-gut-microbiome axis in the aetiology of depression and other psychiatric disorders. The potential role of the oral microbiome in mental health has received little attention, even though it is one of the most diverse microbiomes in the body and oral dysbiosis has been linked to systemic diseases with an underlying inflammatory aetiology. This study examines the structure and composition of the salivary microbiome for the first time in young adults who met the DSM-IV criteria for depression (n = 40) and matched controls (n = 43) using 16S rRNA gene-based next generation sequencing. Subtle but significant differences in alpha and beta diversity of the salivary microbiome were observed, with clear separation of depressed and healthy control cohorts into distinct clusters. A total of 21 bacterial taxa were found to be differentially abundant in the depressed cohort, including increased Neisseria spp. and Prevotella nigrescens, while 19 taxa had a decreased abundance. In this preliminary study we have shown that the composition of the oral microbiome is associated with depression in young adults. Further studies are now warranted, particuarly investigations into whether such shifts play any role in the underling aetiology of depression.&quot;,&quot;publisher&quot;:&quot;Nature Research&quot;,&quot;issue&quot;:&quot;1&quot;,&quot;volume&quot;:&quot;11&quot;},&quot;isTemporary&quot;:false}],&quot;citationTag&quot;:&quot;MENDELEY_CITATION_v3_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&quot;},{&quot;citationID&quot;:&quot;MENDELEY_CITATION_7e3cfa4e-0dcf-45e1-9161-80512553f923&quot;,&quot;properties&quot;:{&quot;noteIndex&quot;:0},&quot;isEdited&quot;:false,&quot;manualOverride&quot;:{&quot;isManuallyOverridden&quot;:false,&quot;citeprocText&quot;:&quot;&lt;sup&gt;21&lt;/sup&gt;&quot;,&quot;manualOverrideText&quot;:&quot;&quot;},&quot;citationItems&quot;:[{&quot;id&quot;:&quot;9e88528a-52d9-325b-8697-f1af9fa4f12f&quot;,&quot;itemData&quot;:{&quot;type&quot;:&quot;article-journal&quot;,&quot;id&quot;:&quot;9e88528a-52d9-325b-8697-f1af9fa4f12f&quot;,&quot;title&quot;:&quot;A genetic association study reveals the relationship between the oral microbiome and anxiety and depression symptoms&quot;,&quot;author&quot;:[{&quot;family&quot;:&quot;Li&quot;,&quot;given&quot;:&quot;Chun'e&quot;,&quot;parse-names&quot;:false,&quot;dropping-particle&quot;:&quot;&quot;,&quot;non-dropping-particle&quot;:&quot;&quot;},{&quot;family&quot;:&quot;Chen&quot;,&quot;given&quot;:&quot;Yujing&quot;,&quot;parse-names&quot;:false,&quot;dropping-particle&quot;:&quot;&quot;,&quot;non-dropping-particle&quot;:&quot;&quot;},{&quot;family&quot;:&quot;Wen&quot;,&quot;given&quot;:&quot;Yan&quot;,&quot;parse-names&quot;:false,&quot;dropping-particle&quot;:&quot;&quot;,&quot;non-dropping-particle&quot;:&quot;&quot;},{&quot;family&quot;:&quot;Jia&quot;,&quot;given&quot;:&quot;Yumeng&quot;,&quot;parse-names&quot;:false,&quot;dropping-particle&quot;:&quot;&quot;,&quot;non-dropping-particle&quot;:&quot;&quot;},{&quot;family&quot;:&quot;Cheng&quot;,&quot;given&quot;:&quot;Shiqiang&quot;,&quot;parse-names&quot;:false,&quot;dropping-particle&quot;:&quot;&quot;,&quot;non-dropping-particle&quot;:&quot;&quot;},{&quot;family&quot;:&quot;Liu&quot;,&quot;given&quot;:&quot;Li&quot;,&quot;parse-names&quot;:false,&quot;dropping-particle&quot;:&quot;&quot;,&quot;non-dropping-particle&quot;:&quot;&quot;},{&quot;family&quot;:&quot;Zhang&quot;,&quot;given&quot;:&quot;Huijie&quot;,&quot;parse-names&quot;:false,&quot;dropping-particle&quot;:&quot;&quot;,&quot;non-dropping-particle&quot;:&quot;&quot;},{&quot;family&quot;:&quot;Pan&quot;,&quot;given&quot;:&quot;Chuyu&quot;,&quot;parse-names&quot;:false,&quot;dropping-particle&quot;:&quot;&quot;,&quot;non-dropping-particle&quot;:&quot;&quot;},{&quot;family&quot;:&quot;Zhang&quot;,&quot;given&quot;:&quot;Jingxi&quot;,&quot;parse-names&quot;:false,&quot;dropping-particle&quot;:&quot;&quot;,&quot;non-dropping-particle&quot;:&quot;&quot;},{&quot;family&quot;:&quot;Zhang&quot;,&quot;given&quot;:&quot;Zhen&quot;,&quot;parse-names&quot;:false,&quot;dropping-particle&quot;:&quot;&quot;,&quot;non-dropping-particle&quot;:&quot;&quot;},{&quot;family&quot;:&quot;Yang&quot;,&quot;given&quot;:&quot;Xuena&quot;,&quot;parse-names&quot;:false,&quot;dropping-particle&quot;:&quot;&quot;,&quot;non-dropping-particle&quot;:&quot;&quot;},{&quot;family&quot;:&quot;Meng&quot;,&quot;given&quot;:&quot;Peilin&quot;,&quot;parse-names&quot;:false,&quot;dropping-particle&quot;:&quot;&quot;,&quot;non-dropping-particle&quot;:&quot;&quot;},{&quot;family&quot;:&quot;Yao&quot;,&quot;given&quot;:&quot;Yao&quot;,&quot;parse-names&quot;:false,&quot;dropping-particle&quot;:&quot;&quot;,&quot;non-dropping-particle&quot;:&quot;&quot;},{&quot;family&quot;:&quot;Zhang&quot;,&quot;given&quot;:&quot;Feng&quot;,&quot;parse-names&quot;:false,&quot;dropping-particle&quot;:&quot;&quot;,&quot;non-dropping-particle&quot;:&quot;&quot;}],&quot;container-title&quot;:&quot;Frontiers in Psychiatry&quot;,&quot;container-title-short&quot;:&quot;Front Psychiatry&quot;,&quot;URL&quot;:&quot;https://vizhub.healthdata.org/gbd-&quot;,&quot;issued&quot;:{&quot;date-parts&quot;:[[2022]]},&quot;abstract&quot;:&quot;((((() A genetic association study reveals the relationship between the oral microbiome and anxiety and depression symptoms. Front. Background: Growing evidence supports that alterations in the gut microbiota play an essential role in the etiology of anxiety, depression, and other psychiatric disorders. However, the potential eeect of oral microbiota on mental health has received little attention. Methods: Using the latest genome-wide association study (GWAS) summary data of the oral microbiome, polygenic risk scores (PRSs) of fff salivary microbiomes and ddd tongue dorsum microbiomes were conducted. Logistic and linear regression models were applied to evaluate the relationship between salivary-tongue dorsum microbiome interactions with anxiety and depression. Two-sample Mendelian randomization (MR) was utilized to compute the causal eeects between the oral microbiome, anxiety, and depression.&quot;},&quot;isTemporary&quot;:false}],&quot;citationTag&quot;:&quot;MENDELEY_CITATION_v3_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&quot;},{&quot;citationID&quot;:&quot;MENDELEY_CITATION_cfde0b51-f695-4fb5-980b-3f1925faf2d3&quot;,&quot;properties&quot;:{&quot;noteIndex&quot;:0},&quot;isEdited&quot;:false,&quot;manualOverride&quot;:{&quot;isManuallyOverridden&quot;:false,&quot;citeprocText&quot;:&quot;&lt;sup&gt;3&lt;/sup&gt;&quot;,&quot;manualOverrideText&quot;:&quot;&quot;},&quot;citationItems&quot;:[{&quot;id&quot;:&quot;98cf8fb2-910b-3610-928e-74c195bf55ab&quot;,&quot;itemData&quot;:{&quot;type&quot;:&quot;article-journal&quot;,&quot;id&quot;:&quot;98cf8fb2-910b-3610-928e-74c195bf55ab&quot;,&quot;title&quot;:&quot;Assessing the variation within the oral microbiome of healthy adults&quot;,&quot;author&quot;:[{&quot;family&quot;:&quot;Nearing&quot;,&quot;given&quot;:&quot;Jacob T.&quot;,&quot;parse-names&quot;:false,&quot;dropping-particle&quot;:&quot;&quot;,&quot;non-dropping-particle&quot;:&quot;&quot;},{&quot;family&quot;:&quot;DeClercq&quot;,&quot;given&quot;:&quot;Vanessa&quot;,&quot;parse-names&quot;:false,&quot;dropping-particle&quot;:&quot;&quot;,&quot;non-dropping-particle&quot;:&quot;&quot;},{&quot;family&quot;:&quot;Limbergen&quot;,&quot;given&quot;:&quot;Johan&quot;,&quot;parse-names&quot;:false,&quot;dropping-particle&quot;:&quot;Van&quot;,&quot;non-dropping-particle&quot;:&quot;&quot;},{&quot;family&quot;:&quot;Langille&quot;,&quot;given&quot;:&quot;Morgan G.I.&quot;,&quot;parse-names&quot;:false,&quot;dropping-particle&quot;:&quot;&quot;,&quot;non-dropping-particle&quot;:&quot;&quot;}],&quot;container-title&quot;:&quot;mSphere&quot;,&quot;container-title-short&quot;:&quot;mSphere&quot;,&quot;DOI&quot;:&quot;10.18372/0370-2197.86.14492&quot;,&quot;ISSN&quot;:&quot;0370-2197&quot;,&quot;issued&quot;:{&quot;date-parts&quot;:[[2020]]},&quot;page&quot;:&quot;1-20&quot;,&quot;abstract&quot;:&quot;Over 1000 different species of microbes have been found to live within the human oral cavity where they play important roles in maintaining both oral and systemic health. Several studies have identified the core members of this microbial community, however, the factors that determine oral microbiome composition are not well understood. In this study we exam the salivary oral microbiome of 1049 Atlantic Canadians using 16S rRNA gene sequencing in order to determine which dietary, lifestyle, and anthropometric features play a role in shaping microbial community composition. Features that were identified as being significantly associated with overall composition were then additionally examined for genera and amplicon sequence variants that were associated with these features. Several associations were replicated in an additional secondary validation dataset. Overall, we found that several anthropometric measurements including waist hip ratio, height, and fat free mass, as well as age and sex, were associated with oral microbiome composition in both our exploratory and validation cohorts. We were unable to validate dietary impacts on the oral microbiome but did find evidence to suggest potential contributions from factors such as the number of vegetable and refined grain servings an individual consumes. Interestingly, each one of these factors on their own were associated with only minor shifts in the oral microbiome suggesting that future biomarker identification for several diseases associated with the oral microbiome may be undertaken without the worry of confounding factors obscuring biological signal. Importance: The human oral cavity is inhabited by a diverse community of microbes known as the human oral microbiome. These microbes play a role in maintaining both oral and systemic health and as such have been proposed to be useful biomarkers of disease. However, to identify these biomarkers, we first need to determine the composition and variation of the healthy oral microbiome. Within this report we investigate the oral microbiome of 1049 healthy individuals to determine which genera and amplicon sequence variants are commonly found between individual oral microbiomes. We then further investigate how lifestyle, anthropometric, and dietary choices impact overall microbiome composition. Interestingly, the results from this investigation showed that while many features were significantly associated with oral microbiome composition no single biological factor explained a variation larger than 2%. These results indicate that future work on biomarker detection may be encourage by the lack of strong confounding factors.&quot;,&quot;issue&quot;:&quot;September&quot;},&quot;isTemporary&quot;:false}],&quot;citationTag&quot;:&quot;MENDELEY_CITATION_v3_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&quot;},{&quot;citationID&quot;:&quot;MENDELEY_CITATION_5de10f4c-51fb-4d00-8e68-7b984cc5a286&quot;,&quot;properties&quot;:{&quot;noteIndex&quot;:0},&quot;isEdited&quot;:false,&quot;manualOverride&quot;:{&quot;isManuallyOverridden&quot;:false,&quot;citeprocText&quot;:&quot;&lt;sup&gt;16&lt;/sup&gt;&quot;,&quot;manualOverrideText&quot;:&quot;&quot;},&quot;citationItems&quot;:[{&quot;id&quot;:&quot;5accb5a4-69a4-3a62-a261-37e711aa1d1d&quot;,&quot;itemData&quot;:{&quot;type&quot;:&quot;article-journal&quot;,&quot;id&quot;:&quot;5accb5a4-69a4-3a62-a261-37e711aa1d1d&quot;,&quot;title&quot;:&quot;Citizen science charts two major \&quot;stomatotypes\&quot; in the oral microbiome of adolescents and reveals links with habits and drinking water composition&quot;,&quot;author&quot;:[{&quot;family&quot;:&quot;Willis&quot;,&quot;given&quot;:&quot;Jesse R.&quot;,&quot;parse-names&quot;:false,&quot;dropping-particle&quot;:&quot;&quot;,&quot;non-dropping-particle&quot;:&quot;&quot;},{&quot;family&quot;:&quot;González-Torres&quot;,&quot;given&quot;:&quot;Pedro&quot;,&quot;parse-names&quot;:false,&quot;dropping-particle&quot;:&quot;&quot;,&quot;non-dropping-particle&quot;:&quot;&quot;},{&quot;family&quot;:&quot;Pittis&quot;,&quot;given&quot;:&quot;Alexandros A.&quot;,&quot;parse-names&quot;:false,&quot;dropping-particle&quot;:&quot;&quot;,&quot;non-dropping-particle&quot;:&quot;&quot;},{&quot;family&quot;:&quot;Bejarano&quot;,&quot;given&quot;:&quot;Luis A.&quot;,&quot;parse-names&quot;:false,&quot;dropping-particle&quot;:&quot;&quot;,&quot;non-dropping-particle&quot;:&quot;&quot;},{&quot;family&quot;:&quot;Cozzuto&quot;,&quot;given&quot;:&quot;Luca&quot;,&quot;parse-names&quot;:false,&quot;dropping-particle&quot;:&quot;&quot;,&quot;non-dropping-particle&quot;:&quot;&quot;},{&quot;family&quot;:&quot;Andreu-Somavilla&quot;,&quot;given&quot;:&quot;Nuria&quot;,&quot;parse-names&quot;:false,&quot;dropping-particle&quot;:&quot;&quot;,&quot;non-dropping-particle&quot;:&quot;&quot;},{&quot;family&quot;:&quot;Alloza-Trabado&quot;,&quot;given&quot;:&quot;Miriam&quot;,&quot;parse-names&quot;:false,&quot;dropping-particle&quot;:&quot;&quot;,&quot;non-dropping-particle&quot;:&quot;&quot;},{&quot;family&quot;:&quot;Valentín&quot;,&quot;given&quot;:&quot;Antonia&quot;,&quot;parse-names&quot;:false,&quot;dropping-particle&quot;:&quot;&quot;,&quot;non-dropping-particle&quot;:&quot;&quot;},{&quot;family&quot;:&quot;Ksiezopolska&quot;,&quot;given&quot;:&quot;Ewa&quot;,&quot;parse-names&quot;:false,&quot;dropping-particle&quot;:&quot;&quot;,&quot;non-dropping-particle&quot;:&quot;&quot;},{&quot;family&quot;:&quot;Company&quot;,&quot;given&quot;:&quot;Carlos&quot;,&quot;parse-names&quot;:false,&quot;dropping-particle&quot;:&quot;&quot;,&quot;non-dropping-particle&quot;:&quot;&quot;},{&quot;family&quot;:&quot;Onywera&quot;,&quot;given&quot;:&quot;Harris&quot;,&quot;parse-names&quot;:false,&quot;dropping-particle&quot;:&quot;&quot;,&quot;non-dropping-particle&quot;:&quot;&quot;},{&quot;family&quot;:&quot;Montfort&quot;,&quot;given&quot;:&quot;Magda&quot;,&quot;parse-names&quot;:false,&quot;dropping-particle&quot;:&quot;&quot;,&quot;non-dropping-particle&quot;:&quot;&quot;},{&quot;family&quot;:&quot;Hermoso&quot;,&quot;given&quot;:&quot;Antonio&quot;,&quot;parse-names&quot;:false,&quot;dropping-particle&quot;:&quot;&quot;,&quot;non-dropping-particle&quot;:&quot;&quot;},{&quot;family&quot;:&quot;Iraola-Guzmán&quot;,&quot;given&quot;:&quot;Susana&quot;,&quot;parse-names&quot;:false,&quot;dropping-particle&quot;:&quot;&quot;,&quot;non-dropping-particle&quot;:&quot;&quot;},{&quot;family&quot;:&quot;Saus&quot;,&quot;given&quot;:&quot;Ester&quot;,&quot;parse-names&quot;:false,&quot;dropping-particle&quot;:&quot;&quot;,&quot;non-dropping-particle&quot;:&quot;&quot;},{&quot;family&quot;:&quot;Labeeuw&quot;,&quot;given&quot;:&quot;Annick&quot;,&quot;parse-names&quot;:false,&quot;dropping-particle&quot;:&quot;&quot;,&quot;non-dropping-particle&quot;:&quot;&quot;},{&quot;family&quot;:&quot;Carolis&quot;,&quot;given&quot;:&quot;Carlo&quot;,&quot;parse-names&quot;:false,&quot;dropping-particle&quot;:&quot;&quot;,&quot;non-dropping-particle&quot;:&quot;&quot;},{&quot;family&quot;:&quot;Hecht&quot;,&quot;given&quot;:&quot;Jochen&quot;,&quot;parse-names&quot;:false,&quot;dropping-particle&quot;:&quot;&quot;,&quot;non-dropping-particle&quot;:&quot;&quot;},{&quot;family&quot;:&quot;Ponomarenko&quot;,&quot;given&quot;:&quot;Julia&quot;,&quot;parse-names&quot;:false,&quot;dropping-particle&quot;:&quot;&quot;,&quot;non-dropping-particle&quot;:&quot;&quot;},{&quot;family&quot;:&quot;Gabaldón&quot;,&quot;given&quot;:&quot;Toni&quot;,&quot;parse-names&quot;:false,&quot;dropping-particle&quot;:&quot;&quot;,&quot;non-dropping-particle&quot;:&quot;&quot;}],&quot;container-title&quot;:&quot;Microbiome&quot;,&quot;container-title-short&quot;:&quot;Microbiome&quot;,&quot;DOI&quot;:&quot;10.1186/s40168-018-0592-3&quot;,&quot;ISSN&quot;:&quot;20492618&quot;,&quot;PMID&quot;:&quot;30522523&quot;,&quot;issued&quot;:{&quot;date-parts&quot;:[[2018,12,6]]},&quot;abstract&quot;:&quot;Background: The oral cavity comprises a rich and diverse microbiome, which plays important roles in health and disease. Previous studies have mostly focused on adult populations or in very young children, whereas the adolescent oral microbiome remains poorly studied. Here, we used a citizen science approach and 16S profiling to assess the oral microbiome of 1500 adolescents around Spain and its relationships with lifestyle, diet, hygiene, and socioeconomic and environmental parameters. Results: Our results provide a detailed snapshot of the adolescent oral microbiome and how it varies with lifestyle and other factors. In addition to hygiene and dietary habits, we found that the composition of tap water was related to important changes in the abundance of several bacterial genera. This points to an important role of drinking water in shaping the oral microbiota, which has been so far poorly explored. Overall, the microbiome samples of our study can be clustered into two broad compositional patterns (stomatotypes), driven mostly by Neisseria and Prevotella, respectively. These patterns show striking similarities with those found in unrelated populations. Conclusions: We hypothesize that these stomatotypes represent two possible global optimal equilibria in the oral microbiome that reflect underlying constraints of the human oral niche. As such, they should be found across a variety of geographical regions, lifestyles, and ages.&quot;,&quot;publisher&quot;:&quot;BioMed Central Ltd.&quot;,&quot;issue&quot;:&quot;1&quot;,&quot;volume&quot;:&quot;6&quot;},&quot;isTemporary&quot;:false}],&quot;citationTag&quot;:&quot;MENDELEY_CITATION_v3_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&quot;}]"/>
    <we:property name="MENDELEY_CITATIONS_LOCALE_CODE" value="&quot;en-GB&quot;"/>
    <we:property name="MENDELEY_CITATIONS_STYLE" value="{&quot;id&quot;:&quot;https://www.zotero.org/styles/nature-communications&quot;,&quot;title&quot;:&quot;Nature Communications&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B4D46-C3C7-A842-A924-7C2A95C53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12</Pages>
  <Words>5917</Words>
  <Characters>33733</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Wright</dc:creator>
  <cp:keywords/>
  <dc:description/>
  <cp:lastModifiedBy>PSAC Local 86001</cp:lastModifiedBy>
  <cp:revision>147</cp:revision>
  <cp:lastPrinted>2026-04-20T17:36:00Z</cp:lastPrinted>
  <dcterms:created xsi:type="dcterms:W3CDTF">2025-09-04T17:34:00Z</dcterms:created>
  <dcterms:modified xsi:type="dcterms:W3CDTF">2026-05-19T16:18:00Z</dcterms:modified>
</cp:coreProperties>
</file>