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123" w:rsidRDefault="00C10123" w:rsidP="00C10123">
      <w:pPr>
        <w:ind w:firstLine="360"/>
        <w:rPr>
          <w:sz w:val="18"/>
          <w:szCs w:val="18"/>
        </w:rPr>
      </w:pPr>
    </w:p>
    <w:p w:rsidR="00C10123" w:rsidRDefault="00C10123" w:rsidP="00C10123">
      <w:pPr>
        <w:spacing w:line="240" w:lineRule="auto"/>
        <w:ind w:firstLine="360"/>
        <w:rPr>
          <w:sz w:val="18"/>
          <w:szCs w:val="18"/>
        </w:rPr>
      </w:pPr>
      <w:r>
        <w:rPr>
          <w:rFonts w:hint="eastAsia"/>
          <w:noProof/>
          <w:sz w:val="18"/>
          <w:szCs w:val="18"/>
          <w:lang w:eastAsia="en-US"/>
        </w:rPr>
        <w:drawing>
          <wp:inline distT="0" distB="0" distL="114300" distR="114300" wp14:anchorId="7549D8C6" wp14:editId="2D0E0FE7">
            <wp:extent cx="4951730" cy="2943225"/>
            <wp:effectExtent l="0" t="0" r="1270" b="3175"/>
            <wp:docPr id="8" name="图片 8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ary Fig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173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123" w:rsidRDefault="00C10123" w:rsidP="00C10123">
      <w:pPr>
        <w:spacing w:line="240" w:lineRule="auto"/>
        <w:ind w:firstLine="360"/>
        <w:rPr>
          <w:sz w:val="18"/>
          <w:szCs w:val="18"/>
        </w:rPr>
      </w:pPr>
    </w:p>
    <w:p w:rsidR="00C10123" w:rsidRDefault="00C10123" w:rsidP="00C10123">
      <w:pPr>
        <w:ind w:firstLine="360"/>
        <w:rPr>
          <w:sz w:val="18"/>
          <w:szCs w:val="18"/>
        </w:rPr>
      </w:pPr>
      <w:proofErr w:type="gramStart"/>
      <w:r>
        <w:rPr>
          <w:rFonts w:hint="eastAsia"/>
          <w:sz w:val="18"/>
          <w:szCs w:val="18"/>
        </w:rPr>
        <w:t>Supplementary Figure 1.</w:t>
      </w:r>
      <w:proofErr w:type="gramEnd"/>
      <w:r>
        <w:rPr>
          <w:rFonts w:hint="eastAsia"/>
          <w:sz w:val="18"/>
          <w:szCs w:val="18"/>
        </w:rPr>
        <w:t xml:space="preserve"> </w:t>
      </w:r>
      <w:proofErr w:type="gramStart"/>
      <w:r>
        <w:rPr>
          <w:rFonts w:hint="eastAsia"/>
          <w:sz w:val="18"/>
          <w:szCs w:val="18"/>
        </w:rPr>
        <w:t xml:space="preserve">Effects of </w:t>
      </w:r>
      <w:r>
        <w:rPr>
          <w:rFonts w:hint="eastAsia"/>
          <w:i/>
          <w:iCs/>
          <w:sz w:val="18"/>
          <w:szCs w:val="18"/>
        </w:rPr>
        <w:t xml:space="preserve">L. </w:t>
      </w:r>
      <w:proofErr w:type="spellStart"/>
      <w:r>
        <w:rPr>
          <w:rFonts w:hint="eastAsia"/>
          <w:i/>
          <w:iCs/>
          <w:sz w:val="18"/>
          <w:szCs w:val="18"/>
        </w:rPr>
        <w:t>paracasei</w:t>
      </w:r>
      <w:proofErr w:type="spellEnd"/>
      <w:r>
        <w:rPr>
          <w:rFonts w:hint="eastAsia"/>
          <w:sz w:val="18"/>
          <w:szCs w:val="18"/>
        </w:rPr>
        <w:t xml:space="preserve"> R8 and its cell-free supernatant on egg production and cell viability.</w:t>
      </w:r>
      <w:proofErr w:type="gramEnd"/>
      <w:r>
        <w:rPr>
          <w:rFonts w:hint="eastAsia"/>
          <w:sz w:val="18"/>
          <w:szCs w:val="18"/>
        </w:rPr>
        <w:t xml:space="preserve"> (A) Egg production rate (%) of hens fed the control diet (C) or diet supplemented with </w:t>
      </w:r>
      <w:r>
        <w:rPr>
          <w:rFonts w:hint="eastAsia"/>
          <w:i/>
          <w:iCs/>
          <w:sz w:val="18"/>
          <w:szCs w:val="18"/>
        </w:rPr>
        <w:t xml:space="preserve">L. </w:t>
      </w:r>
      <w:proofErr w:type="spellStart"/>
      <w:r>
        <w:rPr>
          <w:rFonts w:hint="eastAsia"/>
          <w:i/>
          <w:iCs/>
          <w:sz w:val="18"/>
          <w:szCs w:val="18"/>
        </w:rPr>
        <w:t>paracasei</w:t>
      </w:r>
      <w:proofErr w:type="spellEnd"/>
      <w:r>
        <w:rPr>
          <w:rFonts w:hint="eastAsia"/>
          <w:sz w:val="18"/>
          <w:szCs w:val="18"/>
        </w:rPr>
        <w:t xml:space="preserve"> R8 (LP). (B) Viability of intestinal epithelial cells treated with serial dilutions (1/2</w:t>
      </w:r>
      <w:r>
        <w:rPr>
          <w:rFonts w:hint="eastAsia"/>
          <w:sz w:val="18"/>
          <w:szCs w:val="18"/>
        </w:rPr>
        <w:t>–</w:t>
      </w:r>
      <w:r>
        <w:rPr>
          <w:rFonts w:hint="eastAsia"/>
          <w:sz w:val="18"/>
          <w:szCs w:val="18"/>
        </w:rPr>
        <w:t xml:space="preserve">1/256) of </w:t>
      </w:r>
      <w:r>
        <w:rPr>
          <w:rFonts w:hint="eastAsia"/>
          <w:i/>
          <w:iCs/>
          <w:sz w:val="18"/>
          <w:szCs w:val="18"/>
        </w:rPr>
        <w:t xml:space="preserve">L. </w:t>
      </w:r>
      <w:proofErr w:type="spellStart"/>
      <w:r>
        <w:rPr>
          <w:rFonts w:hint="eastAsia"/>
          <w:i/>
          <w:iCs/>
          <w:sz w:val="18"/>
          <w:szCs w:val="18"/>
        </w:rPr>
        <w:t>paracasei</w:t>
      </w:r>
      <w:proofErr w:type="spellEnd"/>
      <w:r>
        <w:rPr>
          <w:rFonts w:hint="eastAsia"/>
          <w:sz w:val="18"/>
          <w:szCs w:val="18"/>
        </w:rPr>
        <w:t xml:space="preserve"> R8 cell-free supernatant, determined by CCK-8 assay. (C) Viability of ovarian granulosa cells treated with the same dilutions of </w:t>
      </w:r>
      <w:r>
        <w:rPr>
          <w:rFonts w:hint="eastAsia"/>
          <w:i/>
          <w:iCs/>
          <w:sz w:val="18"/>
          <w:szCs w:val="18"/>
        </w:rPr>
        <w:t xml:space="preserve">L. </w:t>
      </w:r>
      <w:proofErr w:type="spellStart"/>
      <w:r>
        <w:rPr>
          <w:rFonts w:hint="eastAsia"/>
          <w:i/>
          <w:iCs/>
          <w:sz w:val="18"/>
          <w:szCs w:val="18"/>
        </w:rPr>
        <w:t>paracasei</w:t>
      </w:r>
      <w:proofErr w:type="spellEnd"/>
      <w:r>
        <w:rPr>
          <w:rFonts w:hint="eastAsia"/>
          <w:sz w:val="18"/>
          <w:szCs w:val="18"/>
        </w:rPr>
        <w:t xml:space="preserve"> R8 cell-free supernatant, determined by CCK-8 assay. (D) Viability of intestinal epithelial cells treated with </w:t>
      </w:r>
      <w:proofErr w:type="spellStart"/>
      <w:r>
        <w:rPr>
          <w:rFonts w:hint="eastAsia"/>
          <w:sz w:val="18"/>
          <w:szCs w:val="18"/>
        </w:rPr>
        <w:t>CsA</w:t>
      </w:r>
      <w:proofErr w:type="spellEnd"/>
      <w:r>
        <w:rPr>
          <w:rFonts w:hint="eastAsia"/>
          <w:sz w:val="18"/>
          <w:szCs w:val="18"/>
        </w:rPr>
        <w:t xml:space="preserve"> (0-20</w:t>
      </w:r>
      <w:r>
        <w:rPr>
          <w:rFonts w:cs="Times New Roman"/>
          <w:sz w:val="18"/>
          <w:szCs w:val="18"/>
        </w:rPr>
        <w:t>μ</w:t>
      </w:r>
      <w:r>
        <w:rPr>
          <w:rFonts w:hint="eastAsia"/>
          <w:sz w:val="18"/>
          <w:szCs w:val="18"/>
        </w:rPr>
        <w:t xml:space="preserve">mol/L), determined by CCK-8 assay. (E) Viability of ovarian granulosa cells treated with </w:t>
      </w:r>
      <w:proofErr w:type="spellStart"/>
      <w:r>
        <w:rPr>
          <w:rFonts w:hint="eastAsia"/>
          <w:sz w:val="18"/>
          <w:szCs w:val="18"/>
        </w:rPr>
        <w:t>CsA</w:t>
      </w:r>
      <w:proofErr w:type="spellEnd"/>
      <w:r>
        <w:rPr>
          <w:rFonts w:hint="eastAsia"/>
          <w:sz w:val="18"/>
          <w:szCs w:val="18"/>
        </w:rPr>
        <w:t xml:space="preserve"> (0-20</w:t>
      </w:r>
      <w:r>
        <w:rPr>
          <w:rFonts w:cs="Times New Roman"/>
          <w:sz w:val="18"/>
          <w:szCs w:val="18"/>
        </w:rPr>
        <w:t>μ</w:t>
      </w:r>
      <w:r>
        <w:rPr>
          <w:rFonts w:hint="eastAsia"/>
          <w:sz w:val="18"/>
          <w:szCs w:val="18"/>
        </w:rPr>
        <w:t xml:space="preserve">mol/L), determined by CCK-8 assay. Data are expressed as mean </w:t>
      </w:r>
      <w:r>
        <w:rPr>
          <w:rFonts w:hint="eastAsia"/>
          <w:sz w:val="18"/>
          <w:szCs w:val="18"/>
        </w:rPr>
        <w:t>±</w:t>
      </w:r>
      <w:r>
        <w:rPr>
          <w:rFonts w:hint="eastAsia"/>
          <w:sz w:val="18"/>
          <w:szCs w:val="18"/>
        </w:rPr>
        <w:t xml:space="preserve"> SD. Different letters indicate significant differences among groups (</w:t>
      </w:r>
      <w:r>
        <w:rPr>
          <w:rFonts w:hint="eastAsia"/>
          <w:i/>
          <w:iCs/>
          <w:sz w:val="18"/>
          <w:szCs w:val="18"/>
        </w:rPr>
        <w:t>p</w:t>
      </w:r>
      <w:r>
        <w:rPr>
          <w:rFonts w:hint="eastAsia"/>
          <w:sz w:val="18"/>
          <w:szCs w:val="18"/>
        </w:rPr>
        <w:t xml:space="preserve"> &lt; 0.05); **</w:t>
      </w:r>
      <w:r>
        <w:rPr>
          <w:rFonts w:hint="eastAsia"/>
          <w:i/>
          <w:iCs/>
          <w:sz w:val="18"/>
          <w:szCs w:val="18"/>
        </w:rPr>
        <w:t>p</w:t>
      </w:r>
      <w:r>
        <w:rPr>
          <w:rFonts w:hint="eastAsia"/>
          <w:sz w:val="18"/>
          <w:szCs w:val="18"/>
        </w:rPr>
        <w:t xml:space="preserve"> &lt; 0.01</w:t>
      </w:r>
      <w:r>
        <w:rPr>
          <w:rFonts w:hint="eastAsia"/>
          <w:sz w:val="18"/>
          <w:szCs w:val="18"/>
        </w:rPr>
        <w:t>，</w:t>
      </w:r>
      <w:r>
        <w:rPr>
          <w:rFonts w:hint="eastAsia"/>
          <w:sz w:val="18"/>
          <w:szCs w:val="18"/>
        </w:rPr>
        <w:t>*</w:t>
      </w:r>
      <w:r>
        <w:rPr>
          <w:rFonts w:hint="eastAsia"/>
          <w:i/>
          <w:iCs/>
          <w:sz w:val="18"/>
          <w:szCs w:val="18"/>
        </w:rPr>
        <w:t>p</w:t>
      </w:r>
      <w:r>
        <w:rPr>
          <w:rFonts w:hint="eastAsia"/>
          <w:sz w:val="18"/>
          <w:szCs w:val="18"/>
        </w:rPr>
        <w:t>&lt;0.05.</w:t>
      </w:r>
    </w:p>
    <w:p w:rsidR="00EF0FD3" w:rsidRDefault="00EF0FD3" w:rsidP="00C10123">
      <w:pPr>
        <w:ind w:firstLine="480"/>
      </w:pPr>
      <w:bookmarkStart w:id="0" w:name="_GoBack"/>
      <w:bookmarkEnd w:id="0"/>
    </w:p>
    <w:sectPr w:rsidR="00EF0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123"/>
    <w:rsid w:val="0000633F"/>
    <w:rsid w:val="00012B10"/>
    <w:rsid w:val="00020FB7"/>
    <w:rsid w:val="00031E65"/>
    <w:rsid w:val="000373EB"/>
    <w:rsid w:val="00044E0D"/>
    <w:rsid w:val="00073485"/>
    <w:rsid w:val="00076459"/>
    <w:rsid w:val="0008638B"/>
    <w:rsid w:val="000B6A78"/>
    <w:rsid w:val="000D7D65"/>
    <w:rsid w:val="00103B03"/>
    <w:rsid w:val="0010419E"/>
    <w:rsid w:val="00110836"/>
    <w:rsid w:val="00120726"/>
    <w:rsid w:val="00120B52"/>
    <w:rsid w:val="00122B79"/>
    <w:rsid w:val="00166A81"/>
    <w:rsid w:val="001D0D8A"/>
    <w:rsid w:val="001E095A"/>
    <w:rsid w:val="00224314"/>
    <w:rsid w:val="00240F81"/>
    <w:rsid w:val="00244AB2"/>
    <w:rsid w:val="00250C59"/>
    <w:rsid w:val="0028171E"/>
    <w:rsid w:val="0029010A"/>
    <w:rsid w:val="00293D7E"/>
    <w:rsid w:val="002B699B"/>
    <w:rsid w:val="002E726F"/>
    <w:rsid w:val="002F6595"/>
    <w:rsid w:val="003067DD"/>
    <w:rsid w:val="003209D6"/>
    <w:rsid w:val="00374B20"/>
    <w:rsid w:val="003A7BA1"/>
    <w:rsid w:val="00405344"/>
    <w:rsid w:val="00451765"/>
    <w:rsid w:val="004565B0"/>
    <w:rsid w:val="00457540"/>
    <w:rsid w:val="00476643"/>
    <w:rsid w:val="0049634E"/>
    <w:rsid w:val="004A1A9C"/>
    <w:rsid w:val="004D1714"/>
    <w:rsid w:val="00500D04"/>
    <w:rsid w:val="0050451B"/>
    <w:rsid w:val="005050CA"/>
    <w:rsid w:val="00507030"/>
    <w:rsid w:val="005465E6"/>
    <w:rsid w:val="005807A2"/>
    <w:rsid w:val="00586119"/>
    <w:rsid w:val="00586CFF"/>
    <w:rsid w:val="00593C91"/>
    <w:rsid w:val="005B792D"/>
    <w:rsid w:val="005D1B95"/>
    <w:rsid w:val="005E58CB"/>
    <w:rsid w:val="005E5EE4"/>
    <w:rsid w:val="00633EC3"/>
    <w:rsid w:val="00640309"/>
    <w:rsid w:val="00647C8C"/>
    <w:rsid w:val="00671506"/>
    <w:rsid w:val="0068585C"/>
    <w:rsid w:val="00697F44"/>
    <w:rsid w:val="006D6895"/>
    <w:rsid w:val="006E580B"/>
    <w:rsid w:val="00712D38"/>
    <w:rsid w:val="0071313E"/>
    <w:rsid w:val="007168B4"/>
    <w:rsid w:val="00756929"/>
    <w:rsid w:val="00777103"/>
    <w:rsid w:val="007771E4"/>
    <w:rsid w:val="0078190A"/>
    <w:rsid w:val="00796916"/>
    <w:rsid w:val="007C5BF4"/>
    <w:rsid w:val="0080167C"/>
    <w:rsid w:val="00814C44"/>
    <w:rsid w:val="0083667C"/>
    <w:rsid w:val="00841FE6"/>
    <w:rsid w:val="008971D6"/>
    <w:rsid w:val="00897F34"/>
    <w:rsid w:val="008B30DF"/>
    <w:rsid w:val="008D3283"/>
    <w:rsid w:val="008D3626"/>
    <w:rsid w:val="00940CDD"/>
    <w:rsid w:val="00962301"/>
    <w:rsid w:val="009B3675"/>
    <w:rsid w:val="009F64FD"/>
    <w:rsid w:val="009F72A5"/>
    <w:rsid w:val="00A76F69"/>
    <w:rsid w:val="00AA7E87"/>
    <w:rsid w:val="00AF7792"/>
    <w:rsid w:val="00B03928"/>
    <w:rsid w:val="00B32417"/>
    <w:rsid w:val="00B447F1"/>
    <w:rsid w:val="00B7057D"/>
    <w:rsid w:val="00B823D5"/>
    <w:rsid w:val="00B856AA"/>
    <w:rsid w:val="00B86664"/>
    <w:rsid w:val="00B95716"/>
    <w:rsid w:val="00BA190E"/>
    <w:rsid w:val="00BA6E9A"/>
    <w:rsid w:val="00BD1BDF"/>
    <w:rsid w:val="00BE0919"/>
    <w:rsid w:val="00C10123"/>
    <w:rsid w:val="00C21F41"/>
    <w:rsid w:val="00C24F63"/>
    <w:rsid w:val="00C44B10"/>
    <w:rsid w:val="00C53B14"/>
    <w:rsid w:val="00CB1BD7"/>
    <w:rsid w:val="00CB277C"/>
    <w:rsid w:val="00CF54B6"/>
    <w:rsid w:val="00D576C5"/>
    <w:rsid w:val="00DA119D"/>
    <w:rsid w:val="00DA26BE"/>
    <w:rsid w:val="00DE7D8A"/>
    <w:rsid w:val="00E018E4"/>
    <w:rsid w:val="00E07565"/>
    <w:rsid w:val="00E337F2"/>
    <w:rsid w:val="00E36698"/>
    <w:rsid w:val="00E367CC"/>
    <w:rsid w:val="00E615BA"/>
    <w:rsid w:val="00E717A0"/>
    <w:rsid w:val="00E8304F"/>
    <w:rsid w:val="00EB59D9"/>
    <w:rsid w:val="00EC19D9"/>
    <w:rsid w:val="00EE0E98"/>
    <w:rsid w:val="00EF0FD3"/>
    <w:rsid w:val="00F461CF"/>
    <w:rsid w:val="00F52B90"/>
    <w:rsid w:val="00F74467"/>
    <w:rsid w:val="00FC0BB2"/>
    <w:rsid w:val="00FC3B65"/>
    <w:rsid w:val="00FC56C8"/>
    <w:rsid w:val="00FC6345"/>
    <w:rsid w:val="00FF2CD0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123"/>
    <w:pPr>
      <w:widowControl w:val="0"/>
      <w:spacing w:after="0" w:line="480" w:lineRule="exact"/>
      <w:ind w:firstLineChars="200" w:firstLine="200"/>
      <w:jc w:val="both"/>
    </w:pPr>
    <w:rPr>
      <w:rFonts w:ascii="Times New Roman" w:eastAsia="SimSun" w:hAnsi="Times New Roman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01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123"/>
    <w:rPr>
      <w:rFonts w:ascii="Tahoma" w:eastAsia="SimSun" w:hAnsi="Tahoma" w:cs="Tahoma"/>
      <w:kern w:val="2"/>
      <w:sz w:val="16"/>
      <w:szCs w:val="16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123"/>
    <w:pPr>
      <w:widowControl w:val="0"/>
      <w:spacing w:after="0" w:line="480" w:lineRule="exact"/>
      <w:ind w:firstLineChars="200" w:firstLine="200"/>
      <w:jc w:val="both"/>
    </w:pPr>
    <w:rPr>
      <w:rFonts w:ascii="Times New Roman" w:eastAsia="SimSun" w:hAnsi="Times New Roman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01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123"/>
    <w:rPr>
      <w:rFonts w:ascii="Tahoma" w:eastAsia="SimSun" w:hAnsi="Tahoma" w:cs="Tahoma"/>
      <w:kern w:val="2"/>
      <w:sz w:val="16"/>
      <w:szCs w:val="16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Esteve Salibongcogon Thomas</dc:creator>
  <cp:lastModifiedBy>Esteve Salibongcogon Thomas</cp:lastModifiedBy>
  <cp:revision>1</cp:revision>
  <dcterms:created xsi:type="dcterms:W3CDTF">2026-07-10T01:04:00Z</dcterms:created>
  <dcterms:modified xsi:type="dcterms:W3CDTF">2026-07-10T01:05:00Z</dcterms:modified>
</cp:coreProperties>
</file>