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181" w:rsidRPr="001B36B6" w:rsidRDefault="00803181" w:rsidP="00803181">
      <w:pPr>
        <w:spacing w:after="0" w:line="300" w:lineRule="auto"/>
        <w:jc w:val="both"/>
        <w:outlineLvl w:val="0"/>
        <w:rPr>
          <w:rFonts w:ascii="Times New Roman" w:eastAsia="SimSun" w:hAnsi="Times New Roman" w:cs="Times New Roman"/>
          <w:b/>
          <w:bCs/>
          <w:color w:val="000000" w:themeColor="text1"/>
          <w:sz w:val="21"/>
          <w:szCs w:val="21"/>
        </w:rPr>
      </w:pP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>：</w:t>
      </w:r>
    </w:p>
    <w:p w:rsidR="00803181" w:rsidRPr="001B36B6" w:rsidRDefault="00803181" w:rsidP="00803181">
      <w:pPr>
        <w:jc w:val="center"/>
        <w:rPr>
          <w:color w:val="000000" w:themeColor="text1"/>
        </w:rPr>
      </w:pPr>
      <w:r w:rsidRPr="001B36B6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3BE0173D" wp14:editId="1EE855A1">
            <wp:extent cx="5269230" cy="3600450"/>
            <wp:effectExtent l="0" t="0" r="7620" b="0"/>
            <wp:docPr id="14551536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Supplementary Figure 1  PKEN-KanR-mCherry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 plasmid mapping</w:t>
      </w:r>
    </w:p>
    <w:p w:rsidR="00803181" w:rsidRPr="001B36B6" w:rsidRDefault="00803181" w:rsidP="00803181">
      <w:pPr>
        <w:spacing w:after="0" w:line="300" w:lineRule="auto"/>
        <w:jc w:val="center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1B36B6">
        <w:rPr>
          <w:rFonts w:ascii="Times New Roman" w:eastAsia="SimSun" w:hAnsi="Times New Roman" w:cs="Times New Roman"/>
          <w:noProof/>
          <w:color w:val="000000" w:themeColor="text1"/>
          <w:sz w:val="21"/>
          <w:szCs w:val="21"/>
          <w:lang w:eastAsia="en-US"/>
        </w:rPr>
        <w:drawing>
          <wp:inline distT="0" distB="0" distL="0" distR="0" wp14:anchorId="5229CC7E" wp14:editId="2896D0CC">
            <wp:extent cx="5273040" cy="3326130"/>
            <wp:effectExtent l="0" t="0" r="3810" b="7620"/>
            <wp:docPr id="3490576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 w:line="30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Supplementary Figure 2  Growth of strains on plates subjected to different salt stresses</w:t>
      </w:r>
    </w:p>
    <w:p w:rsidR="00803181" w:rsidRPr="001B36B6" w:rsidRDefault="00803181" w:rsidP="00803181">
      <w:pPr>
        <w:widowControl/>
        <w:spacing w:after="0" w:line="300" w:lineRule="auto"/>
        <w:ind w:left="361" w:hangingChars="200" w:hanging="361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Note: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 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PY-1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Pseudomonas fulva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Ma-1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Raoultella terrigena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Cya-1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Kosakonia cowanii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Cya-2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Bacillus stercoris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QP-1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Serratia marcescens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Ly-1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Novosphingobium capsulatum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.0, 1, 2, 3 indicate the additional NaCl concentrations in mol/L.</w:t>
      </w:r>
    </w:p>
    <w:p w:rsidR="00803181" w:rsidRPr="001B36B6" w:rsidRDefault="00803181" w:rsidP="00803181">
      <w:pPr>
        <w:spacing w:line="300" w:lineRule="auto"/>
        <w:jc w:val="center"/>
        <w:rPr>
          <w:rFonts w:ascii="Times New Roman" w:eastAsia="SimSun" w:hAnsi="Times New Roman" w:cs="Times New Roman"/>
          <w:color w:val="000000" w:themeColor="text1"/>
        </w:rPr>
      </w:pPr>
      <w:r w:rsidRPr="001B36B6">
        <w:rPr>
          <w:rFonts w:ascii="Times New Roman" w:eastAsia="SimSun" w:hAnsi="Times New Roman" w:cs="Times New Roman"/>
          <w:noProof/>
          <w:color w:val="000000" w:themeColor="text1"/>
          <w:lang w:eastAsia="en-US"/>
        </w:rPr>
        <w:lastRenderedPageBreak/>
        <w:drawing>
          <wp:inline distT="0" distB="0" distL="0" distR="0" wp14:anchorId="3CD4DF7A" wp14:editId="4D8E1C18">
            <wp:extent cx="5261610" cy="807720"/>
            <wp:effectExtent l="0" t="0" r="0" b="0"/>
            <wp:docPr id="7512453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 w:line="30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 xml:space="preserve">Supplementary 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Figure </w:t>
      </w: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3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  Root vigor of each group under high salt 250 mmol/L NaCl stress</w:t>
      </w:r>
    </w:p>
    <w:p w:rsidR="00803181" w:rsidRPr="001B36B6" w:rsidRDefault="00803181" w:rsidP="00803181">
      <w:pPr>
        <w:pStyle w:val="Caption"/>
        <w:spacing w:after="0" w:line="30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Note:</w:t>
      </w:r>
      <w:r w:rsidRPr="001B36B6">
        <w:rPr>
          <w:rFonts w:ascii="Times New Roman" w:eastAsia="SimSun" w:hAnsi="Times New Roman" w:cs="Times New Roman" w:hint="eastAsia"/>
          <w:bCs/>
          <w:color w:val="000000" w:themeColor="text1"/>
          <w:sz w:val="18"/>
          <w:szCs w:val="18"/>
          <w14:ligatures w14:val="none"/>
        </w:rPr>
        <w:t xml:space="preserve"> The CK group is the control for assessing root vitality after root destruction. </w:t>
      </w:r>
    </w:p>
    <w:p w:rsidR="00803181" w:rsidRPr="001B36B6" w:rsidRDefault="00803181" w:rsidP="00803181">
      <w:pPr>
        <w:spacing w:line="300" w:lineRule="auto"/>
        <w:jc w:val="center"/>
        <w:rPr>
          <w:rFonts w:ascii="Times New Roman" w:eastAsia="SimSun" w:hAnsi="Times New Roman" w:cs="Times New Roman"/>
          <w:color w:val="000000" w:themeColor="text1"/>
        </w:rPr>
      </w:pPr>
      <w:bookmarkStart w:id="0" w:name="_GoBack"/>
      <w:r w:rsidRPr="001B36B6">
        <w:rPr>
          <w:rFonts w:ascii="Times New Roman" w:eastAsia="SimSun" w:hAnsi="Times New Roman" w:cs="Times New Roman"/>
          <w:noProof/>
          <w:color w:val="000000" w:themeColor="text1"/>
          <w:kern w:val="0"/>
          <w:szCs w:val="21"/>
          <w:lang w:eastAsia="en-US"/>
        </w:rPr>
        <w:drawing>
          <wp:inline distT="0" distB="0" distL="0" distR="0" wp14:anchorId="5FD89737" wp14:editId="132DF24C">
            <wp:extent cx="4324350" cy="3790950"/>
            <wp:effectExtent l="0" t="0" r="0" b="0"/>
            <wp:docPr id="2388066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803181" w:rsidRPr="001B36B6" w:rsidRDefault="00803181" w:rsidP="00803181">
      <w:pPr>
        <w:pStyle w:val="Caption"/>
        <w:spacing w:after="0" w:line="30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 xml:space="preserve">Supplementary 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Figure </w:t>
      </w: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4</w:t>
      </w: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 xml:space="preserve">  Root vigor values of each group under high salt 250 mmol/L NaCl stress</w:t>
      </w:r>
    </w:p>
    <w:p w:rsidR="00803181" w:rsidRPr="001B36B6" w:rsidRDefault="00803181" w:rsidP="00803181">
      <w:pPr>
        <w:widowControl/>
        <w:spacing w:after="0" w:line="300" w:lineRule="auto"/>
        <w:ind w:left="361" w:hangingChars="200" w:hanging="361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  <w:t>Note:</w:t>
      </w:r>
      <w:r w:rsidRPr="001B36B6">
        <w:rPr>
          <w:rFonts w:ascii="Times New Roman" w:eastAsia="SimSun" w:hAnsi="Times New Roman" w:cs="Times New Roman"/>
          <w:bCs/>
          <w:color w:val="000000" w:themeColor="text1"/>
          <w:sz w:val="18"/>
          <w:szCs w:val="18"/>
          <w14:ligatures w14:val="none"/>
        </w:rPr>
        <w:t xml:space="preserve"> Salt stress was applied at 250 mmol/L NaCl. </w:t>
      </w:r>
      <w:r w:rsidRPr="001B36B6">
        <w:rPr>
          <w:rFonts w:ascii="Times New Roman" w:eastAsia="SimSun" w:hAnsi="Times New Roman" w:cs="Times New Roman" w:hint="eastAsia"/>
          <w:bCs/>
          <w:color w:val="000000" w:themeColor="text1"/>
          <w:sz w:val="18"/>
          <w:szCs w:val="18"/>
          <w14:ligatures w14:val="none"/>
        </w:rPr>
        <w:t xml:space="preserve">The </w:t>
      </w:r>
      <w:r w:rsidRPr="001B36B6">
        <w:rPr>
          <w:rFonts w:ascii="Times New Roman" w:eastAsia="SimSun" w:hAnsi="Times New Roman" w:cs="Times New Roman"/>
          <w:bCs/>
          <w:color w:val="000000" w:themeColor="text1"/>
          <w:sz w:val="18"/>
          <w:szCs w:val="18"/>
          <w14:ligatures w14:val="none"/>
        </w:rPr>
        <w:t xml:space="preserve">H₂O group received water only; </w:t>
      </w:r>
      <w:r w:rsidRPr="001B36B6">
        <w:rPr>
          <w:rFonts w:ascii="Times New Roman" w:eastAsia="SimSun" w:hAnsi="Times New Roman" w:cs="Times New Roman" w:hint="eastAsia"/>
          <w:bCs/>
          <w:color w:val="000000" w:themeColor="text1"/>
          <w:sz w:val="18"/>
          <w:szCs w:val="18"/>
          <w14:ligatures w14:val="none"/>
        </w:rPr>
        <w:t xml:space="preserve">The </w:t>
      </w:r>
      <w:r w:rsidRPr="001B36B6">
        <w:rPr>
          <w:rFonts w:ascii="Times New Roman" w:eastAsia="SimSun" w:hAnsi="Times New Roman" w:cs="Times New Roman"/>
          <w:bCs/>
          <w:color w:val="000000" w:themeColor="text1"/>
          <w:sz w:val="18"/>
          <w:szCs w:val="18"/>
          <w14:ligatures w14:val="none"/>
        </w:rPr>
        <w:t xml:space="preserve">H₂O+NaCl group received NaCl solution without bacterial inoculum. 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PY-1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Pseudomonas fulva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Ma-1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Raoultella terrigena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Cya-1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Kosakonia cowanii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Cya-2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Bacillus stercoris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QP-1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Serratia marcescens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Ly-1 </w:t>
      </w:r>
      <w:r w:rsidRPr="001B36B6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Novosphingobium capsulatum</w:t>
      </w:r>
      <w:r w:rsidRPr="001B36B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.</w:t>
      </w:r>
      <w:r w:rsidRPr="001B36B6">
        <w:rPr>
          <w:color w:val="000000" w:themeColor="text1"/>
        </w:rPr>
        <w:t xml:space="preserve"> </w:t>
      </w:r>
    </w:p>
    <w:p w:rsidR="00803181" w:rsidRPr="001B36B6" w:rsidRDefault="00803181" w:rsidP="00803181">
      <w:pPr>
        <w:spacing w:after="0" w:line="30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1"/>
          <w:szCs w:val="21"/>
        </w:rPr>
      </w:pPr>
      <w:r w:rsidRPr="001B36B6">
        <w:rPr>
          <w:rFonts w:ascii="Times New Roman" w:eastAsia="SimSun" w:hAnsi="Times New Roman" w:cs="Times New Roman"/>
          <w:b/>
          <w:bCs/>
          <w:noProof/>
          <w:color w:val="000000" w:themeColor="text1"/>
          <w:sz w:val="21"/>
          <w:szCs w:val="21"/>
          <w:lang w:eastAsia="en-US"/>
        </w:rPr>
        <w:lastRenderedPageBreak/>
        <w:drawing>
          <wp:inline distT="0" distB="0" distL="0" distR="0" wp14:anchorId="64B514DD" wp14:editId="11EE5886">
            <wp:extent cx="4821130" cy="5690571"/>
            <wp:effectExtent l="0" t="0" r="0" b="5715"/>
            <wp:docPr id="553797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995" cy="569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 xml:space="preserve">Supplementary Figure 5  Diversity of microbial bacterial and fungal communities in the inter-root of cucumber </w:t>
      </w:r>
    </w:p>
    <w:p w:rsidR="00803181" w:rsidRPr="001B36B6" w:rsidRDefault="00803181" w:rsidP="00803181">
      <w:pPr>
        <w:spacing w:after="0" w:line="300" w:lineRule="auto"/>
        <w:jc w:val="both"/>
        <w:rPr>
          <w:rFonts w:ascii="Times New Roman" w:eastAsia="SimSu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18"/>
          <w:szCs w:val="18"/>
        </w:rPr>
        <w:t>Note: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1B36B6">
        <w:rPr>
          <w:rFonts w:ascii="Times New Roman" w:eastAsia="SimSun" w:hAnsi="Times New Roman" w:cs="Times New Roman"/>
          <w:color w:val="000000" w:themeColor="text1"/>
          <w:sz w:val="18"/>
          <w:szCs w:val="18"/>
        </w:rPr>
        <w:t>A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>:</w:t>
      </w:r>
      <w:r w:rsidRPr="001B36B6">
        <w:rPr>
          <w:rFonts w:ascii="Times New Roman" w:eastAsia="SimSun" w:hAnsi="Times New Roman" w:cs="Times New Roman"/>
          <w:color w:val="000000" w:themeColor="text1"/>
          <w:sz w:val="18"/>
          <w:szCs w:val="18"/>
        </w:rPr>
        <w:t xml:space="preserve"> α-diversity of bacterial (A1, Shannon index; A2, Sobs index) and fungal (A3, Shannon index; A4, Sobs index) communities in the cucumber rhizosphere. B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>:</w:t>
      </w:r>
      <w:r w:rsidRPr="001B36B6">
        <w:rPr>
          <w:rFonts w:ascii="Times New Roman" w:eastAsia="SimSun" w:hAnsi="Times New Roman" w:cs="Times New Roman"/>
          <w:color w:val="000000" w:themeColor="text1"/>
          <w:sz w:val="18"/>
          <w:szCs w:val="18"/>
        </w:rPr>
        <w:t xml:space="preserve"> Principal coordinates analysis (PCoA) of bacterial β-diversity. C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>:</w:t>
      </w:r>
      <w:r w:rsidRPr="001B36B6">
        <w:rPr>
          <w:rFonts w:ascii="Times New Roman" w:eastAsia="SimSun" w:hAnsi="Times New Roman" w:cs="Times New Roman"/>
          <w:color w:val="000000" w:themeColor="text1"/>
          <w:sz w:val="18"/>
          <w:szCs w:val="18"/>
        </w:rPr>
        <w:t xml:space="preserve"> PCoA of fungal β-diversity.</w:t>
      </w:r>
    </w:p>
    <w:p w:rsidR="00803181" w:rsidRPr="001B36B6" w:rsidRDefault="00803181" w:rsidP="00803181">
      <w:pPr>
        <w:spacing w:after="0" w:line="30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1"/>
          <w:szCs w:val="21"/>
        </w:rPr>
      </w:pPr>
      <w:r w:rsidRPr="001B36B6">
        <w:rPr>
          <w:rFonts w:ascii="Times New Roman" w:eastAsia="SimSun" w:hAnsi="Times New Roman" w:cs="Times New Roman"/>
          <w:b/>
          <w:bCs/>
          <w:noProof/>
          <w:color w:val="000000" w:themeColor="text1"/>
          <w:sz w:val="21"/>
          <w:szCs w:val="21"/>
          <w:lang w:eastAsia="en-US"/>
        </w:rPr>
        <w:lastRenderedPageBreak/>
        <w:drawing>
          <wp:inline distT="0" distB="0" distL="0" distR="0" wp14:anchorId="7FC6D847" wp14:editId="0A642690">
            <wp:extent cx="5273040" cy="2232660"/>
            <wp:effectExtent l="0" t="0" r="3810" b="0"/>
            <wp:docPr id="3349985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Supplementary Figure 6  Comparative metabolomic analysis of representative strains</w:t>
      </w:r>
    </w:p>
    <w:p w:rsidR="00803181" w:rsidRPr="001B36B6" w:rsidRDefault="00803181" w:rsidP="00803181">
      <w:pPr>
        <w:spacing w:after="0" w:line="300" w:lineRule="auto"/>
        <w:jc w:val="both"/>
        <w:rPr>
          <w:rFonts w:ascii="Times New Roman" w:eastAsia="SimSu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18"/>
          <w:szCs w:val="18"/>
        </w:rPr>
        <w:t>Note: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 xml:space="preserve"> A: Principal component analysis (PCA) score plot of metabolite profiles. B: Hierarchical clustering heatmap of differentially metabolites. QC, quality control samples. PY-1-1, strain PY-1 cultured with 1 mol/L NaCl; PY-1-0, PY-1 under non-stress conditions. QP-1-1, strain QP-1 cultured with 1 mol/L NaCl; QP-1-0, QP-1 under non-stress conditions.</w:t>
      </w:r>
    </w:p>
    <w:p w:rsidR="00803181" w:rsidRPr="001B36B6" w:rsidRDefault="00803181" w:rsidP="00803181">
      <w:pPr>
        <w:jc w:val="center"/>
        <w:rPr>
          <w:color w:val="000000" w:themeColor="text1"/>
        </w:rPr>
      </w:pPr>
      <w:r w:rsidRPr="001B36B6">
        <w:rPr>
          <w:noProof/>
          <w:color w:val="000000" w:themeColor="text1"/>
          <w:lang w:eastAsia="en-US"/>
        </w:rPr>
        <w:drawing>
          <wp:inline distT="0" distB="0" distL="0" distR="0" wp14:anchorId="3F282513" wp14:editId="02231DAD">
            <wp:extent cx="5307330" cy="3303270"/>
            <wp:effectExtent l="0" t="0" r="7620" b="0"/>
            <wp:docPr id="1283934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Supplementary Figure 7  Comparative metabolomic analysis of strains PY-1</w:t>
      </w:r>
    </w:p>
    <w:p w:rsidR="00803181" w:rsidRPr="001B36B6" w:rsidRDefault="00803181" w:rsidP="00803181">
      <w:pPr>
        <w:spacing w:after="0" w:line="300" w:lineRule="auto"/>
        <w:ind w:left="361" w:hangingChars="200" w:hanging="361"/>
        <w:jc w:val="both"/>
        <w:rPr>
          <w:rFonts w:ascii="Times New Roman" w:eastAsia="SimSun" w:hAnsi="Times New Roman" w:cs="Times New Roman"/>
          <w:bCs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Note:</w:t>
      </w:r>
      <w:r w:rsidRPr="001B36B6">
        <w:rPr>
          <w:rFonts w:ascii="Times New Roman" w:eastAsia="SimSun" w:hAnsi="Times New Roman" w:cs="Times New Roman" w:hint="eastAsia"/>
          <w:bCs/>
          <w:color w:val="000000" w:themeColor="text1"/>
          <w:sz w:val="18"/>
          <w:szCs w:val="18"/>
          <w14:ligatures w14:val="none"/>
        </w:rPr>
        <w:t xml:space="preserve"> A, B: Differential abundance score (DA Score) plots for PY-1-1 versus PY-1-0 in positive (pos) and negative (neg) ionization modes. The x-axis reflects integrated metabolite perturbation within each KEGG pathway (y-axis). Line length indicates absolute DA score magnitude, while dot size corresponds to metabolite count per pathway.Rightward dots denote pathway enrichment (upregulation); leftward dots indicate depletion (downregulation).</w:t>
      </w:r>
    </w:p>
    <w:p w:rsidR="00803181" w:rsidRPr="001B36B6" w:rsidRDefault="00803181" w:rsidP="00803181">
      <w:pPr>
        <w:spacing w:after="0" w:line="300" w:lineRule="auto"/>
        <w:ind w:left="361" w:hangingChars="200" w:hanging="361"/>
        <w:jc w:val="both"/>
        <w:rPr>
          <w:color w:val="000000" w:themeColor="text1"/>
        </w:rPr>
      </w:pPr>
      <w:r w:rsidRPr="001B36B6">
        <w:rPr>
          <w:rFonts w:ascii="Times New Roman" w:eastAsia="SimSun" w:hAnsi="Times New Roman" w:cs="Times New Roman"/>
          <w:b/>
          <w:noProof/>
          <w:color w:val="000000" w:themeColor="text1"/>
          <w:sz w:val="18"/>
          <w:szCs w:val="18"/>
          <w:lang w:eastAsia="en-US"/>
          <w14:ligatures w14:val="none"/>
        </w:rPr>
        <w:lastRenderedPageBreak/>
        <w:drawing>
          <wp:inline distT="0" distB="0" distL="0" distR="0" wp14:anchorId="18362C2C" wp14:editId="714961E9">
            <wp:extent cx="5265420" cy="7341870"/>
            <wp:effectExtent l="0" t="0" r="0" b="0"/>
            <wp:docPr id="6737625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Supplementary Figure 8  Comparative metabolomic analysis of strains QP-1</w:t>
      </w:r>
    </w:p>
    <w:p w:rsidR="00803181" w:rsidRPr="001B36B6" w:rsidRDefault="00803181" w:rsidP="00803181">
      <w:pPr>
        <w:spacing w:after="0" w:line="300" w:lineRule="auto"/>
        <w:jc w:val="both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>Note:</w:t>
      </w:r>
      <w:r w:rsidRPr="001B36B6">
        <w:rPr>
          <w:rFonts w:ascii="Times New Roman" w:eastAsia="SimSun" w:hAnsi="Times New Roman" w:cs="Times New Roman" w:hint="eastAsia"/>
          <w:bCs/>
          <w:color w:val="000000" w:themeColor="text1"/>
          <w:sz w:val="18"/>
          <w:szCs w:val="18"/>
          <w14:ligatures w14:val="none"/>
        </w:rPr>
        <w:t xml:space="preserve"> A, B: QP-1-1 vs QP-1-0 positive ion and negative ion differential abundance score plots.</w:t>
      </w:r>
      <w:r w:rsidRPr="001B36B6">
        <w:rPr>
          <w:rFonts w:ascii="Times New Roman" w:eastAsia="SimSun" w:hAnsi="Times New Roman" w:cs="Times New Roman"/>
          <w:noProof/>
          <w:color w:val="000000" w:themeColor="text1"/>
          <w:sz w:val="21"/>
          <w:szCs w:val="21"/>
          <w:lang w:eastAsia="en-US"/>
        </w:rPr>
        <w:lastRenderedPageBreak/>
        <w:drawing>
          <wp:inline distT="0" distB="0" distL="0" distR="0" wp14:anchorId="273E14E4" wp14:editId="13B44260">
            <wp:extent cx="5261610" cy="1463040"/>
            <wp:effectExtent l="0" t="0" r="0" b="3810"/>
            <wp:docPr id="13762037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 xml:space="preserve">Supplementary Figure 9  Differentially expressed gene analysis </w:t>
      </w:r>
    </w:p>
    <w:p w:rsidR="00803181" w:rsidRPr="001B36B6" w:rsidRDefault="00803181" w:rsidP="00803181">
      <w:pPr>
        <w:pStyle w:val="Caption"/>
        <w:spacing w:after="0"/>
        <w:jc w:val="both"/>
        <w:rPr>
          <w:rFonts w:ascii="Times New Roman" w:eastAsia="SimSu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18"/>
          <w:szCs w:val="18"/>
        </w:rPr>
        <w:t>Note: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 xml:space="preserve"> A: Differentially regulated gene counts between treatments. B: Upset analysis of differentially expressed genes. PY-1-N and QP-1-N: bacterial suspension + NaCl; NaCl: salt stress-only.</w:t>
      </w:r>
      <w:r w:rsidRPr="001B36B6">
        <w:rPr>
          <w:rFonts w:hint="eastAsia"/>
          <w:color w:val="000000" w:themeColor="text1"/>
        </w:rPr>
        <w:t xml:space="preserve"> </w:t>
      </w:r>
    </w:p>
    <w:p w:rsidR="00803181" w:rsidRPr="001B36B6" w:rsidRDefault="00803181" w:rsidP="00803181">
      <w:pPr>
        <w:pStyle w:val="Caption"/>
        <w:spacing w:after="0"/>
        <w:jc w:val="both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/>
          <w:noProof/>
          <w:color w:val="000000" w:themeColor="text1"/>
          <w:sz w:val="21"/>
          <w:szCs w:val="21"/>
          <w:lang w:eastAsia="en-US"/>
        </w:rPr>
        <w:lastRenderedPageBreak/>
        <w:drawing>
          <wp:inline distT="0" distB="0" distL="0" distR="0" wp14:anchorId="056324A9" wp14:editId="47821B52">
            <wp:extent cx="5269230" cy="6922770"/>
            <wp:effectExtent l="0" t="0" r="7620" b="0"/>
            <wp:docPr id="17168608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692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1" w:rsidRPr="001B36B6" w:rsidRDefault="00803181" w:rsidP="00803181">
      <w:pPr>
        <w:pStyle w:val="Caption"/>
        <w:spacing w:after="0"/>
        <w:jc w:val="center"/>
        <w:rPr>
          <w:rFonts w:ascii="Times New Roman" w:eastAsia="SimSun" w:hAnsi="Times New Roman" w:cs="Times New Roman"/>
          <w:b/>
          <w:color w:val="000000" w:themeColor="text1"/>
          <w:sz w:val="18"/>
          <w:szCs w:val="18"/>
          <w14:ligatures w14:val="none"/>
        </w:rPr>
      </w:pPr>
      <w:r w:rsidRPr="001B36B6">
        <w:rPr>
          <w:rFonts w:ascii="Times New Roman" w:eastAsia="SimSun" w:hAnsi="Times New Roman" w:cs="Times New Roman" w:hint="eastAsia"/>
          <w:b/>
          <w:color w:val="000000" w:themeColor="text1"/>
          <w:sz w:val="18"/>
          <w:szCs w:val="18"/>
          <w14:ligatures w14:val="none"/>
        </w:rPr>
        <w:t xml:space="preserve">Supplementary Figure 10  Differential metabolite analysis </w:t>
      </w:r>
    </w:p>
    <w:p w:rsidR="00803181" w:rsidRPr="001B36B6" w:rsidRDefault="00803181" w:rsidP="00803181">
      <w:pPr>
        <w:jc w:val="both"/>
        <w:rPr>
          <w:rFonts w:ascii="Times New Roman" w:eastAsia="SimSun" w:hAnsi="Times New Roman" w:cs="Times New Roman"/>
          <w:color w:val="000000" w:themeColor="text1"/>
          <w:sz w:val="18"/>
          <w:szCs w:val="18"/>
        </w:rPr>
      </w:pPr>
      <w:r w:rsidRPr="001B36B6">
        <w:rPr>
          <w:rFonts w:ascii="Times New Roman" w:eastAsia="SimSun" w:hAnsi="Times New Roman" w:cs="Times New Roman" w:hint="eastAsia"/>
          <w:b/>
          <w:bCs/>
          <w:color w:val="000000" w:themeColor="text1"/>
          <w:sz w:val="18"/>
          <w:szCs w:val="18"/>
        </w:rPr>
        <w:t>Note: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 xml:space="preserve"> A: Differential metabolite counts; B1: Upregulated metabolites; B2: Downregulated metabolites; C: Clustering heatmap of the top 20 differential metabolites.</w:t>
      </w:r>
      <w:r w:rsidRPr="001B36B6">
        <w:rPr>
          <w:rFonts w:hint="eastAsia"/>
          <w:color w:val="000000" w:themeColor="text1"/>
        </w:rPr>
        <w:t xml:space="preserve"> </w:t>
      </w:r>
      <w:r w:rsidRPr="001B36B6">
        <w:rPr>
          <w:rFonts w:ascii="Times New Roman" w:eastAsia="SimSun" w:hAnsi="Times New Roman" w:cs="Times New Roman" w:hint="eastAsia"/>
          <w:color w:val="000000" w:themeColor="text1"/>
          <w:sz w:val="18"/>
          <w:szCs w:val="18"/>
        </w:rPr>
        <w:t>PY-1-N and QP-1-N: bacterial culture + NaCl; NaCl: salt-only stress.</w:t>
      </w:r>
    </w:p>
    <w:p w:rsidR="003037F2" w:rsidRDefault="003037F2"/>
    <w:sectPr w:rsidR="003037F2" w:rsidSect="00803181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982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116BB" w:rsidRPr="00B116BB" w:rsidRDefault="00803181">
        <w:pPr>
          <w:pStyle w:val="Footer"/>
          <w:jc w:val="center"/>
          <w:rPr>
            <w:rFonts w:ascii="Times New Roman" w:hAnsi="Times New Roman" w:cs="Times New Roman"/>
          </w:rPr>
        </w:pPr>
        <w:r w:rsidRPr="00B116BB">
          <w:rPr>
            <w:rFonts w:ascii="Times New Roman" w:hAnsi="Times New Roman" w:cs="Times New Roman"/>
          </w:rPr>
          <w:fldChar w:fldCharType="begin"/>
        </w:r>
        <w:r w:rsidRPr="00B116BB">
          <w:rPr>
            <w:rFonts w:ascii="Times New Roman" w:hAnsi="Times New Roman" w:cs="Times New Roman"/>
          </w:rPr>
          <w:instrText>PAGE   \* MERGEFORMAT</w:instrText>
        </w:r>
        <w:r w:rsidRPr="00B116BB">
          <w:rPr>
            <w:rFonts w:ascii="Times New Roman" w:hAnsi="Times New Roman" w:cs="Times New Roman"/>
          </w:rPr>
          <w:fldChar w:fldCharType="separate"/>
        </w:r>
        <w:r w:rsidRPr="00803181">
          <w:rPr>
            <w:rFonts w:ascii="Times New Roman" w:hAnsi="Times New Roman" w:cs="Times New Roman"/>
            <w:noProof/>
            <w:lang w:val="zh-CN"/>
          </w:rPr>
          <w:t>4</w:t>
        </w:r>
        <w:r w:rsidRPr="00B116BB">
          <w:rPr>
            <w:rFonts w:ascii="Times New Roman" w:hAnsi="Times New Roman" w:cs="Times New Roman"/>
          </w:rPr>
          <w:fldChar w:fldCharType="end"/>
        </w:r>
      </w:p>
    </w:sdtContent>
  </w:sdt>
  <w:p w:rsidR="00B116BB" w:rsidRDefault="0080318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81"/>
    <w:rsid w:val="00012ACE"/>
    <w:rsid w:val="000134C0"/>
    <w:rsid w:val="0008376B"/>
    <w:rsid w:val="000B027B"/>
    <w:rsid w:val="000C3A9E"/>
    <w:rsid w:val="000C7D08"/>
    <w:rsid w:val="000D2B3B"/>
    <w:rsid w:val="0010087E"/>
    <w:rsid w:val="00137541"/>
    <w:rsid w:val="00152093"/>
    <w:rsid w:val="00165558"/>
    <w:rsid w:val="00166CD1"/>
    <w:rsid w:val="001A1DC7"/>
    <w:rsid w:val="001A2121"/>
    <w:rsid w:val="001A74A6"/>
    <w:rsid w:val="001B754E"/>
    <w:rsid w:val="001C7AC1"/>
    <w:rsid w:val="002101C2"/>
    <w:rsid w:val="00226F80"/>
    <w:rsid w:val="00252707"/>
    <w:rsid w:val="00277CD9"/>
    <w:rsid w:val="002A09A0"/>
    <w:rsid w:val="002C0FE9"/>
    <w:rsid w:val="002D26C9"/>
    <w:rsid w:val="002D64BE"/>
    <w:rsid w:val="003037F2"/>
    <w:rsid w:val="0033253E"/>
    <w:rsid w:val="00334CC2"/>
    <w:rsid w:val="00335AA0"/>
    <w:rsid w:val="00352919"/>
    <w:rsid w:val="00354D29"/>
    <w:rsid w:val="003823AD"/>
    <w:rsid w:val="00384AE4"/>
    <w:rsid w:val="003C0ED2"/>
    <w:rsid w:val="003D0DE9"/>
    <w:rsid w:val="003E3F7C"/>
    <w:rsid w:val="003F2F5C"/>
    <w:rsid w:val="00401729"/>
    <w:rsid w:val="00427033"/>
    <w:rsid w:val="0044591C"/>
    <w:rsid w:val="00453134"/>
    <w:rsid w:val="00463CBA"/>
    <w:rsid w:val="00472D2D"/>
    <w:rsid w:val="00485AB5"/>
    <w:rsid w:val="004869A1"/>
    <w:rsid w:val="00487FDA"/>
    <w:rsid w:val="00490E8C"/>
    <w:rsid w:val="004A1538"/>
    <w:rsid w:val="004A64AA"/>
    <w:rsid w:val="004B3331"/>
    <w:rsid w:val="004B4FFA"/>
    <w:rsid w:val="004F7A3A"/>
    <w:rsid w:val="0051476D"/>
    <w:rsid w:val="005433F8"/>
    <w:rsid w:val="005616C3"/>
    <w:rsid w:val="005758B4"/>
    <w:rsid w:val="005A712B"/>
    <w:rsid w:val="005B467B"/>
    <w:rsid w:val="005D45C3"/>
    <w:rsid w:val="005D5E30"/>
    <w:rsid w:val="005E71E6"/>
    <w:rsid w:val="005E7AA1"/>
    <w:rsid w:val="00601CD1"/>
    <w:rsid w:val="00604A0C"/>
    <w:rsid w:val="00613C29"/>
    <w:rsid w:val="00613EAE"/>
    <w:rsid w:val="006271BD"/>
    <w:rsid w:val="006830DC"/>
    <w:rsid w:val="006956DE"/>
    <w:rsid w:val="006A322B"/>
    <w:rsid w:val="006B01B5"/>
    <w:rsid w:val="006C21FB"/>
    <w:rsid w:val="006C592F"/>
    <w:rsid w:val="00714D6B"/>
    <w:rsid w:val="00716B10"/>
    <w:rsid w:val="0073447D"/>
    <w:rsid w:val="00741F16"/>
    <w:rsid w:val="007538C1"/>
    <w:rsid w:val="00766B4A"/>
    <w:rsid w:val="0077575A"/>
    <w:rsid w:val="00791768"/>
    <w:rsid w:val="0079393D"/>
    <w:rsid w:val="007A070C"/>
    <w:rsid w:val="007C728B"/>
    <w:rsid w:val="007C7D59"/>
    <w:rsid w:val="007D7CE8"/>
    <w:rsid w:val="007F7594"/>
    <w:rsid w:val="00803181"/>
    <w:rsid w:val="00864B52"/>
    <w:rsid w:val="008851E5"/>
    <w:rsid w:val="008D01D9"/>
    <w:rsid w:val="008D178F"/>
    <w:rsid w:val="008D7EF6"/>
    <w:rsid w:val="009001FC"/>
    <w:rsid w:val="00922D8B"/>
    <w:rsid w:val="00922FBD"/>
    <w:rsid w:val="00926AFF"/>
    <w:rsid w:val="00937B11"/>
    <w:rsid w:val="0096026E"/>
    <w:rsid w:val="00982F9E"/>
    <w:rsid w:val="009C63F5"/>
    <w:rsid w:val="009C77CC"/>
    <w:rsid w:val="00A04066"/>
    <w:rsid w:val="00A65C34"/>
    <w:rsid w:val="00A67F7A"/>
    <w:rsid w:val="00AB3D42"/>
    <w:rsid w:val="00AB717F"/>
    <w:rsid w:val="00AC4C3D"/>
    <w:rsid w:val="00AE3991"/>
    <w:rsid w:val="00B017E6"/>
    <w:rsid w:val="00B26C8D"/>
    <w:rsid w:val="00B342BE"/>
    <w:rsid w:val="00B44D7C"/>
    <w:rsid w:val="00B753EC"/>
    <w:rsid w:val="00B754FB"/>
    <w:rsid w:val="00B95939"/>
    <w:rsid w:val="00BB6400"/>
    <w:rsid w:val="00BF2B53"/>
    <w:rsid w:val="00C03CA2"/>
    <w:rsid w:val="00C05987"/>
    <w:rsid w:val="00C2365A"/>
    <w:rsid w:val="00C341BC"/>
    <w:rsid w:val="00C75461"/>
    <w:rsid w:val="00C868C6"/>
    <w:rsid w:val="00CB43DF"/>
    <w:rsid w:val="00CC2C26"/>
    <w:rsid w:val="00CE21AF"/>
    <w:rsid w:val="00D00FEA"/>
    <w:rsid w:val="00D10610"/>
    <w:rsid w:val="00D23438"/>
    <w:rsid w:val="00D245C2"/>
    <w:rsid w:val="00D73918"/>
    <w:rsid w:val="00D73935"/>
    <w:rsid w:val="00D818BF"/>
    <w:rsid w:val="00DC228B"/>
    <w:rsid w:val="00DD132B"/>
    <w:rsid w:val="00DD1610"/>
    <w:rsid w:val="00DE2B91"/>
    <w:rsid w:val="00DE7590"/>
    <w:rsid w:val="00E25F1B"/>
    <w:rsid w:val="00E4492F"/>
    <w:rsid w:val="00E57A78"/>
    <w:rsid w:val="00E63D22"/>
    <w:rsid w:val="00E956F4"/>
    <w:rsid w:val="00E96DC2"/>
    <w:rsid w:val="00EA3DA7"/>
    <w:rsid w:val="00EB179F"/>
    <w:rsid w:val="00EB29D9"/>
    <w:rsid w:val="00ED6569"/>
    <w:rsid w:val="00EE5B4B"/>
    <w:rsid w:val="00EF074D"/>
    <w:rsid w:val="00F055C3"/>
    <w:rsid w:val="00F11137"/>
    <w:rsid w:val="00F20DA9"/>
    <w:rsid w:val="00F27DDC"/>
    <w:rsid w:val="00F41248"/>
    <w:rsid w:val="00F63B15"/>
    <w:rsid w:val="00F84A5F"/>
    <w:rsid w:val="00F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EAEABE-6EB3-49CA-A902-FDFA87D3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181"/>
    <w:pPr>
      <w:widowControl w:val="0"/>
      <w:spacing w:line="278" w:lineRule="auto"/>
    </w:pPr>
    <w:rPr>
      <w:rFonts w:eastAsiaTheme="minorEastAsia"/>
      <w:kern w:val="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31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3181"/>
    <w:rPr>
      <w:rFonts w:eastAsiaTheme="minorEastAsia"/>
      <w:kern w:val="2"/>
      <w:sz w:val="18"/>
      <w:szCs w:val="18"/>
      <w:lang w:eastAsia="zh-CN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803181"/>
    <w:rPr>
      <w:rFonts w:asciiTheme="majorHAnsi" w:eastAsia="SimHei" w:hAnsiTheme="majorHAnsi" w:cstheme="majorBid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03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 Jane Tanara</dc:creator>
  <cp:keywords/>
  <dc:description/>
  <cp:lastModifiedBy>Riza Jane Tanara</cp:lastModifiedBy>
  <cp:revision>1</cp:revision>
  <dcterms:created xsi:type="dcterms:W3CDTF">2026-07-16T11:08:00Z</dcterms:created>
  <dcterms:modified xsi:type="dcterms:W3CDTF">2026-07-16T11:08:00Z</dcterms:modified>
</cp:coreProperties>
</file>