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D18E" w14:textId="77777777" w:rsidR="00092D94" w:rsidRDefault="00E272F5" w:rsidP="004449D3">
      <w:pPr>
        <w:keepNext/>
        <w:keepLines/>
        <w:spacing w:after="0" w:line="360" w:lineRule="auto"/>
        <w:outlineLvl w:val="0"/>
        <w:rPr>
          <w:rFonts w:ascii="Times New Roman" w:eastAsiaTheme="majorEastAsia" w:hAnsi="Times New Roman" w:cs="Times New Roman"/>
          <w:b/>
          <w:bCs/>
          <w:i/>
          <w:iCs/>
        </w:rPr>
      </w:pPr>
      <w:r>
        <w:rPr>
          <w:rFonts w:ascii="Times New Roman" w:eastAsiaTheme="majorEastAsia" w:hAnsi="Times New Roman" w:cs="Times New Roman"/>
          <w:b/>
          <w:bCs/>
        </w:rPr>
        <w:t xml:space="preserve">Volatile-mediated microbiome </w:t>
      </w:r>
      <w:r>
        <w:rPr>
          <w:rFonts w:ascii="Times New Roman" w:eastAsiaTheme="majorEastAsia" w:hAnsi="Times New Roman" w:cs="Times New Roman"/>
          <w:b/>
          <w:bCs/>
          <w:lang w:val="en-US"/>
        </w:rPr>
        <w:t>enrichment</w:t>
      </w:r>
      <w:r>
        <w:rPr>
          <w:rFonts w:ascii="Times New Roman" w:eastAsiaTheme="majorEastAsia" w:hAnsi="Times New Roman" w:cs="Times New Roman"/>
          <w:b/>
          <w:bCs/>
        </w:rPr>
        <w:t xml:space="preserve"> by</w:t>
      </w:r>
      <w:r>
        <w:rPr>
          <w:rFonts w:ascii="Times New Roman" w:eastAsiaTheme="majorEastAsia" w:hAnsi="Times New Roman" w:cs="Times New Roman"/>
          <w:b/>
          <w:bCs/>
          <w:i/>
          <w:iCs/>
        </w:rPr>
        <w:t xml:space="preserve"> Streptomyces </w:t>
      </w:r>
      <w:proofErr w:type="spellStart"/>
      <w:r>
        <w:rPr>
          <w:rFonts w:ascii="Times New Roman" w:eastAsiaTheme="majorEastAsia" w:hAnsi="Times New Roman" w:cs="Times New Roman"/>
          <w:b/>
          <w:bCs/>
          <w:i/>
          <w:iCs/>
        </w:rPr>
        <w:t>albidoflavus</w:t>
      </w:r>
      <w:proofErr w:type="spellEnd"/>
      <w:r>
        <w:rPr>
          <w:rFonts w:ascii="Times New Roman" w:eastAsiaTheme="majorEastAsia" w:hAnsi="Times New Roman" w:cs="Times New Roman"/>
          <w:b/>
          <w:bCs/>
          <w:i/>
          <w:iCs/>
        </w:rPr>
        <w:t xml:space="preserve"> </w:t>
      </w:r>
      <w:proofErr w:type="spellStart"/>
      <w:r>
        <w:rPr>
          <w:rFonts w:ascii="Times New Roman" w:eastAsiaTheme="majorEastAsia" w:hAnsi="Times New Roman" w:cs="Times New Roman"/>
          <w:b/>
          <w:bCs/>
        </w:rPr>
        <w:t>G1</w:t>
      </w:r>
      <w:proofErr w:type="spellEnd"/>
      <w:r>
        <w:rPr>
          <w:rFonts w:ascii="Times New Roman" w:eastAsiaTheme="majorEastAsia" w:hAnsi="Times New Roman" w:cs="Times New Roman"/>
          <w:b/>
          <w:bCs/>
        </w:rPr>
        <w:t xml:space="preserve"> enhances suppression of apple ring rot pathogen</w:t>
      </w:r>
      <w:r>
        <w:rPr>
          <w:rFonts w:ascii="Times New Roman" w:eastAsiaTheme="majorEastAsia" w:hAnsi="Times New Roman" w:cs="Times New Roman"/>
          <w:b/>
          <w:bCs/>
          <w:i/>
          <w:iCs/>
        </w:rPr>
        <w:t xml:space="preserve"> Botryosphaeria </w:t>
      </w:r>
      <w:proofErr w:type="spellStart"/>
      <w:r>
        <w:rPr>
          <w:rFonts w:ascii="Times New Roman" w:eastAsiaTheme="majorEastAsia" w:hAnsi="Times New Roman" w:cs="Times New Roman"/>
          <w:b/>
          <w:bCs/>
          <w:i/>
          <w:iCs/>
        </w:rPr>
        <w:t>dothidea</w:t>
      </w:r>
      <w:proofErr w:type="spellEnd"/>
    </w:p>
    <w:p w14:paraId="546C2C3F" w14:textId="77777777" w:rsidR="00092D94" w:rsidRDefault="00092D94">
      <w:pPr>
        <w:keepNext/>
        <w:keepLines/>
        <w:spacing w:after="0" w:line="360" w:lineRule="auto"/>
        <w:jc w:val="center"/>
        <w:rPr>
          <w:rFonts w:ascii="Times New Roman" w:eastAsiaTheme="majorEastAsia" w:hAnsi="Times New Roman" w:cs="Times New Roman"/>
          <w:b/>
          <w:bCs/>
          <w:i/>
          <w:iCs/>
        </w:rPr>
      </w:pPr>
    </w:p>
    <w:p w14:paraId="54EA49DF" w14:textId="77777777" w:rsidR="00092D94" w:rsidRDefault="00E272F5">
      <w:pPr>
        <w:spacing w:after="0" w:line="360" w:lineRule="auto"/>
        <w:jc w:val="both"/>
        <w:rPr>
          <w:rFonts w:ascii="Times New Roman" w:hAnsi="Times New Roman" w:cs="Times New Roman"/>
        </w:rPr>
      </w:pPr>
      <w:r>
        <w:rPr>
          <w:rFonts w:ascii="Times New Roman" w:hAnsi="Times New Roman" w:cs="Times New Roman"/>
        </w:rPr>
        <w:t>Shengzhi Guo</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Arneeb</w:t>
      </w:r>
      <w:proofErr w:type="spellEnd"/>
      <w:r>
        <w:rPr>
          <w:rFonts w:ascii="Times New Roman" w:hAnsi="Times New Roman" w:cs="Times New Roman"/>
        </w:rPr>
        <w:t xml:space="preserve"> Tariq</w:t>
      </w:r>
      <w:r>
        <w:rPr>
          <w:rFonts w:ascii="Times New Roman" w:hAnsi="Times New Roman" w:cs="Times New Roman"/>
          <w:vertAlign w:val="superscript"/>
        </w:rPr>
        <w:t>1†</w:t>
      </w:r>
      <w:r>
        <w:rPr>
          <w:rFonts w:ascii="Times New Roman" w:hAnsi="Times New Roman" w:cs="Times New Roman"/>
        </w:rPr>
        <w:t>, Yarong Luo</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Xianyu</w:t>
      </w:r>
      <w:proofErr w:type="spellEnd"/>
      <w:r>
        <w:rPr>
          <w:rFonts w:ascii="Times New Roman" w:hAnsi="Times New Roman" w:cs="Times New Roman"/>
        </w:rPr>
        <w:t xml:space="preserve"> Li</w:t>
      </w:r>
      <w:r>
        <w:rPr>
          <w:rFonts w:ascii="Times New Roman" w:hAnsi="Times New Roman" w:cs="Times New Roman"/>
          <w:vertAlign w:val="superscript"/>
        </w:rPr>
        <w:t>1</w:t>
      </w:r>
      <w:r>
        <w:rPr>
          <w:rFonts w:ascii="Times New Roman" w:hAnsi="Times New Roman" w:cs="Times New Roman"/>
        </w:rPr>
        <w:t>, Zixu Wang</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Zhinan</w:t>
      </w:r>
      <w:proofErr w:type="spellEnd"/>
      <w:r>
        <w:rPr>
          <w:rFonts w:ascii="Times New Roman" w:hAnsi="Times New Roman" w:cs="Times New Roman"/>
        </w:rPr>
        <w:t xml:space="preserve"> Du</w:t>
      </w:r>
      <w:r>
        <w:rPr>
          <w:rFonts w:ascii="Times New Roman" w:hAnsi="Times New Roman" w:cs="Times New Roman"/>
          <w:vertAlign w:val="superscript"/>
        </w:rPr>
        <w:t>1</w:t>
      </w:r>
      <w:r>
        <w:rPr>
          <w:rFonts w:ascii="Times New Roman" w:hAnsi="Times New Roman" w:cs="Times New Roman"/>
        </w:rPr>
        <w:t xml:space="preserve">, Qi </w:t>
      </w:r>
      <w:proofErr w:type="spellStart"/>
      <w:r>
        <w:rPr>
          <w:rFonts w:ascii="Times New Roman" w:hAnsi="Times New Roman" w:cs="Times New Roman"/>
        </w:rPr>
        <w:t>Cheng</w:t>
      </w:r>
      <w:r>
        <w:rPr>
          <w:rFonts w:ascii="Times New Roman" w:hAnsi="Times New Roman" w:cs="Times New Roman"/>
          <w:vertAlign w:val="superscript"/>
        </w:rPr>
        <w:t>1</w:t>
      </w:r>
      <w:proofErr w:type="spellEnd"/>
      <w:r>
        <w:rPr>
          <w:rFonts w:ascii="Times New Roman" w:hAnsi="Times New Roman" w:cs="Times New Roman"/>
        </w:rPr>
        <w:t xml:space="preserve">, </w:t>
      </w:r>
      <w:proofErr w:type="spellStart"/>
      <w:r>
        <w:rPr>
          <w:rFonts w:ascii="Times New Roman" w:hAnsi="Times New Roman" w:cs="Times New Roman"/>
        </w:rPr>
        <w:t>Jiangbo</w:t>
      </w:r>
      <w:proofErr w:type="spellEnd"/>
      <w:r>
        <w:rPr>
          <w:rFonts w:ascii="Times New Roman" w:hAnsi="Times New Roman" w:cs="Times New Roman"/>
        </w:rPr>
        <w:t xml:space="preserve"> </w:t>
      </w:r>
      <w:proofErr w:type="spellStart"/>
      <w:r>
        <w:rPr>
          <w:rFonts w:ascii="Times New Roman" w:hAnsi="Times New Roman" w:cs="Times New Roman"/>
        </w:rPr>
        <w:t>Qi</w:t>
      </w:r>
      <w:r>
        <w:rPr>
          <w:rFonts w:ascii="Times New Roman" w:hAnsi="Times New Roman" w:cs="Times New Roman"/>
          <w:vertAlign w:val="superscript"/>
        </w:rPr>
        <w:t>1</w:t>
      </w:r>
      <w:proofErr w:type="spellEnd"/>
      <w:r>
        <w:rPr>
          <w:rFonts w:ascii="Times New Roman" w:hAnsi="Times New Roman" w:cs="Times New Roman"/>
        </w:rPr>
        <w:t xml:space="preserve">, Junfeng </w:t>
      </w:r>
      <w:proofErr w:type="spellStart"/>
      <w:r>
        <w:rPr>
          <w:rFonts w:ascii="Times New Roman" w:hAnsi="Times New Roman" w:cs="Times New Roman"/>
        </w:rPr>
        <w:t>Pan</w:t>
      </w:r>
      <w:r>
        <w:rPr>
          <w:rFonts w:ascii="Times New Roman" w:hAnsi="Times New Roman" w:cs="Times New Roman"/>
          <w:vertAlign w:val="superscript"/>
        </w:rPr>
        <w:t>1</w:t>
      </w:r>
      <w:proofErr w:type="spellEnd"/>
      <w:r>
        <w:rPr>
          <w:rFonts w:ascii="Times New Roman" w:hAnsi="Times New Roman" w:cs="Times New Roman"/>
        </w:rPr>
        <w:t xml:space="preserve">, </w:t>
      </w:r>
      <w:proofErr w:type="spellStart"/>
      <w:r>
        <w:rPr>
          <w:rFonts w:ascii="Times New Roman" w:hAnsi="Times New Roman" w:cs="Times New Roman"/>
        </w:rPr>
        <w:t>Lingfang</w:t>
      </w:r>
      <w:proofErr w:type="spellEnd"/>
      <w:r>
        <w:rPr>
          <w:rFonts w:ascii="Times New Roman" w:hAnsi="Times New Roman" w:cs="Times New Roman"/>
        </w:rPr>
        <w:t xml:space="preserve"> </w:t>
      </w:r>
      <w:proofErr w:type="spellStart"/>
      <w:r>
        <w:rPr>
          <w:rFonts w:ascii="Times New Roman" w:hAnsi="Times New Roman" w:cs="Times New Roman"/>
        </w:rPr>
        <w:t>Zhu</w:t>
      </w:r>
      <w:r>
        <w:rPr>
          <w:rFonts w:ascii="Times New Roman" w:hAnsi="Times New Roman" w:cs="Times New Roman"/>
          <w:vertAlign w:val="superscript"/>
        </w:rPr>
        <w:t>1</w:t>
      </w:r>
      <w:proofErr w:type="spellEnd"/>
      <w:r>
        <w:rPr>
          <w:rFonts w:ascii="Times New Roman" w:hAnsi="Times New Roman" w:cs="Times New Roman"/>
          <w:vertAlign w:val="superscript"/>
        </w:rPr>
        <w:t>*</w:t>
      </w:r>
      <w:r>
        <w:rPr>
          <w:rFonts w:ascii="Times New Roman" w:hAnsi="Times New Roman" w:cs="Times New Roman"/>
        </w:rPr>
        <w:t xml:space="preserve">, </w:t>
      </w:r>
      <w:proofErr w:type="spellStart"/>
      <w:r>
        <w:rPr>
          <w:rFonts w:ascii="Times New Roman" w:hAnsi="Times New Roman" w:cs="Times New Roman"/>
        </w:rPr>
        <w:t>Xihui</w:t>
      </w:r>
      <w:proofErr w:type="spellEnd"/>
      <w:r>
        <w:rPr>
          <w:rFonts w:ascii="Times New Roman" w:hAnsi="Times New Roman" w:cs="Times New Roman"/>
        </w:rPr>
        <w:t xml:space="preserve"> </w:t>
      </w:r>
      <w:proofErr w:type="spellStart"/>
      <w:r>
        <w:rPr>
          <w:rFonts w:ascii="Times New Roman" w:hAnsi="Times New Roman" w:cs="Times New Roman"/>
        </w:rPr>
        <w:t>Shen</w:t>
      </w:r>
      <w:r>
        <w:rPr>
          <w:rFonts w:ascii="Times New Roman" w:hAnsi="Times New Roman" w:cs="Times New Roman"/>
          <w:vertAlign w:val="superscript"/>
        </w:rPr>
        <w:t>1</w:t>
      </w:r>
      <w:proofErr w:type="spellEnd"/>
      <w:r>
        <w:rPr>
          <w:rFonts w:ascii="Times New Roman" w:hAnsi="Times New Roman" w:cs="Times New Roman" w:hint="eastAsia"/>
          <w:vertAlign w:val="superscript"/>
          <w:lang w:val="en-US"/>
        </w:rPr>
        <w:t>,2</w:t>
      </w:r>
      <w:r>
        <w:rPr>
          <w:rFonts w:ascii="Times New Roman" w:hAnsi="Times New Roman" w:cs="Times New Roman"/>
          <w:vertAlign w:val="superscript"/>
        </w:rPr>
        <w:t>*</w:t>
      </w:r>
    </w:p>
    <w:p w14:paraId="3B20D9D0" w14:textId="77777777" w:rsidR="00092D94" w:rsidRDefault="00092D94">
      <w:pPr>
        <w:spacing w:after="0" w:line="360" w:lineRule="auto"/>
        <w:jc w:val="both"/>
        <w:rPr>
          <w:rFonts w:ascii="Times New Roman" w:hAnsi="Times New Roman" w:cs="Times New Roman"/>
        </w:rPr>
      </w:pPr>
    </w:p>
    <w:p w14:paraId="7650C651" w14:textId="77777777" w:rsidR="00092D94" w:rsidRDefault="00E272F5">
      <w:pPr>
        <w:spacing w:after="0" w:line="360" w:lineRule="auto"/>
        <w:jc w:val="both"/>
        <w:rPr>
          <w:rFonts w:ascii="Times New Roman" w:hAnsi="Times New Roman" w:cs="Times New Roman"/>
        </w:rPr>
      </w:pPr>
      <w:r w:rsidRPr="00D61AD1">
        <w:rPr>
          <w:rFonts w:ascii="Times New Roman" w:hAnsi="Times New Roman" w:cs="Times New Roman"/>
          <w:vertAlign w:val="superscript"/>
        </w:rPr>
        <w:t>1</w:t>
      </w:r>
      <w:r>
        <w:rPr>
          <w:rFonts w:ascii="Times New Roman" w:hAnsi="Times New Roman" w:cs="Times New Roman"/>
        </w:rPr>
        <w:t xml:space="preserve"> State Key Laboratory for Crop Stress Resistance and High-Efficiency Production, Shaanxi Key Laboratory of Agricultural and Environmental Microbiology, College of Life Sciences, Northwest </w:t>
      </w:r>
      <w:proofErr w:type="spellStart"/>
      <w:r>
        <w:rPr>
          <w:rFonts w:ascii="Times New Roman" w:hAnsi="Times New Roman" w:cs="Times New Roman"/>
        </w:rPr>
        <w:t>A&amp;F</w:t>
      </w:r>
      <w:proofErr w:type="spellEnd"/>
      <w:r>
        <w:rPr>
          <w:rFonts w:ascii="Times New Roman" w:hAnsi="Times New Roman" w:cs="Times New Roman"/>
        </w:rPr>
        <w:t xml:space="preserve"> University, Yangling, Shaanxi 712100, China</w:t>
      </w:r>
    </w:p>
    <w:p w14:paraId="13D515C1" w14:textId="77777777" w:rsidR="00092D94" w:rsidRDefault="00E272F5">
      <w:pPr>
        <w:spacing w:after="0" w:line="360" w:lineRule="auto"/>
        <w:jc w:val="both"/>
        <w:rPr>
          <w:rFonts w:ascii="Times New Roman" w:hAnsi="Times New Roman" w:cs="Times New Roman"/>
          <w:lang w:val="en-US"/>
        </w:rPr>
      </w:pPr>
      <w:r>
        <w:rPr>
          <w:rFonts w:ascii="Times New Roman" w:hAnsi="Times New Roman" w:cs="Times New Roman" w:hint="eastAsia"/>
          <w:vertAlign w:val="superscript"/>
          <w:lang w:val="en-US"/>
        </w:rPr>
        <w:t>2</w:t>
      </w:r>
      <w:r>
        <w:rPr>
          <w:rFonts w:ascii="Times New Roman" w:hAnsi="Times New Roman" w:cs="Times New Roman" w:hint="eastAsia"/>
          <w:lang w:val="en-US"/>
        </w:rPr>
        <w:t xml:space="preserve"> College of Plant Protection, Northwest </w:t>
      </w:r>
      <w:proofErr w:type="spellStart"/>
      <w:r>
        <w:rPr>
          <w:rFonts w:ascii="Times New Roman" w:hAnsi="Times New Roman" w:cs="Times New Roman" w:hint="eastAsia"/>
          <w:lang w:val="en-US"/>
        </w:rPr>
        <w:t>A&amp;F</w:t>
      </w:r>
      <w:proofErr w:type="spellEnd"/>
      <w:r>
        <w:rPr>
          <w:rFonts w:ascii="Times New Roman" w:hAnsi="Times New Roman" w:cs="Times New Roman" w:hint="eastAsia"/>
          <w:lang w:val="en-US"/>
        </w:rPr>
        <w:t xml:space="preserve"> University, Yangling, Shaanxi 712100, China</w:t>
      </w:r>
    </w:p>
    <w:p w14:paraId="70B03832" w14:textId="77777777" w:rsidR="00092D94" w:rsidRDefault="00092D94">
      <w:pPr>
        <w:spacing w:after="0" w:line="360" w:lineRule="auto"/>
        <w:jc w:val="both"/>
        <w:rPr>
          <w:rFonts w:ascii="Times New Roman" w:hAnsi="Times New Roman" w:cs="Times New Roman"/>
        </w:rPr>
      </w:pPr>
    </w:p>
    <w:p w14:paraId="3368C103" w14:textId="77777777" w:rsidR="00092D94" w:rsidRDefault="00092D94">
      <w:pPr>
        <w:spacing w:after="0" w:line="360" w:lineRule="auto"/>
        <w:jc w:val="both"/>
        <w:rPr>
          <w:rFonts w:ascii="Times New Roman" w:hAnsi="Times New Roman" w:cs="Times New Roman"/>
        </w:rPr>
      </w:pPr>
    </w:p>
    <w:p w14:paraId="54C16AD4" w14:textId="77777777" w:rsidR="00092D94" w:rsidRDefault="00E272F5">
      <w:pPr>
        <w:spacing w:after="0" w:line="360" w:lineRule="auto"/>
        <w:jc w:val="both"/>
        <w:rPr>
          <w:rFonts w:ascii="Times New Roman" w:hAnsi="Times New Roman" w:cs="Times New Roman"/>
        </w:rPr>
      </w:pPr>
      <w:r>
        <w:rPr>
          <w:rFonts w:ascii="Times New Roman" w:hAnsi="Times New Roman" w:cs="Times New Roman"/>
        </w:rPr>
        <w:t>* Corresponding author</w:t>
      </w:r>
      <w:r>
        <w:rPr>
          <w:rFonts w:ascii="Times New Roman" w:hAnsi="Times New Roman" w:cs="Times New Roman" w:hint="eastAsia"/>
          <w:lang w:val="en-US"/>
        </w:rPr>
        <w:t>s</w:t>
      </w:r>
      <w:r>
        <w:rPr>
          <w:rFonts w:ascii="Times New Roman" w:hAnsi="Times New Roman" w:cs="Times New Roman"/>
        </w:rPr>
        <w:t>:</w:t>
      </w:r>
    </w:p>
    <w:p w14:paraId="1B2C1F95" w14:textId="77777777" w:rsidR="00092D94" w:rsidRDefault="00E272F5">
      <w:pPr>
        <w:spacing w:after="0" w:line="360" w:lineRule="auto"/>
        <w:jc w:val="both"/>
        <w:rPr>
          <w:rFonts w:ascii="Times New Roman" w:hAnsi="Times New Roman" w:cs="Times New Roman"/>
        </w:rPr>
      </w:pPr>
      <w:proofErr w:type="spellStart"/>
      <w:r>
        <w:rPr>
          <w:rFonts w:ascii="Times New Roman" w:hAnsi="Times New Roman" w:cs="Times New Roman"/>
        </w:rPr>
        <w:t>Lingfang</w:t>
      </w:r>
      <w:proofErr w:type="spellEnd"/>
      <w:r>
        <w:rPr>
          <w:rFonts w:ascii="Times New Roman" w:hAnsi="Times New Roman" w:cs="Times New Roman"/>
        </w:rPr>
        <w:t xml:space="preserve"> Zhu (E-mail: lingfangzhu@nwafu.edu.cn)</w:t>
      </w:r>
    </w:p>
    <w:p w14:paraId="06C4656F" w14:textId="77777777" w:rsidR="00092D94" w:rsidRDefault="00E272F5">
      <w:pPr>
        <w:spacing w:after="0" w:line="360" w:lineRule="auto"/>
        <w:jc w:val="both"/>
        <w:rPr>
          <w:rFonts w:ascii="Times New Roman" w:hAnsi="Times New Roman" w:cs="Times New Roman"/>
        </w:rPr>
      </w:pPr>
      <w:proofErr w:type="spellStart"/>
      <w:r>
        <w:rPr>
          <w:rFonts w:ascii="Times New Roman" w:hAnsi="Times New Roman" w:cs="Times New Roman"/>
        </w:rPr>
        <w:t>Xihui</w:t>
      </w:r>
      <w:proofErr w:type="spellEnd"/>
      <w:r>
        <w:rPr>
          <w:rFonts w:ascii="Times New Roman" w:hAnsi="Times New Roman" w:cs="Times New Roman"/>
        </w:rPr>
        <w:t xml:space="preserve"> Shen (E-mail: xihuishen@nwafu.edu.cn)</w:t>
      </w:r>
    </w:p>
    <w:p w14:paraId="3773FFAF" w14:textId="77777777" w:rsidR="00092D94" w:rsidRDefault="00092D94">
      <w:pPr>
        <w:spacing w:after="0" w:line="360" w:lineRule="auto"/>
        <w:jc w:val="both"/>
        <w:rPr>
          <w:rFonts w:ascii="Times New Roman" w:hAnsi="Times New Roman" w:cs="Times New Roman"/>
        </w:rPr>
      </w:pPr>
    </w:p>
    <w:p w14:paraId="7824A46D" w14:textId="77777777" w:rsidR="00092D94" w:rsidRDefault="00E272F5">
      <w:pPr>
        <w:spacing w:after="0" w:line="360" w:lineRule="auto"/>
        <w:jc w:val="both"/>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hint="eastAsia"/>
          <w:lang w:val="en-US"/>
        </w:rPr>
        <w:t xml:space="preserve"> </w:t>
      </w:r>
      <w:r>
        <w:rPr>
          <w:rFonts w:ascii="Times New Roman" w:hAnsi="Times New Roman" w:cs="Times New Roman"/>
        </w:rPr>
        <w:t xml:space="preserve">Shengzhi Guo and </w:t>
      </w:r>
      <w:proofErr w:type="spellStart"/>
      <w:r>
        <w:rPr>
          <w:rFonts w:ascii="Times New Roman" w:hAnsi="Times New Roman" w:cs="Times New Roman"/>
        </w:rPr>
        <w:t>Arneeb</w:t>
      </w:r>
      <w:proofErr w:type="spellEnd"/>
      <w:r>
        <w:rPr>
          <w:rFonts w:ascii="Times New Roman" w:hAnsi="Times New Roman" w:cs="Times New Roman"/>
        </w:rPr>
        <w:t xml:space="preserve"> Tariq contributed equally to this work.</w:t>
      </w:r>
    </w:p>
    <w:p w14:paraId="30C4F138" w14:textId="77777777" w:rsidR="00092D94" w:rsidRDefault="00092D94">
      <w:pPr>
        <w:spacing w:after="0" w:line="360" w:lineRule="auto"/>
        <w:jc w:val="both"/>
        <w:rPr>
          <w:rFonts w:ascii="Times New Roman" w:hAnsi="Times New Roman" w:cs="Times New Roman"/>
        </w:rPr>
      </w:pPr>
    </w:p>
    <w:p w14:paraId="0E66C27F" w14:textId="77777777" w:rsidR="00092D94" w:rsidRDefault="00092D94">
      <w:pPr>
        <w:spacing w:after="0" w:line="360" w:lineRule="auto"/>
        <w:jc w:val="both"/>
        <w:rPr>
          <w:rFonts w:ascii="Times New Roman" w:hAnsi="Times New Roman" w:cs="Times New Roman"/>
        </w:rPr>
      </w:pPr>
    </w:p>
    <w:p w14:paraId="17402AC0" w14:textId="77777777" w:rsidR="00092D94" w:rsidRDefault="00092D94">
      <w:pPr>
        <w:spacing w:after="0" w:line="360" w:lineRule="auto"/>
        <w:jc w:val="both"/>
        <w:rPr>
          <w:rFonts w:ascii="Times New Roman" w:hAnsi="Times New Roman" w:cs="Times New Roman"/>
        </w:rPr>
      </w:pPr>
    </w:p>
    <w:p w14:paraId="13B4CC76" w14:textId="77777777" w:rsidR="00092D94" w:rsidRDefault="00092D94">
      <w:pPr>
        <w:spacing w:after="0" w:line="360" w:lineRule="auto"/>
        <w:jc w:val="both"/>
        <w:rPr>
          <w:rFonts w:ascii="Times New Roman" w:hAnsi="Times New Roman" w:cs="Times New Roman"/>
        </w:rPr>
      </w:pPr>
    </w:p>
    <w:p w14:paraId="1A149400" w14:textId="77777777" w:rsidR="00092D94" w:rsidRDefault="00092D94">
      <w:pPr>
        <w:spacing w:after="0" w:line="360" w:lineRule="auto"/>
        <w:jc w:val="both"/>
        <w:rPr>
          <w:rFonts w:ascii="Times New Roman" w:hAnsi="Times New Roman" w:cs="Times New Roman"/>
        </w:rPr>
      </w:pPr>
    </w:p>
    <w:p w14:paraId="227E8244" w14:textId="77777777" w:rsidR="00092D94" w:rsidRDefault="00092D94">
      <w:pPr>
        <w:spacing w:after="0" w:line="360" w:lineRule="auto"/>
        <w:jc w:val="both"/>
        <w:rPr>
          <w:rFonts w:ascii="Times New Roman" w:hAnsi="Times New Roman" w:cs="Times New Roman"/>
        </w:rPr>
      </w:pPr>
    </w:p>
    <w:p w14:paraId="6A58425E" w14:textId="77777777" w:rsidR="00092D94" w:rsidRDefault="00092D94">
      <w:pPr>
        <w:spacing w:after="0" w:line="360" w:lineRule="auto"/>
        <w:jc w:val="both"/>
        <w:rPr>
          <w:rFonts w:ascii="Times New Roman" w:hAnsi="Times New Roman" w:cs="Times New Roman"/>
        </w:rPr>
      </w:pPr>
    </w:p>
    <w:p w14:paraId="56F6FDEB" w14:textId="77777777" w:rsidR="00092D94" w:rsidRDefault="00092D94">
      <w:pPr>
        <w:spacing w:after="0" w:line="360" w:lineRule="auto"/>
        <w:jc w:val="both"/>
        <w:rPr>
          <w:rFonts w:ascii="Times New Roman" w:hAnsi="Times New Roman" w:cs="Times New Roman"/>
        </w:rPr>
      </w:pPr>
    </w:p>
    <w:p w14:paraId="5C77FE2E" w14:textId="77777777" w:rsidR="00092D94" w:rsidRDefault="00092D94">
      <w:pPr>
        <w:spacing w:after="0" w:line="360" w:lineRule="auto"/>
        <w:jc w:val="both"/>
        <w:rPr>
          <w:rFonts w:ascii="Times New Roman" w:hAnsi="Times New Roman" w:cs="Times New Roman"/>
        </w:rPr>
      </w:pPr>
    </w:p>
    <w:p w14:paraId="025F1470" w14:textId="77777777" w:rsidR="00092D94" w:rsidRDefault="00092D94">
      <w:pPr>
        <w:spacing w:after="0" w:line="360" w:lineRule="auto"/>
        <w:jc w:val="both"/>
        <w:rPr>
          <w:rFonts w:ascii="Times New Roman" w:hAnsi="Times New Roman" w:cs="Times New Roman"/>
        </w:rPr>
      </w:pPr>
    </w:p>
    <w:p w14:paraId="149FCB7B" w14:textId="77777777" w:rsidR="00092D94" w:rsidRDefault="00092D94">
      <w:pPr>
        <w:spacing w:after="0" w:line="360" w:lineRule="auto"/>
        <w:jc w:val="both"/>
        <w:rPr>
          <w:rFonts w:ascii="Times New Roman" w:hAnsi="Times New Roman" w:cs="Times New Roman"/>
        </w:rPr>
      </w:pPr>
    </w:p>
    <w:p w14:paraId="514DE967" w14:textId="77777777" w:rsidR="00092D94" w:rsidRDefault="00E272F5">
      <w:pPr>
        <w:adjustRightInd w:val="0"/>
        <w:snapToGrid w:val="0"/>
        <w:spacing w:after="0" w:line="360" w:lineRule="auto"/>
        <w:jc w:val="both"/>
        <w:rPr>
          <w:rFonts w:ascii="Times New Roman" w:hAnsi="Times New Roman" w:cs="Times New Roman"/>
        </w:rPr>
      </w:pPr>
      <w:r>
        <w:rPr>
          <w:rFonts w:ascii="Times New Roman" w:hAnsi="Times New Roman" w:cs="Times New Roman" w:hint="eastAsia"/>
        </w:rPr>
        <w:t>Contents</w:t>
      </w:r>
      <w:r>
        <w:rPr>
          <w:rFonts w:ascii="Times New Roman" w:hAnsi="Times New Roman" w:cs="Times New Roman"/>
        </w:rPr>
        <w:t>:</w:t>
      </w:r>
    </w:p>
    <w:p w14:paraId="34FFFC58" w14:textId="77777777" w:rsidR="00092D94" w:rsidRDefault="00E272F5">
      <w:pPr>
        <w:adjustRightInd w:val="0"/>
        <w:snapToGrid w:val="0"/>
        <w:spacing w:after="0" w:line="360" w:lineRule="auto"/>
        <w:jc w:val="both"/>
        <w:rPr>
          <w:rFonts w:ascii="Times New Roman" w:hAnsi="Times New Roman" w:cs="Times New Roman"/>
        </w:rPr>
      </w:pPr>
      <w:r>
        <w:rPr>
          <w:rFonts w:ascii="Times New Roman" w:hAnsi="Times New Roman" w:cs="Times New Roman" w:hint="eastAsia"/>
        </w:rPr>
        <w:t xml:space="preserve">Supplementary </w:t>
      </w:r>
      <w:r>
        <w:rPr>
          <w:rFonts w:ascii="Times New Roman" w:hAnsi="Times New Roman" w:cs="Times New Roman"/>
        </w:rPr>
        <w:t>Materials and</w:t>
      </w:r>
      <w:r>
        <w:rPr>
          <w:rFonts w:ascii="Times New Roman" w:hAnsi="Times New Roman" w:cs="Times New Roman"/>
          <w:lang w:val="en-US"/>
        </w:rPr>
        <w:t xml:space="preserve"> </w:t>
      </w:r>
      <w:r>
        <w:rPr>
          <w:rFonts w:ascii="Times New Roman" w:hAnsi="Times New Roman" w:cs="Times New Roman" w:hint="eastAsia"/>
          <w:lang w:val="en-US"/>
        </w:rPr>
        <w:t>M</w:t>
      </w:r>
      <w:proofErr w:type="spellStart"/>
      <w:r>
        <w:rPr>
          <w:rFonts w:ascii="Times New Roman" w:hAnsi="Times New Roman" w:cs="Times New Roman"/>
        </w:rPr>
        <w:t>ethods</w:t>
      </w:r>
      <w:bookmarkStart w:id="0" w:name="OLE_LINK5"/>
      <w:bookmarkStart w:id="1" w:name="OLE_LINK6"/>
      <w:proofErr w:type="spellEnd"/>
      <w:r>
        <w:rPr>
          <w:rFonts w:ascii="Times New Roman" w:hAnsi="Times New Roman" w:cs="Times New Roman" w:hint="eastAsia"/>
        </w:rPr>
        <w:t>;</w:t>
      </w:r>
      <w:bookmarkEnd w:id="0"/>
      <w:bookmarkEnd w:id="1"/>
      <w:r>
        <w:rPr>
          <w:rFonts w:ascii="Times New Roman" w:hAnsi="Times New Roman" w:cs="Times New Roman" w:hint="eastAsia"/>
        </w:rPr>
        <w:br/>
      </w:r>
      <w:bookmarkStart w:id="2" w:name="OLE_LINK2"/>
      <w:bookmarkStart w:id="3" w:name="OLE_LINK3"/>
      <w:r>
        <w:rPr>
          <w:rFonts w:ascii="Times New Roman" w:hAnsi="Times New Roman" w:cs="Times New Roman" w:hint="eastAsia"/>
        </w:rPr>
        <w:t xml:space="preserve">Supplementary </w:t>
      </w:r>
      <w:r>
        <w:rPr>
          <w:rFonts w:ascii="Times New Roman" w:hAnsi="Times New Roman" w:cs="Times New Roman"/>
        </w:rPr>
        <w:t>Figure</w:t>
      </w:r>
      <w:r>
        <w:rPr>
          <w:rFonts w:ascii="Times New Roman" w:hAnsi="Times New Roman" w:cs="Times New Roman" w:hint="eastAsia"/>
        </w:rPr>
        <w:t>s</w:t>
      </w:r>
      <w:bookmarkEnd w:id="2"/>
      <w:bookmarkEnd w:id="3"/>
      <w:r>
        <w:rPr>
          <w:rFonts w:ascii="Times New Roman" w:hAnsi="Times New Roman" w:cs="Times New Roman" w:hint="eastAsia"/>
        </w:rPr>
        <w:t xml:space="preserve"> </w:t>
      </w:r>
      <w:r>
        <w:rPr>
          <w:rFonts w:ascii="Times New Roman" w:hAnsi="Times New Roman" w:cs="Times New Roman" w:hint="eastAsia"/>
          <w:lang w:val="en-US"/>
        </w:rPr>
        <w:t>S</w:t>
      </w:r>
      <w:r>
        <w:rPr>
          <w:rFonts w:ascii="Times New Roman" w:hAnsi="Times New Roman" w:cs="Times New Roman"/>
        </w:rPr>
        <w:t>1–</w:t>
      </w:r>
      <w:r>
        <w:rPr>
          <w:rFonts w:ascii="Times New Roman" w:eastAsia="等线" w:hAnsi="Times New Roman" w:cs="Times New Roman" w:hint="eastAsia"/>
          <w:lang w:val="en-US"/>
        </w:rPr>
        <w:t>S7</w:t>
      </w:r>
      <w:r>
        <w:rPr>
          <w:rFonts w:ascii="Times New Roman" w:hAnsi="Times New Roman" w:cs="Times New Roman"/>
        </w:rPr>
        <w:t>;</w:t>
      </w:r>
    </w:p>
    <w:p w14:paraId="5B809355" w14:textId="77777777" w:rsidR="00092D94" w:rsidRDefault="00E272F5">
      <w:pPr>
        <w:jc w:val="both"/>
        <w:rPr>
          <w:rFonts w:ascii="Times New Roman" w:hAnsi="Times New Roman" w:cs="Times New Roman"/>
          <w:b/>
          <w:bCs/>
        </w:rPr>
      </w:pPr>
      <w:r>
        <w:rPr>
          <w:rFonts w:ascii="Times New Roman" w:hAnsi="Times New Roman" w:cs="Times New Roman"/>
        </w:rPr>
        <w:t>Supplementary Reference</w:t>
      </w:r>
      <w:r>
        <w:rPr>
          <w:rFonts w:ascii="Times New Roman" w:hAnsi="Times New Roman" w:cs="Times New Roman" w:hint="eastAsia"/>
          <w:lang w:val="en-US"/>
        </w:rPr>
        <w:t>s</w:t>
      </w:r>
      <w:r>
        <w:rPr>
          <w:rFonts w:ascii="Times New Roman" w:hAnsi="Times New Roman" w:cs="Times New Roman"/>
        </w:rPr>
        <w:t>.</w:t>
      </w:r>
      <w:r>
        <w:rPr>
          <w:rFonts w:ascii="Times New Roman" w:hAnsi="Times New Roman" w:cs="Times New Roman"/>
          <w:b/>
          <w:bCs/>
        </w:rPr>
        <w:br w:type="page"/>
      </w:r>
    </w:p>
    <w:p w14:paraId="6EA11C23" w14:textId="77777777" w:rsidR="00092D94" w:rsidRDefault="00E272F5">
      <w:pPr>
        <w:spacing w:line="276" w:lineRule="auto"/>
        <w:jc w:val="both"/>
        <w:outlineLvl w:val="0"/>
        <w:rPr>
          <w:rFonts w:ascii="Times New Roman" w:hAnsi="Times New Roman" w:cs="Times New Roman"/>
          <w:b/>
          <w:bCs/>
        </w:rPr>
      </w:pPr>
      <w:r>
        <w:rPr>
          <w:rFonts w:ascii="Times New Roman" w:hAnsi="Times New Roman" w:cs="Times New Roman"/>
          <w:b/>
          <w:bCs/>
        </w:rPr>
        <w:lastRenderedPageBreak/>
        <w:t>Supplementary Materials and methods</w:t>
      </w:r>
    </w:p>
    <w:p w14:paraId="35C15903" w14:textId="77777777" w:rsidR="00092D94" w:rsidRDefault="00E272F5">
      <w:pPr>
        <w:spacing w:line="276" w:lineRule="auto"/>
        <w:jc w:val="both"/>
        <w:outlineLvl w:val="1"/>
        <w:rPr>
          <w:rFonts w:ascii="Times New Roman" w:hAnsi="Times New Roman" w:cs="Times New Roman"/>
          <w:b/>
          <w:bCs/>
          <w:lang w:val="en-US"/>
        </w:rPr>
      </w:pPr>
      <w:r>
        <w:rPr>
          <w:rFonts w:ascii="Times New Roman" w:hAnsi="Times New Roman" w:cs="Times New Roman"/>
          <w:b/>
          <w:bCs/>
          <w:lang w:val="en-US"/>
        </w:rPr>
        <w:t>Whole-genome sequencing, assembly, annotation, and genome-based taxonomic analysis of G1 and aNRL1.</w:t>
      </w:r>
    </w:p>
    <w:p w14:paraId="558089F3" w14:textId="77777777" w:rsidR="00092D94" w:rsidRDefault="00E272F5">
      <w:pPr>
        <w:spacing w:before="240" w:after="240"/>
        <w:jc w:val="both"/>
        <w:rPr>
          <w:rFonts w:ascii="Times New Roman" w:hAnsi="Times New Roman" w:cs="Times New Roman"/>
        </w:rPr>
      </w:pPr>
      <w:r>
        <w:rPr>
          <w:rFonts w:ascii="Times New Roman" w:hAnsi="Times New Roman" w:cs="Times New Roman"/>
        </w:rPr>
        <w:t>A pure culture of</w:t>
      </w:r>
      <w:r>
        <w:rPr>
          <w:rFonts w:ascii="Times New Roman" w:hAnsi="Times New Roman" w:cs="Times New Roman"/>
          <w:lang w:val="en-US"/>
        </w:rPr>
        <w:t xml:space="preserve"> </w:t>
      </w:r>
      <w:r>
        <w:rPr>
          <w:rFonts w:ascii="Times New Roman" w:hAnsi="Times New Roman" w:cs="Times New Roman"/>
        </w:rPr>
        <w:t>G1</w:t>
      </w:r>
      <w:r>
        <w:rPr>
          <w:rFonts w:ascii="Times New Roman" w:hAnsi="Times New Roman" w:cs="Times New Roman"/>
          <w:lang w:val="en-US"/>
        </w:rPr>
        <w:t xml:space="preserve"> </w:t>
      </w:r>
      <w:r>
        <w:rPr>
          <w:rFonts w:ascii="Times New Roman" w:hAnsi="Times New Roman" w:cs="Times New Roman"/>
        </w:rPr>
        <w:t xml:space="preserve">was grown in ISP2 </w:t>
      </w:r>
      <w:r>
        <w:rPr>
          <w:rFonts w:ascii="Times New Roman" w:hAnsi="Times New Roman" w:cs="Times New Roman"/>
          <w:lang w:val="en-US"/>
        </w:rPr>
        <w:t>broth</w:t>
      </w:r>
      <w:r>
        <w:rPr>
          <w:rFonts w:ascii="Times New Roman" w:hAnsi="Times New Roman" w:cs="Times New Roman"/>
        </w:rPr>
        <w:t xml:space="preserve"> at 30°C for 96 h</w:t>
      </w:r>
      <w:r>
        <w:rPr>
          <w:rFonts w:ascii="Times New Roman" w:hAnsi="Times New Roman" w:cs="Times New Roman" w:hint="eastAsia"/>
          <w:lang w:val="en-US"/>
        </w:rPr>
        <w:t xml:space="preserve"> </w:t>
      </w:r>
      <w:r>
        <w:rPr>
          <w:rFonts w:ascii="Times New Roman" w:hAnsi="Times New Roman" w:cs="Times New Roman"/>
        </w:rPr>
        <w:t xml:space="preserve">in a shaker at 180 rpm. Cells were harvested by centrifugation at 4,500 rpm for 10 min, and genomic DNA was extracted using the </w:t>
      </w:r>
      <w:proofErr w:type="spellStart"/>
      <w:r>
        <w:rPr>
          <w:rFonts w:ascii="Times New Roman" w:hAnsi="Times New Roman" w:cs="Times New Roman"/>
        </w:rPr>
        <w:t>TIANamp</w:t>
      </w:r>
      <w:proofErr w:type="spellEnd"/>
      <w:r>
        <w:rPr>
          <w:rFonts w:ascii="Times New Roman" w:hAnsi="Times New Roman" w:cs="Times New Roman"/>
        </w:rPr>
        <w:t xml:space="preserve"> Bacteria DNA Kit (</w:t>
      </w:r>
      <w:proofErr w:type="spellStart"/>
      <w:r>
        <w:rPr>
          <w:rFonts w:ascii="Times New Roman" w:hAnsi="Times New Roman" w:cs="Times New Roman"/>
        </w:rPr>
        <w:t>Tiangen</w:t>
      </w:r>
      <w:proofErr w:type="spellEnd"/>
      <w:r>
        <w:rPr>
          <w:rFonts w:ascii="Times New Roman" w:hAnsi="Times New Roman" w:cs="Times New Roman"/>
        </w:rPr>
        <w:t xml:space="preserve"> Biotech Co., Beijing, China).</w:t>
      </w:r>
      <w:r>
        <w:rPr>
          <w:rFonts w:ascii="Times New Roman" w:hAnsi="Times New Roman" w:cs="Times New Roman" w:hint="eastAsia"/>
          <w:lang w:val="en-US"/>
        </w:rPr>
        <w:t xml:space="preserve"> </w:t>
      </w:r>
      <w:r>
        <w:rPr>
          <w:rFonts w:ascii="Times New Roman" w:hAnsi="Times New Roman" w:cs="Times New Roman"/>
        </w:rPr>
        <w:t xml:space="preserve">DNA library preparation and whole-genome sequencing were performed by </w:t>
      </w:r>
      <w:proofErr w:type="spellStart"/>
      <w:r>
        <w:rPr>
          <w:rFonts w:ascii="Times New Roman" w:hAnsi="Times New Roman" w:cs="Times New Roman"/>
        </w:rPr>
        <w:t>Magigene</w:t>
      </w:r>
      <w:proofErr w:type="spellEnd"/>
      <w:r>
        <w:rPr>
          <w:rFonts w:ascii="Times New Roman" w:hAnsi="Times New Roman" w:cs="Times New Roman"/>
        </w:rPr>
        <w:t xml:space="preserve"> Biotechnology Co., Ltd. (Guangdong, China) using a combination of Illumina short-read and Oxford Nanopore long-read sequencing technologies.</w:t>
      </w:r>
    </w:p>
    <w:p w14:paraId="3F392284" w14:textId="77777777" w:rsidR="00092D94" w:rsidRDefault="00E272F5">
      <w:pPr>
        <w:spacing w:before="240" w:after="240"/>
        <w:jc w:val="both"/>
        <w:rPr>
          <w:rFonts w:ascii="Times New Roman" w:hAnsi="Times New Roman" w:cs="Times New Roman"/>
        </w:rPr>
      </w:pPr>
      <w:r>
        <w:rPr>
          <w:rFonts w:ascii="Times New Roman" w:hAnsi="Times New Roman" w:cs="Times New Roman"/>
        </w:rPr>
        <w:t xml:space="preserve">Strain aNRL1 was cultured in LB broth at 30°C for 24 h, and bacterial cells were collected by centrifugation. Genomic DNA was extracted using the </w:t>
      </w:r>
      <w:proofErr w:type="spellStart"/>
      <w:r>
        <w:rPr>
          <w:rFonts w:ascii="Times New Roman" w:hAnsi="Times New Roman" w:cs="Times New Roman"/>
        </w:rPr>
        <w:t>PureLink</w:t>
      </w:r>
      <w:proofErr w:type="spellEnd"/>
      <w:r>
        <w:rPr>
          <w:rFonts w:ascii="Times New Roman" w:hAnsi="Times New Roman" w:cs="Times New Roman"/>
        </w:rPr>
        <w:t xml:space="preserve">™ Genomic DNA Mini Kit (Invitrogen, </w:t>
      </w:r>
      <w:proofErr w:type="spellStart"/>
      <w:r>
        <w:rPr>
          <w:rFonts w:ascii="Times New Roman" w:hAnsi="Times New Roman" w:cs="Times New Roman"/>
        </w:rPr>
        <w:t>Thermo</w:t>
      </w:r>
      <w:proofErr w:type="spellEnd"/>
      <w:r>
        <w:rPr>
          <w:rFonts w:ascii="Times New Roman" w:hAnsi="Times New Roman" w:cs="Times New Roman"/>
        </w:rPr>
        <w:t xml:space="preserve"> Fisher Scientific, USA). Library preparation and whole-genome sequencing were performed by Shanghai BIOZERON Biotech. Co., Ltd. (Shanghai, China). Short-read sequencing was conducted on an Illumina platform in paired-end 150-bp mode. For long-read sequencing on the MGI Cyclone platform, high-molecular-weight DNA fragments were size-selected using a </w:t>
      </w:r>
      <w:proofErr w:type="spellStart"/>
      <w:r>
        <w:rPr>
          <w:rFonts w:ascii="Times New Roman" w:hAnsi="Times New Roman" w:cs="Times New Roman"/>
        </w:rPr>
        <w:t>BluePippin</w:t>
      </w:r>
      <w:proofErr w:type="spellEnd"/>
      <w:r>
        <w:rPr>
          <w:rFonts w:ascii="Times New Roman" w:hAnsi="Times New Roman" w:cs="Times New Roman"/>
        </w:rPr>
        <w:t xml:space="preserve"> system (Sage Science, USA) with a 0.75% DF Marker S1 High-Pass 6–10 kb v3 cassette.</w:t>
      </w:r>
    </w:p>
    <w:p w14:paraId="0DEE09BB" w14:textId="77777777" w:rsidR="00092D94" w:rsidRDefault="00E272F5">
      <w:pPr>
        <w:spacing w:before="240" w:after="240"/>
        <w:jc w:val="both"/>
        <w:rPr>
          <w:rFonts w:ascii="Times New Roman" w:hAnsi="Times New Roman" w:cs="Times New Roman"/>
        </w:rPr>
      </w:pPr>
      <w:r>
        <w:rPr>
          <w:rFonts w:ascii="Times New Roman" w:hAnsi="Times New Roman" w:cs="Times New Roman"/>
        </w:rPr>
        <w:t xml:space="preserve">Quality-filtered short- and long-read sequences were subjected to hybrid de novo assembly using </w:t>
      </w:r>
      <w:proofErr w:type="spellStart"/>
      <w:r>
        <w:rPr>
          <w:rFonts w:ascii="Times New Roman" w:hAnsi="Times New Roman" w:cs="Times New Roman"/>
        </w:rPr>
        <w:t>Unicycler</w:t>
      </w:r>
      <w:proofErr w:type="spellEnd"/>
      <w:r>
        <w:rPr>
          <w:rFonts w:ascii="Times New Roman" w:hAnsi="Times New Roman" w:cs="Times New Roman"/>
        </w:rPr>
        <w:t xml:space="preserve"> </w:t>
      </w:r>
      <w:proofErr w:type="spellStart"/>
      <w:r>
        <w:rPr>
          <w:rFonts w:ascii="Times New Roman" w:hAnsi="Times New Roman" w:cs="Times New Roman"/>
        </w:rPr>
        <w:t>v0.4.8</w:t>
      </w:r>
      <w:proofErr w:type="spellEnd"/>
      <w:r>
        <w:rPr>
          <w:rFonts w:ascii="Times New Roman" w:hAnsi="Times New Roman" w:cs="Times New Roman"/>
          <w:lang w:val="en-US"/>
        </w:rPr>
        <w:t xml:space="preserve"> </w:t>
      </w:r>
      <w:r>
        <w:rPr>
          <w:rFonts w:ascii="Times New Roman" w:hAnsi="Times New Roman" w:cs="Times New Roman"/>
          <w:lang w:val="en-US"/>
        </w:rPr>
        <w:fldChar w:fldCharType="begin"/>
      </w:r>
      <w:r>
        <w:rPr>
          <w:rFonts w:ascii="Times New Roman" w:hAnsi="Times New Roman" w:cs="Times New Roman"/>
          <w:lang w:val="en-US"/>
        </w:rPr>
        <w:instrText xml:space="preserve"> ADDIN EN.CITE &lt;EndNote&gt;&lt;Cite&gt;&lt;Author&gt;Wick&lt;/Author&gt;&lt;Year&gt;2017&lt;/Year&gt;&lt;RecNum&gt;99&lt;/RecNum&gt;&lt;DisplayText&gt;[1]&lt;/DisplayText&gt;&lt;record&gt;&lt;rec-number&gt;99&lt;/rec-number&gt;&lt;foreign-keys&gt;&lt;key app="EN" db-id="ervvwteats0xrmevwd6p9w5lrpez0wfrd52z" timestamp="1783409759"&gt;99&lt;/key&gt;&lt;/foreign-keys&gt;&lt;ref-type name="Journal Article"&gt;17&lt;/ref-type&gt;&lt;contributors&gt;&lt;authors&gt;&lt;author&gt;Wick, R. R.&lt;/author&gt;&lt;author&gt;Judd, L. M.&lt;/author&gt;&lt;author&gt;Gorrie, C. L.&lt;/author&gt;&lt;author&gt;Holt, K. E.&lt;/author&gt;&lt;/authors&gt;&lt;/contributors&gt;&lt;auth-address&gt;Department of Biochemistry and Molecular Biology, Bio21 Molecular Science and Biotechnology Institute, The University of Melbourne, Victoria, Australia.&lt;/auth-address&gt;&lt;titles&gt;&lt;title&gt;Unicycler: Resolving bacterial genome assemblies from short and long sequencing reads&lt;/title&gt;&lt;secondary-title&gt;PLoS Comput Biol&lt;/secondary-title&gt;&lt;/titles&gt;&lt;periodical&gt;&lt;full-title&gt;PLoS Comput Biol&lt;/full-title&gt;&lt;/periodical&gt;&lt;pages&gt;e1005595&lt;/pages&gt;&lt;volume&gt;13&lt;/volume&gt;&lt;number&gt;6&lt;/number&gt;&lt;edition&gt;20170608&lt;/edition&gt;&lt;keywords&gt;&lt;keyword&gt;*Algorithms&lt;/keyword&gt;&lt;keyword&gt;Chromosome Mapping/*methods&lt;/keyword&gt;&lt;keyword&gt;Genome, Bacterial/*genetics&lt;/keyword&gt;&lt;keyword&gt;High-Throughput Nucleotide Sequencing/*methods&lt;/keyword&gt;&lt;keyword&gt;Sequence Alignment/methods&lt;/keyword&gt;&lt;keyword&gt;Sequence Analysis, DNA/*methods&lt;/keyword&gt;&lt;keyword&gt;*Software&lt;/keyword&gt;&lt;keyword&gt;User-Computer Interface&lt;/keyword&gt;&lt;/keywords&gt;&lt;dates&gt;&lt;year&gt;2017&lt;/year&gt;&lt;pub-dates&gt;&lt;date&gt;Jun&lt;/date&gt;&lt;/pub-dates&gt;&lt;/dates&gt;&lt;isbn&gt;1553-7358 (Electronic)&amp;#xD;1553-734X (Print)&amp;#xD;1553-734X (Linking)&lt;/isbn&gt;&lt;accession-num&gt;28594827&lt;/accession-num&gt;&lt;urls&gt;&lt;related-urls&gt;&lt;url&gt;https://www.ncbi.nlm.nih.gov/pubmed/28594827&lt;/url&gt;&lt;/related-urls&gt;&lt;/urls&gt;&lt;custom1&gt;The authors have declared that no competing interests exist.&lt;/custom1&gt;&lt;custom2&gt;PMC5481147&lt;/custom2&gt;&lt;electronic-resource-num&gt;10.1371/journal.pcbi.1005595&lt;/electronic-resource-num&gt;&lt;remote-database-name&gt;Medline&lt;/remote-database-name&gt;&lt;remote-database-provider&gt;NLM&lt;/remote-database-provider&gt;&lt;/record&gt;&lt;/Cite&gt;&lt;/EndNote&gt;</w:instrText>
      </w:r>
      <w:r>
        <w:rPr>
          <w:rFonts w:ascii="Times New Roman" w:hAnsi="Times New Roman" w:cs="Times New Roman"/>
          <w:lang w:val="en-US"/>
        </w:rPr>
        <w:fldChar w:fldCharType="separate"/>
      </w:r>
      <w:r>
        <w:rPr>
          <w:rFonts w:ascii="Times New Roman" w:hAnsi="Times New Roman" w:cs="Times New Roman"/>
          <w:lang w:val="en-US"/>
        </w:rPr>
        <w:t>[1]</w:t>
      </w:r>
      <w:r>
        <w:rPr>
          <w:rFonts w:ascii="Times New Roman" w:hAnsi="Times New Roman" w:cs="Times New Roman"/>
          <w:lang w:val="en-US"/>
        </w:rPr>
        <w:fldChar w:fldCharType="end"/>
      </w:r>
      <w:r>
        <w:rPr>
          <w:rFonts w:ascii="Times New Roman" w:hAnsi="Times New Roman" w:cs="Times New Roman" w:hint="eastAsia"/>
          <w:lang w:val="en-US"/>
        </w:rPr>
        <w:t>,</w:t>
      </w:r>
      <w:r>
        <w:rPr>
          <w:rFonts w:ascii="Times New Roman" w:hAnsi="Times New Roman" w:cs="Times New Roman"/>
        </w:rPr>
        <w:t xml:space="preserve"> yielding complete genome assemblies. For strain G1, protein-coding genes were predicted using Glimmer 3</w:t>
      </w:r>
      <w:r>
        <w:rPr>
          <w:rFonts w:ascii="Times New Roman" w:hAnsi="Times New Roman" w:cs="Times New Roman"/>
          <w:lang w:val="en-US"/>
        </w:rPr>
        <w:t xml:space="preserve"> </w:t>
      </w:r>
      <w:r>
        <w:rPr>
          <w:rFonts w:ascii="Times New Roman" w:hAnsi="Times New Roman" w:cs="Times New Roman"/>
          <w:lang w:val="en-US"/>
        </w:rPr>
        <w:fldChar w:fldCharType="begin"/>
      </w:r>
      <w:r>
        <w:rPr>
          <w:rFonts w:ascii="Times New Roman" w:hAnsi="Times New Roman" w:cs="Times New Roman"/>
          <w:lang w:val="en-US"/>
        </w:rPr>
        <w:instrText xml:space="preserve"> ADDIN EN.CITE &lt;EndNote&gt;&lt;Cite&gt;&lt;Author&gt;Delcher&lt;/Author&gt;&lt;Year&gt;2007&lt;/Year&gt;&lt;RecNum&gt;100&lt;/RecNum&gt;&lt;DisplayText&gt;[2]&lt;/DisplayText&gt;&lt;record&gt;&lt;rec-number&gt;100&lt;/rec-number&gt;&lt;foreign-keys&gt;&lt;key app="EN" db-id="ervvwteats0xrmevwd6p9w5lrpez0wfrd52z" timestamp="1783409832"&gt;100&lt;/key&gt;&lt;/foreign-keys&gt;&lt;ref-type name="Journal Article"&gt;17&lt;/ref-type&gt;&lt;contributors&gt;&lt;authors&gt;&lt;author&gt;Delcher, A. L.&lt;/author&gt;&lt;author&gt;Bratke, K. A.&lt;/author&gt;&lt;author&gt;Powers, E. C.&lt;/author&gt;&lt;author&gt;Salzberg, S. L.&lt;/author&gt;&lt;/authors&gt;&lt;/contributors&gt;&lt;auth-address&gt;Center for Bioinformatics &amp;amp; Computational Biology, University of Maryland, College Park, MD 20742, USA. adelcher@umiacs.umd.edu&lt;/auth-address&gt;&lt;titles&gt;&lt;title&gt;Identifying bacterial genes and endosymbiont DNA with Glimmer&lt;/title&gt;&lt;secondary-title&gt;Bioinformatics&lt;/secondary-title&gt;&lt;/titles&gt;&lt;periodical&gt;&lt;full-title&gt;Bioinformatics&lt;/full-title&gt;&lt;/periodical&gt;&lt;pages&gt;673-9&lt;/pages&gt;&lt;volume&gt;23&lt;/volume&gt;&lt;number&gt;6&lt;/number&gt;&lt;edition&gt;20070119&lt;/edition&gt;&lt;keywords&gt;&lt;keyword&gt;Algorithms&lt;/keyword&gt;&lt;keyword&gt;Animals&lt;/keyword&gt;&lt;keyword&gt;Artifacts&lt;/keyword&gt;&lt;keyword&gt;Chromosome Mapping/*methods&lt;/keyword&gt;&lt;keyword&gt;DNA, Bacterial/*genetics&lt;/keyword&gt;&lt;keyword&gt;Decapodiformes/*genetics/microbiology&lt;/keyword&gt;&lt;keyword&gt;Genome, Bacterial/*genetics&lt;/keyword&gt;&lt;keyword&gt;Prochloron/*genetics&lt;/keyword&gt;&lt;keyword&gt;Reproducibility of Results&lt;/keyword&gt;&lt;keyword&gt;Sensitivity and Specificity&lt;/keyword&gt;&lt;keyword&gt;Sequence Analysis, DNA/methods&lt;/keyword&gt;&lt;keyword&gt;*Software&lt;/keyword&gt;&lt;keyword&gt;Symbiosis/*genetics&lt;/keyword&gt;&lt;/keywords&gt;&lt;dates&gt;&lt;year&gt;2007&lt;/year&gt;&lt;pub-dates&gt;&lt;date&gt;Mar 15&lt;/date&gt;&lt;/pub-dates&gt;&lt;/dates&gt;&lt;isbn&gt;1367-4811 (Electronic)&amp;#xD;1367-4803 (Print)&amp;#xD;1367-4803 (Linking)&lt;/isbn&gt;&lt;accession-num&gt;17237039&lt;/accession-num&gt;&lt;urls&gt;&lt;related-urls&gt;&lt;url&gt;https://www.ncbi.nlm.nih.gov/pubmed/17237039&lt;/url&gt;&lt;/related-urls&gt;&lt;/urls&gt;&lt;custom2&gt;PMC2387122&lt;/custom2&gt;&lt;electronic-resource-num&gt;10.1093/bioinformatics/btm009&lt;/electronic-resource-num&gt;&lt;remote-database-name&gt;Medline&lt;/remote-database-name&gt;&lt;remote-database-provider&gt;NLM&lt;/remote-database-provider&gt;&lt;/record&gt;&lt;/Cite&gt;&lt;/EndNote&gt;</w:instrText>
      </w:r>
      <w:r>
        <w:rPr>
          <w:rFonts w:ascii="Times New Roman" w:hAnsi="Times New Roman" w:cs="Times New Roman"/>
          <w:lang w:val="en-US"/>
        </w:rPr>
        <w:fldChar w:fldCharType="separate"/>
      </w:r>
      <w:r>
        <w:rPr>
          <w:rFonts w:ascii="Times New Roman" w:hAnsi="Times New Roman" w:cs="Times New Roman"/>
          <w:lang w:val="en-US"/>
        </w:rPr>
        <w:t>[2]</w:t>
      </w:r>
      <w:r>
        <w:rPr>
          <w:rFonts w:ascii="Times New Roman" w:hAnsi="Times New Roman" w:cs="Times New Roman"/>
          <w:lang w:val="en-US"/>
        </w:rPr>
        <w:fldChar w:fldCharType="end"/>
      </w:r>
      <w:r>
        <w:rPr>
          <w:rFonts w:ascii="Times New Roman" w:hAnsi="Times New Roman" w:cs="Times New Roman"/>
          <w:lang w:val="en-US"/>
        </w:rPr>
        <w:t>,</w:t>
      </w:r>
      <w:r>
        <w:rPr>
          <w:rFonts w:ascii="Times New Roman" w:hAnsi="Times New Roman" w:cs="Times New Roman"/>
        </w:rPr>
        <w:t xml:space="preserve"> and genome annotation was performed using the RAST server</w:t>
      </w:r>
      <w:r>
        <w:rPr>
          <w:rFonts w:ascii="Times New Roman" w:hAnsi="Times New Roman" w:cs="Times New Roman"/>
          <w:lang w:val="en-US"/>
        </w:rPr>
        <w:t xml:space="preserve"> </w:t>
      </w:r>
      <w:r>
        <w:rPr>
          <w:rFonts w:ascii="Times New Roman" w:hAnsi="Times New Roman" w:cs="Times New Roman"/>
          <w:lang w:val="en-US"/>
        </w:rPr>
        <w:fldChar w:fldCharType="begin">
          <w:fldData xml:space="preserve">PEVuZE5vdGU+PENpdGU+PEF1dGhvcj5Beml6PC9BdXRob3I+PFllYXI+MjAwODwvWWVhcj48UmVj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</w:fldData>
        </w:fldChar>
      </w:r>
      <w:r>
        <w:rPr>
          <w:rFonts w:ascii="Times New Roman" w:hAnsi="Times New Roman" w:cs="Times New Roman"/>
          <w:lang w:val="en-US"/>
        </w:rPr>
        <w:instrText xml:space="preserve"> ADDIN EN.CITE </w:instrText>
      </w:r>
      <w:r>
        <w:rPr>
          <w:rFonts w:ascii="Times New Roman" w:hAnsi="Times New Roman" w:cs="Times New Roman"/>
          <w:lang w:val="en-US"/>
        </w:rPr>
        <w:fldChar w:fldCharType="begin">
          <w:fldData xml:space="preserve">PEVuZE5vdGU+PENpdGU+PEF1dGhvcj5Beml6PC9BdXRob3I+PFllYXI+MjAwODwvWWVhcj48UmVj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</w:fldData>
        </w:fldChar>
      </w:r>
      <w:r>
        <w:rPr>
          <w:rFonts w:ascii="Times New Roman" w:hAnsi="Times New Roman" w:cs="Times New Roman"/>
          <w:lang w:val="en-US"/>
        </w:rPr>
        <w:instrText xml:space="preserve"> ADDIN EN.CITE.DATA </w:instrText>
      </w:r>
      <w:r>
        <w:rPr>
          <w:rFonts w:ascii="Times New Roman" w:hAnsi="Times New Roman" w:cs="Times New Roman"/>
          <w:lang w:val="en-US"/>
        </w:rPr>
      </w:r>
      <w:r>
        <w:rPr>
          <w:rFonts w:ascii="Times New Roman" w:hAnsi="Times New Roman" w:cs="Times New Roman"/>
          <w:lang w:val="en-US"/>
        </w:rPr>
        <w:fldChar w:fldCharType="end"/>
      </w:r>
      <w:r>
        <w:rPr>
          <w:rFonts w:ascii="Times New Roman" w:hAnsi="Times New Roman" w:cs="Times New Roman"/>
          <w:lang w:val="en-US"/>
        </w:rPr>
      </w:r>
      <w:r>
        <w:rPr>
          <w:rFonts w:ascii="Times New Roman" w:hAnsi="Times New Roman" w:cs="Times New Roman"/>
          <w:lang w:val="en-US"/>
        </w:rPr>
        <w:fldChar w:fldCharType="separate"/>
      </w:r>
      <w:r>
        <w:rPr>
          <w:rFonts w:ascii="Times New Roman" w:hAnsi="Times New Roman" w:cs="Times New Roman"/>
          <w:lang w:val="en-US"/>
        </w:rPr>
        <w:t>[3]</w:t>
      </w:r>
      <w:r>
        <w:rPr>
          <w:rFonts w:ascii="Times New Roman" w:hAnsi="Times New Roman" w:cs="Times New Roman"/>
          <w:lang w:val="en-US"/>
        </w:rPr>
        <w:fldChar w:fldCharType="end"/>
      </w:r>
      <w:r>
        <w:rPr>
          <w:rFonts w:ascii="Times New Roman" w:hAnsi="Times New Roman" w:cs="Times New Roman"/>
        </w:rPr>
        <w:t xml:space="preserve">. For strain aNRL1, coding sequences were predicted de novo using </w:t>
      </w:r>
      <w:proofErr w:type="spellStart"/>
      <w:r>
        <w:rPr>
          <w:rFonts w:ascii="Times New Roman" w:hAnsi="Times New Roman" w:cs="Times New Roman"/>
        </w:rPr>
        <w:t>GeneMark</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&lt;EndNote&gt;&lt;Cite&gt;&lt;Author&gt;Lukashin&lt;/Author&gt;&lt;Year&gt;1998&lt;/Year&gt;&lt;RecNum&gt;133&lt;/RecNum&gt;&lt;DisplayText&gt;[4]&lt;/DisplayText&gt;&lt;record&gt;&lt;rec-number&gt;133&lt;/rec-number&gt;&lt;foreign-keys&gt;&lt;key app="EN" db-id="ervvwteats0xrmevwd6p9w5lrpez0wfrd52z" timestamp="1784693728"&gt;133&lt;/key&gt;&lt;/foreign-keys&gt;&lt;ref-type name="Journal Article"&gt;17&lt;/ref-type&gt;&lt;contributors&gt;&lt;authors&gt;&lt;author&gt;Lukashin, A. V.&lt;/author&gt;&lt;author&gt;Borodovsky, M.&lt;/author&gt;&lt;/authors&gt;&lt;/contributors&gt;&lt;auth-address&gt;School of Biology and Schools of Biology and Mathematics, Georgia Institute of Technology, Atlanta, GA 30332-0230, USA.&lt;/auth-address&gt;&lt;titles&gt;&lt;title&gt;GeneMark.hmm: new solutions for gene finding&lt;/title&gt;&lt;secondary-title&gt;Nucleic Acids Res&lt;/secondary-title&gt;&lt;/titles&gt;&lt;periodical&gt;&lt;full-title&gt;Nucleic Acids Res&lt;/full-title&gt;&lt;/periodical&gt;&lt;pages&gt;1107-15&lt;/pages&gt;&lt;volume&gt;26&lt;/volume&gt;&lt;number&gt;4&lt;/number&gt;&lt;keywords&gt;&lt;keyword&gt;*Algorithms&lt;/keyword&gt;&lt;keyword&gt;Base Sequence&lt;/keyword&gt;&lt;keyword&gt;DNA, Bacterial/genetics&lt;/keyword&gt;&lt;keyword&gt;Databases, Factual&lt;/keyword&gt;&lt;keyword&gt;Escherichia coli/genetics&lt;/keyword&gt;&lt;keyword&gt;Evaluation Studies as Topic&lt;/keyword&gt;&lt;keyword&gt;Genes, Bacterial&lt;/keyword&gt;&lt;keyword&gt;*Genome, Bacterial&lt;/keyword&gt;&lt;keyword&gt;Markov Chains&lt;/keyword&gt;&lt;keyword&gt;*Models, Genetic&lt;/keyword&gt;&lt;keyword&gt;Software&lt;/keyword&gt;&lt;/keywords&gt;&lt;dates&gt;&lt;year&gt;1998&lt;/year&gt;&lt;pub-dates&gt;&lt;date&gt;Feb 15&lt;/date&gt;&lt;/pub-dates&gt;&lt;/dates&gt;&lt;isbn&gt;0305-1048 (Print)&amp;#xD;1362-4962 (Electronic)&amp;#xD;0305-1048 (Linking)&lt;/isbn&gt;&lt;accession-num&gt;9461475&lt;/accession-num&gt;&lt;urls&gt;&lt;related-urls&gt;&lt;url&gt;https://www.ncbi.nlm.nih.gov/pubmed/9461475&lt;/url&gt;&lt;/related-urls&gt;&lt;/urls&gt;&lt;custom2&gt;PMC147337&lt;/custom2&gt;&lt;electronic-resource-num&gt;10.1093/nar/26.4.1107&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lang w:val="en-US"/>
        </w:rPr>
        <w:t xml:space="preserve">. The predicted aNRL1 proteins were searched against the NR, Swiss-Prot, KEGG, GO, COG, </w:t>
      </w:r>
      <w:proofErr w:type="spellStart"/>
      <w:r>
        <w:rPr>
          <w:rFonts w:ascii="Times New Roman" w:hAnsi="Times New Roman" w:cs="Times New Roman"/>
          <w:lang w:val="en-US"/>
        </w:rPr>
        <w:t>CAZy</w:t>
      </w:r>
      <w:proofErr w:type="spellEnd"/>
      <w:r>
        <w:rPr>
          <w:rFonts w:ascii="Times New Roman" w:hAnsi="Times New Roman" w:cs="Times New Roman"/>
          <w:lang w:val="en-US"/>
        </w:rPr>
        <w:t xml:space="preserve">, ARD, CARD, PHI-base, </w:t>
      </w:r>
      <w:proofErr w:type="spellStart"/>
      <w:r>
        <w:rPr>
          <w:rFonts w:ascii="Times New Roman" w:hAnsi="Times New Roman" w:cs="Times New Roman"/>
          <w:lang w:val="en-US"/>
        </w:rPr>
        <w:t>TCDB</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VFDB</w:t>
      </w:r>
      <w:proofErr w:type="spellEnd"/>
      <w:r>
        <w:rPr>
          <w:rFonts w:ascii="Times New Roman" w:hAnsi="Times New Roman" w:cs="Times New Roman"/>
          <w:lang w:val="en-US"/>
        </w:rPr>
        <w:t xml:space="preserve">, and </w:t>
      </w:r>
      <w:proofErr w:type="spellStart"/>
      <w:r>
        <w:rPr>
          <w:rFonts w:ascii="Times New Roman" w:hAnsi="Times New Roman" w:cs="Times New Roman"/>
          <w:lang w:val="en-US"/>
        </w:rPr>
        <w:t>BacMet</w:t>
      </w:r>
      <w:proofErr w:type="spellEnd"/>
      <w:r>
        <w:rPr>
          <w:rFonts w:ascii="Times New Roman" w:hAnsi="Times New Roman" w:cs="Times New Roman"/>
          <w:lang w:val="en-US"/>
        </w:rPr>
        <w:t xml:space="preserve"> databases using </w:t>
      </w:r>
      <w:proofErr w:type="spellStart"/>
      <w:r>
        <w:rPr>
          <w:rFonts w:ascii="Times New Roman" w:hAnsi="Times New Roman" w:cs="Times New Roman"/>
          <w:lang w:val="en-US"/>
        </w:rPr>
        <w:t>BLASTp</w:t>
      </w:r>
      <w:proofErr w:type="spellEnd"/>
      <w:r>
        <w:rPr>
          <w:rFonts w:ascii="Times New Roman" w:hAnsi="Times New Roman" w:cs="Times New Roman"/>
          <w:lang w:val="en-US"/>
        </w:rPr>
        <w:t xml:space="preserve"> to obtain functional annotations. </w:t>
      </w:r>
      <w:r>
        <w:rPr>
          <w:rFonts w:ascii="Times New Roman" w:hAnsi="Times New Roman" w:cs="Times New Roman"/>
        </w:rPr>
        <w:t xml:space="preserve">The identification of secondary metabolite biosynthetic gene clusters was accomplished through </w:t>
      </w:r>
      <w:proofErr w:type="spellStart"/>
      <w:r>
        <w:rPr>
          <w:rFonts w:ascii="Times New Roman" w:hAnsi="Times New Roman" w:cs="Times New Roman"/>
        </w:rPr>
        <w:t>antiSMASH</w:t>
      </w:r>
      <w:proofErr w:type="spellEnd"/>
      <w:r>
        <w:rPr>
          <w:rFonts w:ascii="Times New Roman" w:hAnsi="Times New Roman" w:cs="Times New Roman"/>
        </w:rPr>
        <w:t xml:space="preserve"> 7.0</w:t>
      </w:r>
      <w:r>
        <w:rPr>
          <w:rFonts w:ascii="Times New Roman" w:hAnsi="Times New Roman" w:cs="Times New Roman"/>
          <w:lang w:val="en-US"/>
        </w:rPr>
        <w:t xml:space="preserve"> </w:t>
      </w:r>
      <w:r>
        <w:rPr>
          <w:rFonts w:ascii="Times New Roman" w:hAnsi="Times New Roman" w:cs="Times New Roman"/>
          <w:lang w:val="en-US"/>
        </w:rPr>
        <w:fldChar w:fldCharType="begin">
          <w:fldData xml:space="preserve">PEVuZE5vdGU+PENpdGU+PEF1dGhvcj5CbGluPC9BdXRob3I+PFllYXI+MjAyMzwvWWVhcj48UmVj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</w:fldData>
        </w:fldChar>
      </w:r>
      <w:r>
        <w:rPr>
          <w:rFonts w:ascii="Times New Roman" w:hAnsi="Times New Roman" w:cs="Times New Roman"/>
          <w:lang w:val="en-US"/>
        </w:rPr>
        <w:instrText xml:space="preserve"> ADDIN EN.CITE </w:instrText>
      </w:r>
      <w:r>
        <w:rPr>
          <w:rFonts w:ascii="Times New Roman" w:hAnsi="Times New Roman" w:cs="Times New Roman" w:hint="eastAsia"/>
          <w:lang w:val="en-US"/>
        </w:rPr>
        <w:fldChar w:fldCharType="begin">
          <w:fldData xml:space="preserve">PEVuZE5vdGU+PENpdGU+PEF1dGhvcj5CbGluPC9BdXRob3I+PFllYXI+MjAyMzwvWWVhcj48UmVj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</w:fldData>
        </w:fldChar>
      </w:r>
      <w:r>
        <w:rPr>
          <w:rFonts w:ascii="Times New Roman" w:hAnsi="Times New Roman" w:cs="Times New Roman"/>
          <w:lang w:val="en-US"/>
        </w:rPr>
        <w:instrText xml:space="preserve"> ADDIN EN.CITE.DATA </w:instrText>
      </w:r>
      <w:r>
        <w:rPr>
          <w:rFonts w:ascii="Times New Roman" w:hAnsi="Times New Roman" w:cs="Times New Roman" w:hint="eastAsia"/>
          <w:lang w:val="en-US"/>
        </w:rPr>
      </w:r>
      <w:r>
        <w:rPr>
          <w:rFonts w:ascii="Times New Roman" w:hAnsi="Times New Roman" w:cs="Times New Roman" w:hint="eastAsia"/>
          <w:lang w:val="en-US"/>
        </w:rPr>
        <w:fldChar w:fldCharType="end"/>
      </w:r>
      <w:r>
        <w:rPr>
          <w:rFonts w:ascii="Times New Roman" w:hAnsi="Times New Roman" w:cs="Times New Roman"/>
          <w:lang w:val="en-US"/>
        </w:rPr>
      </w:r>
      <w:r>
        <w:rPr>
          <w:rFonts w:ascii="Times New Roman" w:hAnsi="Times New Roman" w:cs="Times New Roman"/>
          <w:lang w:val="en-US"/>
        </w:rPr>
        <w:fldChar w:fldCharType="separate"/>
      </w:r>
      <w:r>
        <w:rPr>
          <w:rFonts w:ascii="Times New Roman" w:hAnsi="Times New Roman" w:cs="Times New Roman"/>
          <w:lang w:val="en-US"/>
        </w:rPr>
        <w:t>[5]</w:t>
      </w:r>
      <w:r>
        <w:rPr>
          <w:rFonts w:ascii="Times New Roman" w:hAnsi="Times New Roman" w:cs="Times New Roman"/>
          <w:lang w:val="en-US"/>
        </w:rPr>
        <w:fldChar w:fldCharType="end"/>
      </w:r>
      <w:r>
        <w:rPr>
          <w:rFonts w:ascii="Times New Roman" w:hAnsi="Times New Roman" w:cs="Times New Roman"/>
        </w:rPr>
        <w:t xml:space="preserve">. </w:t>
      </w:r>
    </w:p>
    <w:p w14:paraId="7FF8145C" w14:textId="77777777" w:rsidR="00092D94" w:rsidRDefault="00E272F5">
      <w:pPr>
        <w:jc w:val="both"/>
        <w:rPr>
          <w:rFonts w:ascii="Times New Roman" w:hAnsi="Times New Roman" w:cs="Times New Roman"/>
        </w:rPr>
      </w:pPr>
      <w:r>
        <w:rPr>
          <w:rFonts w:ascii="Times New Roman" w:hAnsi="Times New Roman" w:cs="Times New Roman"/>
        </w:rPr>
        <w:t>The construction of a phylogenomic tree based on complete genomes was reconstructed using Type (Strain) Genome Server (TYGS</w:t>
      </w:r>
      <w:r>
        <w:rPr>
          <w:rFonts w:ascii="Times New Roman" w:hAnsi="Times New Roman" w:cs="Times New Roman"/>
          <w:lang w:val="en-US"/>
        </w:rPr>
        <w:t xml:space="preserve">; </w:t>
      </w:r>
      <w:hyperlink r:id="rId7" w:history="1">
        <w:r w:rsidR="00092D94">
          <w:rPr>
            <w:rStyle w:val="af"/>
            <w:rFonts w:ascii="Times New Roman" w:hAnsi="Times New Roman" w:cs="Times New Roman"/>
            <w:color w:val="auto"/>
            <w:lang w:val="en-US"/>
          </w:rPr>
          <w:t>https://tygs.dsmz.de</w:t>
        </w:r>
        <w:r w:rsidR="00092D94">
          <w:rPr>
            <w:rStyle w:val="af"/>
            <w:rFonts w:ascii="Times New Roman" w:hAnsi="Times New Roman" w:cs="Times New Roman"/>
            <w:color w:val="auto"/>
          </w:rPr>
          <w:t>)</w:t>
        </w:r>
      </w:hyperlink>
      <w:r>
        <w:rPr>
          <w:rFonts w:ascii="Times New Roman" w:hAnsi="Times New Roman" w:cs="Times New Roman"/>
          <w:lang w:val="en-US"/>
        </w:rPr>
        <w:t xml:space="preserve"> with </w:t>
      </w:r>
      <w:proofErr w:type="spellStart"/>
      <w:r>
        <w:rPr>
          <w:rFonts w:ascii="Times New Roman" w:hAnsi="Times New Roman" w:cs="Times New Roman"/>
          <w:lang w:val="en-US"/>
        </w:rPr>
        <w:t>FastME</w:t>
      </w:r>
      <w:proofErr w:type="spellEnd"/>
      <w:r>
        <w:rPr>
          <w:rFonts w:ascii="Times New Roman" w:hAnsi="Times New Roman" w:cs="Times New Roman"/>
          <w:lang w:val="en-US"/>
        </w:rPr>
        <w:t xml:space="preserve"> 2.1.6.1 method </w:t>
      </w:r>
      <w:r>
        <w:rPr>
          <w:rFonts w:ascii="Times New Roman" w:hAnsi="Times New Roman" w:cs="Times New Roman"/>
          <w:lang w:val="en-US"/>
        </w:rPr>
        <w:fldChar w:fldCharType="begin"/>
      </w:r>
      <w:r>
        <w:rPr>
          <w:rFonts w:ascii="Times New Roman" w:hAnsi="Times New Roman" w:cs="Times New Roman"/>
          <w:lang w:val="en-US"/>
        </w:rPr>
        <w:instrText xml:space="preserve"> ADDIN EN.CITE &lt;EndNote&gt;&lt;Cite&gt;&lt;Author&gt;Lefort&lt;/Author&gt;&lt;Year&gt;2015&lt;/Year&gt;&lt;RecNum&gt;132&lt;/RecNum&gt;&lt;DisplayText&gt;[6]&lt;/DisplayText&gt;&lt;record&gt;&lt;rec-number&gt;132&lt;/rec-number&gt;&lt;foreign-keys&gt;&lt;key app="EN" db-id="ervvwteats0xrmevwd6p9w5lrpez0wfrd52z" timestamp="1784692284"&gt;132&lt;/key&gt;&lt;/foreign-keys&gt;&lt;ref-type name="Journal Article"&gt;17&lt;/ref-type&gt;&lt;contributors&gt;&lt;authors&gt;&lt;author&gt;Lefort, V.&lt;/author&gt;&lt;author&gt;Desper, R.&lt;/author&gt;&lt;author&gt;Gascuel, O.&lt;/author&gt;&lt;/authors&gt;&lt;/contributors&gt;&lt;auth-address&gt;Institut de Biologie Computationnelle, LIRMM, UMR 5506: CNRS &amp;amp; Universite de Montpellier, France.&amp;#xD;Institut de Biologie Computationnelle, LIRMM, UMR 5506: CNRS &amp;amp; Universite de Montpellier, France gascuel@lirmm.fr.&lt;/auth-address&gt;&lt;titles&gt;&lt;title&gt;FastME 2.0: A Comprehensive, Accurate, and Fast Distance-Based Phylogeny Inference Program&lt;/title&gt;&lt;secondary-title&gt;Mol Biol Evol&lt;/secondary-title&gt;&lt;/titles&gt;&lt;periodical&gt;&lt;full-title&gt;Mol Biol Evol&lt;/full-title&gt;&lt;/periodical&gt;&lt;pages&gt;2798-800&lt;/pages&gt;&lt;volume&gt;32&lt;/volume&gt;&lt;number&gt;10&lt;/number&gt;&lt;edition&gt;20150630&lt;/edition&gt;&lt;keywords&gt;&lt;keyword&gt;*Algorithms&lt;/keyword&gt;&lt;keyword&gt;Models, Theoretical&lt;/keyword&gt;&lt;keyword&gt;*Phylogeny&lt;/keyword&gt;&lt;keyword&gt;(balanced) minimum evolution&lt;/keyword&gt;&lt;keyword&gt;NNI and SPR topological moves&lt;/keyword&gt;&lt;keyword&gt;distance-based&lt;/keyword&gt;&lt;keyword&gt;fast algorithms&lt;/keyword&gt;&lt;keyword&gt;phylogeny inference&lt;/keyword&gt;&lt;/keywords&gt;&lt;dates&gt;&lt;year&gt;2015&lt;/year&gt;&lt;pub-dates&gt;&lt;date&gt;Oct&lt;/date&gt;&lt;/pub-dates&gt;&lt;/dates&gt;&lt;isbn&gt;1537-1719 (Electronic)&amp;#xD;0737-4038 (Print)&amp;#xD;0737-4038 (Linking)&lt;/isbn&gt;&lt;accession-num&gt;26130081&lt;/accession-num&gt;&lt;urls&gt;&lt;related-urls&gt;&lt;url&gt;https://www.ncbi.nlm.nih.gov/pubmed/26130081&lt;/url&gt;&lt;/related-urls&gt;&lt;/urls&gt;&lt;custom2&gt;PMC4576710&lt;/custom2&gt;&lt;electronic-resource-num&gt;10.1093/molbev/msv150&lt;/electronic-resource-num&gt;&lt;remote-database-name&gt;Medline&lt;/remote-database-name&gt;&lt;remote-database-provider&gt;NLM&lt;/remote-database-provider&gt;&lt;/record&gt;&lt;/Cite&gt;&lt;/EndNote&gt;</w:instrText>
      </w:r>
      <w:r>
        <w:rPr>
          <w:rFonts w:ascii="Times New Roman" w:hAnsi="Times New Roman" w:cs="Times New Roman"/>
          <w:lang w:val="en-US"/>
        </w:rPr>
        <w:fldChar w:fldCharType="separate"/>
      </w:r>
      <w:r>
        <w:rPr>
          <w:rFonts w:ascii="Times New Roman" w:hAnsi="Times New Roman" w:cs="Times New Roman"/>
          <w:lang w:val="en-US"/>
        </w:rPr>
        <w:t>[6]</w:t>
      </w:r>
      <w:r>
        <w:rPr>
          <w:rFonts w:ascii="Times New Roman" w:hAnsi="Times New Roman" w:cs="Times New Roman"/>
          <w:lang w:val="en-US"/>
        </w:rPr>
        <w:fldChar w:fldCharType="end"/>
      </w:r>
      <w:r>
        <w:rPr>
          <w:rFonts w:ascii="Times New Roman" w:hAnsi="Times New Roman" w:cs="Times New Roman"/>
        </w:rPr>
        <w:t>.</w:t>
      </w:r>
      <w:r>
        <w:rPr>
          <w:rFonts w:ascii="Times New Roman" w:hAnsi="Times New Roman" w:cs="Times New Roman"/>
          <w:lang w:val="en-US"/>
        </w:rPr>
        <w:t xml:space="preserve"> </w:t>
      </w:r>
      <w:proofErr w:type="spellStart"/>
      <w:r>
        <w:rPr>
          <w:rFonts w:ascii="Times New Roman" w:hAnsi="Times New Roman" w:cs="Times New Roman"/>
        </w:rPr>
        <w:t>FastANI</w:t>
      </w:r>
      <w:proofErr w:type="spellEnd"/>
      <w:r>
        <w:rPr>
          <w:rFonts w:ascii="Times New Roman" w:hAnsi="Times New Roman" w:cs="Times New Roman"/>
        </w:rPr>
        <w:t xml:space="preserve"> was employed to determine the average nucleotide identity among selected species</w:t>
      </w:r>
      <w:r>
        <w:rPr>
          <w:rFonts w:ascii="Times New Roman" w:hAnsi="Times New Roman" w:cs="Times New Roman"/>
          <w:lang w:val="en-US"/>
        </w:rPr>
        <w:t xml:space="preserve"> </w:t>
      </w:r>
      <w:r>
        <w:rPr>
          <w:rFonts w:ascii="Times New Roman" w:hAnsi="Times New Roman" w:cs="Times New Roman"/>
          <w:lang w:val="en-US"/>
        </w:rPr>
        <w:fldChar w:fldCharType="begin">
          <w:fldData xml:space="preserve">PEVuZE5vdGU+PENpdGU+PEF1dGhvcj5KYWluPC9BdXRob3I+PFllYXI+MjAxODwvWWVhcj48UmVj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</w:fldData>
        </w:fldChar>
      </w:r>
      <w:r>
        <w:rPr>
          <w:rFonts w:ascii="Times New Roman" w:hAnsi="Times New Roman" w:cs="Times New Roman"/>
          <w:lang w:val="en-US"/>
        </w:rPr>
        <w:instrText xml:space="preserve"> ADDIN EN.CITE </w:instrText>
      </w:r>
      <w:r>
        <w:rPr>
          <w:rFonts w:ascii="Times New Roman" w:hAnsi="Times New Roman" w:cs="Times New Roman" w:hint="eastAsia"/>
          <w:lang w:val="en-US"/>
        </w:rPr>
        <w:fldChar w:fldCharType="begin">
          <w:fldData xml:space="preserve">PEVuZE5vdGU+PENpdGU+PEF1dGhvcj5KYWluPC9BdXRob3I+PFllYXI+MjAxODwvWWVhcj48UmVj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</w:fldData>
        </w:fldChar>
      </w:r>
      <w:r>
        <w:rPr>
          <w:rFonts w:ascii="Times New Roman" w:hAnsi="Times New Roman" w:cs="Times New Roman"/>
          <w:lang w:val="en-US"/>
        </w:rPr>
        <w:instrText xml:space="preserve"> ADDIN EN.CITE.DATA </w:instrText>
      </w:r>
      <w:r>
        <w:rPr>
          <w:rFonts w:ascii="Times New Roman" w:hAnsi="Times New Roman" w:cs="Times New Roman" w:hint="eastAsia"/>
          <w:lang w:val="en-US"/>
        </w:rPr>
      </w:r>
      <w:r>
        <w:rPr>
          <w:rFonts w:ascii="Times New Roman" w:hAnsi="Times New Roman" w:cs="Times New Roman" w:hint="eastAsia"/>
          <w:lang w:val="en-US"/>
        </w:rPr>
        <w:fldChar w:fldCharType="end"/>
      </w:r>
      <w:r>
        <w:rPr>
          <w:rFonts w:ascii="Times New Roman" w:hAnsi="Times New Roman" w:cs="Times New Roman"/>
          <w:lang w:val="en-US"/>
        </w:rPr>
      </w:r>
      <w:r>
        <w:rPr>
          <w:rFonts w:ascii="Times New Roman" w:hAnsi="Times New Roman" w:cs="Times New Roman"/>
          <w:lang w:val="en-US"/>
        </w:rPr>
        <w:fldChar w:fldCharType="separate"/>
      </w:r>
      <w:r>
        <w:rPr>
          <w:rFonts w:ascii="Times New Roman" w:hAnsi="Times New Roman" w:cs="Times New Roman"/>
          <w:lang w:val="en-US"/>
        </w:rPr>
        <w:t>[7]</w:t>
      </w:r>
      <w:r>
        <w:rPr>
          <w:rFonts w:ascii="Times New Roman" w:hAnsi="Times New Roman" w:cs="Times New Roman"/>
          <w:lang w:val="en-US"/>
        </w:rPr>
        <w:fldChar w:fldCharType="end"/>
      </w:r>
      <w:r>
        <w:rPr>
          <w:rFonts w:ascii="Times New Roman" w:hAnsi="Times New Roman" w:cs="Times New Roman"/>
        </w:rPr>
        <w:t>. Digital DNA-DNA hybridization values were calculated with the Genome-to-Genome Distance Calculator 3.0</w:t>
      </w:r>
      <w:r>
        <w:rPr>
          <w:rFonts w:ascii="Times New Roman" w:hAnsi="Times New Roman" w:cs="Times New Roman"/>
          <w:lang w:val="en-US"/>
        </w:rPr>
        <w:t xml:space="preserve"> </w:t>
      </w:r>
      <w:r>
        <w:rPr>
          <w:rFonts w:ascii="Times New Roman" w:hAnsi="Times New Roman" w:cs="Times New Roman"/>
          <w:lang w:val="en-US"/>
        </w:rPr>
        <w:fldChar w:fldCharType="begin"/>
      </w:r>
      <w:r>
        <w:rPr>
          <w:rFonts w:ascii="Times New Roman" w:hAnsi="Times New Roman" w:cs="Times New Roman"/>
          <w:lang w:val="en-US"/>
        </w:rPr>
        <w:instrText xml:space="preserve"> ADDIN EN.CITE &lt;EndNote&gt;&lt;Cite&gt;&lt;Author&gt;Meier-Kolthoff&lt;/Author&gt;&lt;Year&gt;2022&lt;/Year&gt;&lt;RecNum&gt;105&lt;/RecNum&gt;&lt;DisplayText&gt;[8]&lt;/DisplayText&gt;&lt;record&gt;&lt;rec-number&gt;105&lt;/rec-number&gt;&lt;foreign-keys&gt;&lt;key app="EN" db-id="ervvwteats0xrmevwd6p9w5lrpez0wfrd52z" timestamp="1783410310"&gt;105&lt;/key&gt;&lt;/foreign-keys&gt;&lt;ref-type name="Journal Article"&gt;17&lt;/ref-type&gt;&lt;contributors&gt;&lt;authors&gt;&lt;author&gt;Meier-Kolthoff, J. P.&lt;/author&gt;&lt;author&gt;Carbasse, J. S.&lt;/author&gt;&lt;author&gt;Peinado-Olarte, R. L.&lt;/author&gt;&lt;author&gt;Goker, M.&lt;/author&gt;&lt;/authors&gt;&lt;/contributors&gt;&lt;auth-address&gt;Leibniz Institute DSMZ - German Collection of Microorganisms and Cell Cultures, Department of Bioinformatics and Databases, Inhoffenstrasse 7B, 38124 Braunschweig, Germany.&lt;/auth-address&gt;&lt;titles&gt;&lt;title&gt;TYGS and LPSN: a database tandem for fast and reliable genome-based classification and nomenclature of prokaryotes&lt;/title&gt;&lt;secondary-title&gt;Nucleic Acids Res&lt;/secondary-title&gt;&lt;/titles&gt;&lt;periodical&gt;&lt;full-title&gt;Nucleic Acids Res&lt;/full-title&gt;&lt;/periodical&gt;&lt;pages&gt;D801-D807&lt;/pages&gt;&lt;volume&gt;50&lt;/volume&gt;&lt;number&gt;D1&lt;/number&gt;&lt;keywords&gt;&lt;keyword&gt;*Algorithms&lt;/keyword&gt;&lt;keyword&gt;Computational Biology/methods&lt;/keyword&gt;&lt;keyword&gt;*Databases, Genetic&lt;/keyword&gt;&lt;keyword&gt;Humans&lt;/keyword&gt;&lt;keyword&gt;Internet&lt;/keyword&gt;&lt;keyword&gt;Prokaryotic Cells/*classification/cytology/metabolism&lt;/keyword&gt;&lt;keyword&gt;*Software&lt;/keyword&gt;&lt;keyword&gt;Terminology as Topic&lt;/keyword&gt;&lt;/keywords&gt;&lt;dates&gt;&lt;year&gt;2022&lt;/year&gt;&lt;pub-dates&gt;&lt;date&gt;Jan 7&lt;/date&gt;&lt;/pub-dates&gt;&lt;/dates&gt;&lt;isbn&gt;1362-4962 (Electronic)&amp;#xD;0305-1048 (Print)&amp;#xD;0305-1048 (Linking)&lt;/isbn&gt;&lt;accession-num&gt;34634793&lt;/accession-num&gt;&lt;urls&gt;&lt;related-urls&gt;&lt;url&gt;https://www.ncbi.nlm.nih.gov/pubmed/34634793&lt;/url&gt;&lt;/related-urls&gt;&lt;/urls&gt;&lt;custom2&gt;PMC8728197&lt;/custom2&gt;&lt;electronic-resource-num&gt;10.1093/nar/gkab902&lt;/electronic-resource-num&gt;&lt;remote-database-name&gt;Medline&lt;/remote-database-name&gt;&lt;remote-database-provider&gt;NLM&lt;/remote-database-provider&gt;&lt;/record&gt;&lt;/Cite&gt;&lt;/EndNote&gt;</w:instrText>
      </w:r>
      <w:r>
        <w:rPr>
          <w:rFonts w:ascii="Times New Roman" w:hAnsi="Times New Roman" w:cs="Times New Roman"/>
          <w:lang w:val="en-US"/>
        </w:rPr>
        <w:fldChar w:fldCharType="separate"/>
      </w:r>
      <w:r>
        <w:rPr>
          <w:rFonts w:ascii="Times New Roman" w:hAnsi="Times New Roman" w:cs="Times New Roman"/>
          <w:lang w:val="en-US"/>
        </w:rPr>
        <w:t>[8]</w:t>
      </w:r>
      <w:r>
        <w:rPr>
          <w:rFonts w:ascii="Times New Roman" w:hAnsi="Times New Roman" w:cs="Times New Roman"/>
          <w:lang w:val="en-US"/>
        </w:rPr>
        <w:fldChar w:fldCharType="end"/>
      </w:r>
      <w:r>
        <w:rPr>
          <w:rFonts w:ascii="Times New Roman" w:hAnsi="Times New Roman" w:cs="Times New Roman"/>
        </w:rPr>
        <w:t>.</w:t>
      </w:r>
    </w:p>
    <w:p w14:paraId="6B320DEC" w14:textId="77777777" w:rsidR="00092D94" w:rsidRDefault="00E272F5">
      <w:pPr>
        <w:jc w:val="both"/>
        <w:outlineLvl w:val="1"/>
        <w:rPr>
          <w:rFonts w:ascii="Times New Roman" w:hAnsi="Times New Roman" w:cs="Times New Roman"/>
          <w:b/>
          <w:bCs/>
        </w:rPr>
      </w:pPr>
      <w:r>
        <w:rPr>
          <w:rFonts w:ascii="Times New Roman" w:hAnsi="Times New Roman" w:cs="Times New Roman"/>
          <w:b/>
          <w:bCs/>
        </w:rPr>
        <w:t>HS-SPME-GC–MS/MS analysis of G1-derived volatile compounds</w:t>
      </w:r>
    </w:p>
    <w:p w14:paraId="7A4D045A" w14:textId="77777777" w:rsidR="00092D94" w:rsidRDefault="00E272F5">
      <w:pPr>
        <w:spacing w:line="276" w:lineRule="auto"/>
        <w:jc w:val="both"/>
        <w:rPr>
          <w:rFonts w:ascii="Times New Roman" w:hAnsi="Times New Roman" w:cs="Times New Roman"/>
        </w:rPr>
      </w:pPr>
      <w:r>
        <w:rPr>
          <w:rFonts w:ascii="Times New Roman" w:hAnsi="Times New Roman" w:cs="Times New Roman"/>
        </w:rPr>
        <w:t xml:space="preserve">Liquid samples were thawed on ice and vortex-mixed thoroughly. An aliquot of 200 </w:t>
      </w:r>
      <w:proofErr w:type="spellStart"/>
      <w:r>
        <w:rPr>
          <w:rFonts w:ascii="Times New Roman" w:hAnsi="Times New Roman" w:cs="Times New Roman"/>
        </w:rPr>
        <w:t>μL</w:t>
      </w:r>
      <w:proofErr w:type="spellEnd"/>
      <w:r>
        <w:rPr>
          <w:rFonts w:ascii="Times New Roman" w:hAnsi="Times New Roman" w:cs="Times New Roman"/>
        </w:rPr>
        <w:t xml:space="preserve"> was transferred into an autosampler headspace vial, followed by the addition of 0.2 g NaCl and 20 </w:t>
      </w:r>
      <w:proofErr w:type="spellStart"/>
      <w:r>
        <w:rPr>
          <w:rFonts w:ascii="Times New Roman" w:hAnsi="Times New Roman" w:cs="Times New Roman"/>
        </w:rPr>
        <w:t>μL</w:t>
      </w:r>
      <w:proofErr w:type="spellEnd"/>
      <w:r>
        <w:rPr>
          <w:rFonts w:ascii="Times New Roman" w:hAnsi="Times New Roman" w:cs="Times New Roman"/>
        </w:rPr>
        <w:t xml:space="preserve"> of an internal-standard solution (10 </w:t>
      </w:r>
      <w:proofErr w:type="spellStart"/>
      <w:r>
        <w:rPr>
          <w:rFonts w:ascii="Times New Roman" w:hAnsi="Times New Roman" w:cs="Times New Roman"/>
        </w:rPr>
        <w:t>μg</w:t>
      </w:r>
      <w:proofErr w:type="spellEnd"/>
      <w:r>
        <w:rPr>
          <w:rFonts w:ascii="Times New Roman" w:hAnsi="Times New Roman" w:cs="Times New Roman"/>
        </w:rPr>
        <w:t xml:space="preserve"> mL</w:t>
      </w:r>
      <w:r>
        <w:rPr>
          <w:rFonts w:ascii="Times New Roman" w:hAnsi="Times New Roman" w:cs="Times New Roman"/>
          <w:vertAlign w:val="superscript"/>
          <w:lang w:val="en-US"/>
        </w:rPr>
        <w:t>-</w:t>
      </w:r>
      <w:r>
        <w:rPr>
          <w:rFonts w:ascii="Times New Roman" w:hAnsi="Times New Roman" w:cs="Times New Roman"/>
          <w:vertAlign w:val="superscript"/>
        </w:rPr>
        <w:t>1</w:t>
      </w:r>
      <w:r>
        <w:rPr>
          <w:rFonts w:ascii="Times New Roman" w:hAnsi="Times New Roman" w:cs="Times New Roman"/>
        </w:rPr>
        <w:t>; 3-Hexanone-2,2,4,4-d4). Volatile compounds were extracted using an automated headspace solid-phase microextraction system equipped with a 120-</w:t>
      </w:r>
      <w:proofErr w:type="spellStart"/>
      <w:r>
        <w:rPr>
          <w:rFonts w:ascii="Times New Roman" w:hAnsi="Times New Roman" w:cs="Times New Roman"/>
        </w:rPr>
        <w:t>μm</w:t>
      </w:r>
      <w:proofErr w:type="spellEnd"/>
      <w:r>
        <w:rPr>
          <w:rFonts w:ascii="Times New Roman" w:hAnsi="Times New Roman" w:cs="Times New Roman"/>
        </w:rPr>
        <w:t xml:space="preserve"> divinylbenzene/carbon wide range/polydimethylsiloxane (DVB/CWR/</w:t>
      </w:r>
      <w:proofErr w:type="spellStart"/>
      <w:r>
        <w:rPr>
          <w:rFonts w:ascii="Times New Roman" w:hAnsi="Times New Roman" w:cs="Times New Roman"/>
        </w:rPr>
        <w:t>PDMS</w:t>
      </w:r>
      <w:proofErr w:type="spellEnd"/>
      <w:r>
        <w:rPr>
          <w:rFonts w:ascii="Times New Roman" w:hAnsi="Times New Roman" w:cs="Times New Roman"/>
        </w:rPr>
        <w:t>) SPME Arrow</w:t>
      </w:r>
      <w:r>
        <w:rPr>
          <w:rFonts w:ascii="Times New Roman" w:hAnsi="Times New Roman" w:cs="Times New Roman"/>
          <w:lang w:val="en-US"/>
        </w:rPr>
        <w:t xml:space="preserve"> </w:t>
      </w:r>
      <w:r>
        <w:rPr>
          <w:rFonts w:ascii="Times New Roman" w:hAnsi="Times New Roman" w:cs="Times New Roman"/>
          <w:lang w:val="en-US"/>
        </w:rPr>
        <w:fldChar w:fldCharType="begin"/>
      </w:r>
      <w:r>
        <w:rPr>
          <w:rFonts w:ascii="Times New Roman" w:hAnsi="Times New Roman" w:cs="Times New Roman"/>
          <w:lang w:val="en-US"/>
        </w:rPr>
        <w:instrText xml:space="preserve"> ADDIN EN.CITE &lt;EndNote&gt;&lt;Cite&gt;&lt;Author&gt;Kim&lt;/Author&gt;&lt;Year&gt;2020&lt;/Year&gt;&lt;RecNum&gt;94&lt;/RecNum&gt;&lt;DisplayText&gt;[9]&lt;/DisplayText&gt;&lt;record&gt;&lt;rec-number&gt;94&lt;/rec-number&gt;&lt;foreign-keys&gt;&lt;key app="EN" db-id="ervvwteats0xrmevwd6p9w5lrpez0wfrd52z" timestamp="1783408929"&gt;94&lt;/key&gt;&lt;/foreign-keys&gt;&lt;ref-type name="Journal Article"&gt;17&lt;/ref-type&gt;&lt;contributors&gt;&lt;authors&gt;&lt;author&gt;Kim, S. J.&lt;/author&gt;&lt;author&gt;Lee, J. Y.&lt;/author&gt;&lt;author&gt;Choi, Y. S.&lt;/author&gt;&lt;author&gt;Sung, J. M.&lt;/author&gt;&lt;author&gt;Jang, H. W.&lt;/author&gt;&lt;/authors&gt;&lt;/contributors&gt;&lt;auth-address&gt;Korea Food Research Institute, 245 Nongsaengmyeong-ro, Iseo-myeon, Wanju-Gun, Jeollabuk-do 55365, Korea.&lt;/auth-address&gt;&lt;titles&gt;&lt;title&gt;Comparison of Different Types of SPME Arrow Sorbents to Analyze Volatile Compounds in Cirsium setidens Nakai&lt;/title&gt;&lt;secondary-title&gt;Foods&lt;/secondary-title&gt;&lt;/titles&gt;&lt;periodical&gt;&lt;full-title&gt;Foods&lt;/full-title&gt;&lt;/periodical&gt;&lt;volume&gt;9&lt;/volume&gt;&lt;number&gt;6&lt;/number&gt;&lt;edition&gt;20200613&lt;/edition&gt;&lt;keywords&gt;&lt;keyword&gt;Cirsium setidens Nakai&lt;/keyword&gt;&lt;keyword&gt;gas chromatography-mass spectrometry&lt;/keyword&gt;&lt;keyword&gt;solid-phase microextraction Arrow&lt;/keyword&gt;&lt;keyword&gt;volatile compounds&lt;/keyword&gt;&lt;keyword&gt;volatile extraction&lt;/keyword&gt;&lt;/keywords&gt;&lt;dates&gt;&lt;year&gt;2020&lt;/year&gt;&lt;pub-dates&gt;&lt;date&gt;Jun 13&lt;/date&gt;&lt;/pub-dates&gt;&lt;/dates&gt;&lt;isbn&gt;2304-8158 (Print)&amp;#xD;2304-8158 (Electronic)&amp;#xD;2304-8158 (Linking)&lt;/isbn&gt;&lt;accession-num&gt;32545754&lt;/accession-num&gt;&lt;urls&gt;&lt;related-urls&gt;&lt;url&gt;https://www.ncbi.nlm.nih.gov/pubmed/32545754&lt;/url&gt;&lt;/related-urls&gt;&lt;/urls&gt;&lt;custom1&gt;The authors declare no conflict of interest.&lt;/custom1&gt;&lt;custom2&gt;PMC7353593&lt;/custom2&gt;&lt;electronic-resource-num&gt;10.3390/foods9060785&lt;/electronic-resource-num&gt;&lt;remote-database-name&gt;PubMed-not-MEDLINE&lt;/remote-database-name&gt;&lt;remote-database-provider&gt;NLM&lt;/remote-database-provider&gt;&lt;/record&gt;&lt;/Cite&gt;&lt;/EndNote&gt;</w:instrText>
      </w:r>
      <w:r>
        <w:rPr>
          <w:rFonts w:ascii="Times New Roman" w:hAnsi="Times New Roman" w:cs="Times New Roman"/>
          <w:lang w:val="en-US"/>
        </w:rPr>
        <w:fldChar w:fldCharType="separate"/>
      </w:r>
      <w:r>
        <w:rPr>
          <w:rFonts w:ascii="Times New Roman" w:hAnsi="Times New Roman" w:cs="Times New Roman"/>
          <w:lang w:val="en-US"/>
        </w:rPr>
        <w:t>[9]</w:t>
      </w:r>
      <w:r>
        <w:rPr>
          <w:rFonts w:ascii="Times New Roman" w:hAnsi="Times New Roman" w:cs="Times New Roman"/>
          <w:lang w:val="en-US"/>
        </w:rPr>
        <w:fldChar w:fldCharType="end"/>
      </w:r>
      <w:r>
        <w:rPr>
          <w:rFonts w:ascii="Times New Roman" w:hAnsi="Times New Roman" w:cs="Times New Roman"/>
        </w:rPr>
        <w:t>.</w:t>
      </w:r>
      <w:r>
        <w:rPr>
          <w:rFonts w:ascii="Times New Roman" w:hAnsi="Times New Roman" w:cs="Times New Roman"/>
          <w:lang w:val="en-US"/>
        </w:rPr>
        <w:t xml:space="preserve"> </w:t>
      </w:r>
      <w:r>
        <w:rPr>
          <w:rFonts w:ascii="Times New Roman" w:hAnsi="Times New Roman" w:cs="Times New Roman"/>
        </w:rPr>
        <w:t xml:space="preserve">Before extraction, samples were agitated at 60°C for 5 min. The SPME Arrow was then exposed to the vial headspace at 60°C for 15 min and desorbed in the GC inlet at 250°C for 5 min. Before each analytical sequence, the Arrow was conditioned in a </w:t>
      </w:r>
      <w:r>
        <w:rPr>
          <w:rFonts w:ascii="Times New Roman" w:hAnsi="Times New Roman" w:cs="Times New Roman"/>
        </w:rPr>
        <w:lastRenderedPageBreak/>
        <w:t>fibre-conditioning station at 250°C for 5 min. New SPME Arrows were conditioned at 250°C for 2 h before their first use.</w:t>
      </w:r>
    </w:p>
    <w:p w14:paraId="77ACE701" w14:textId="77777777" w:rsidR="00092D94" w:rsidRDefault="00E272F5">
      <w:pPr>
        <w:spacing w:line="276" w:lineRule="auto"/>
        <w:jc w:val="both"/>
        <w:rPr>
          <w:rFonts w:ascii="Times New Roman" w:hAnsi="Times New Roman" w:cs="Times New Roman"/>
        </w:rPr>
      </w:pPr>
      <w:r>
        <w:rPr>
          <w:rFonts w:ascii="Times New Roman" w:hAnsi="Times New Roman" w:cs="Times New Roman"/>
        </w:rPr>
        <w:t xml:space="preserve">Volatile compounds were </w:t>
      </w:r>
      <w:proofErr w:type="spellStart"/>
      <w:r>
        <w:rPr>
          <w:rFonts w:ascii="Times New Roman" w:hAnsi="Times New Roman" w:cs="Times New Roman"/>
        </w:rPr>
        <w:t>analyzed</w:t>
      </w:r>
      <w:proofErr w:type="spellEnd"/>
      <w:r>
        <w:rPr>
          <w:rFonts w:ascii="Times New Roman" w:hAnsi="Times New Roman" w:cs="Times New Roman"/>
        </w:rPr>
        <w:t xml:space="preserve"> using an Agilent 8890 gas chromatograph coupled to an Agilent 7000D triple-quadrupole mass spectrometer. Chromatographic separation was performed on a DB-5MS capillary column (30 m × 0.25 mm × 0.25 </w:t>
      </w:r>
      <w:proofErr w:type="spellStart"/>
      <w:r>
        <w:rPr>
          <w:rFonts w:ascii="Times New Roman" w:hAnsi="Times New Roman" w:cs="Times New Roman"/>
        </w:rPr>
        <w:t>μm</w:t>
      </w:r>
      <w:proofErr w:type="spellEnd"/>
      <w:r>
        <w:rPr>
          <w:rFonts w:ascii="Times New Roman" w:hAnsi="Times New Roman" w:cs="Times New Roman"/>
        </w:rPr>
        <w:t xml:space="preserve">; Agilent </w:t>
      </w:r>
      <w:proofErr w:type="spellStart"/>
      <w:r>
        <w:rPr>
          <w:rFonts w:ascii="Times New Roman" w:hAnsi="Times New Roman" w:cs="Times New Roman"/>
        </w:rPr>
        <w:t>J&amp;W</w:t>
      </w:r>
      <w:proofErr w:type="spellEnd"/>
      <w:r>
        <w:rPr>
          <w:rFonts w:ascii="Times New Roman" w:hAnsi="Times New Roman" w:cs="Times New Roman"/>
        </w:rPr>
        <w:t xml:space="preserve"> Scientific, Folsom, CA, USA). High-purity helium (</w:t>
      </w:r>
      <w:r>
        <w:rPr>
          <w:rFonts w:ascii="Times New Roman" w:eastAsia="宋体" w:hAnsi="Times New Roman" w:cs="Times New Roman"/>
        </w:rPr>
        <w:t>≥</w:t>
      </w:r>
      <w:r>
        <w:rPr>
          <w:rFonts w:ascii="Times New Roman" w:hAnsi="Times New Roman" w:cs="Times New Roman"/>
        </w:rPr>
        <w:t>99.999%) was used as the carrier gas at a constant flow rate of 1.2 mL min. The injector temperature was maintained at 250°C, and the solvent delay was 3.5 min. The oven temperature program was as follows: 40°C for 3.5 min; increased to 100°C at 10°C min; increased to 180°C at 7°C min; and then increased to 280°C at 25°C min and held for 5 min.</w:t>
      </w:r>
    </w:p>
    <w:p w14:paraId="3F270A5F" w14:textId="77777777" w:rsidR="00092D94" w:rsidRDefault="00E272F5">
      <w:pPr>
        <w:spacing w:line="276" w:lineRule="auto"/>
        <w:jc w:val="both"/>
        <w:rPr>
          <w:rFonts w:ascii="Times New Roman" w:hAnsi="Times New Roman" w:cs="Times New Roman"/>
        </w:rPr>
      </w:pPr>
      <w:r>
        <w:rPr>
          <w:rFonts w:ascii="Times New Roman" w:hAnsi="Times New Roman" w:cs="Times New Roman"/>
        </w:rPr>
        <w:t>The mass spectrometer was operated with an electron-ionization source at 70 eV. The ion-source temperature, quadrupole temperature, and transfer-line temperature were maintained at 230°C, 150°C, and 280°C, respectively. Data were acquired in selected-ion monitoring mode.</w:t>
      </w:r>
    </w:p>
    <w:p w14:paraId="57C5C5D6" w14:textId="77777777" w:rsidR="00092D94" w:rsidRDefault="00E272F5">
      <w:pPr>
        <w:jc w:val="both"/>
        <w:outlineLvl w:val="1"/>
        <w:rPr>
          <w:rFonts w:ascii="Times New Roman" w:hAnsi="Times New Roman" w:cs="Times New Roman"/>
          <w:b/>
          <w:bCs/>
        </w:rPr>
      </w:pPr>
      <w:r>
        <w:rPr>
          <w:rFonts w:ascii="Times New Roman" w:hAnsi="Times New Roman" w:cs="Times New Roman"/>
          <w:b/>
          <w:bCs/>
        </w:rPr>
        <w:t>Assessment of apple quality parameters</w:t>
      </w:r>
    </w:p>
    <w:p w14:paraId="59438F16" w14:textId="77777777" w:rsidR="00092D94" w:rsidRDefault="00E272F5">
      <w:pPr>
        <w:jc w:val="both"/>
        <w:rPr>
          <w:rFonts w:ascii="Times New Roman" w:hAnsi="Times New Roman" w:cs="Times New Roman"/>
        </w:rPr>
      </w:pPr>
      <w:r>
        <w:rPr>
          <w:rFonts w:ascii="Times New Roman" w:hAnsi="Times New Roman" w:cs="Times New Roman"/>
        </w:rPr>
        <w:t xml:space="preserve">Apple quality parameters were assessed after incubation using standard postharvest-quality procedures </w:t>
      </w:r>
      <w:r>
        <w:rPr>
          <w:rFonts w:ascii="Times New Roman" w:hAnsi="Times New Roman" w:cs="Times New Roman"/>
        </w:rPr>
        <w:fldChar w:fldCharType="begin"/>
      </w:r>
      <w:r>
        <w:rPr>
          <w:rFonts w:ascii="Times New Roman" w:hAnsi="Times New Roman" w:cs="Times New Roman"/>
          <w:lang w:val="en-US"/>
        </w:rPr>
        <w:instrText xml:space="preserve"> ADDIN EN.CITE &lt;EndNote&gt;&lt;Cite&gt;&lt;Author&gt;Jha&lt;/Author&gt;&lt;Year&gt;2012&lt;/Year&gt;&lt;RecNum&gt;106&lt;/RecNum&gt;&lt;DisplayText&gt;[10]&lt;/DisplayText&gt;&lt;record&gt;&lt;rec-number&gt;106&lt;/rec-number&gt;&lt;foreign-keys&gt;&lt;key app="EN" db-id="ervvwteats0xrmevwd6p9w5lrpez0wfrd52z" timestamp="1783410851"&gt;106&lt;/key&gt;&lt;/foreign-keys&gt;&lt;ref-type name="Journal Article"&gt;17&lt;/ref-type&gt;&lt;contributors&gt;&lt;authors&gt;&lt;author&gt;Jha, S. N.&lt;/author&gt;&lt;author&gt;Rai, D. R.&lt;/author&gt;&lt;author&gt;Shrama, R.&lt;/author&gt;&lt;/authors&gt;&lt;/contributors&gt;&lt;auth-address&gt;Agricultural Structures and Environmental Control Division, Central Institute of Post-harvest Engineering and Technology, Ludhiana, 141004 India.&lt;/auth-address&gt;&lt;titles&gt;&lt;title&gt;Physico-chemical quality parameters and overall quality index of apple during storage&lt;/title&gt;&lt;secondary-title&gt;J Food Sci Technol&lt;/secondary-title&gt;&lt;/titles&gt;&lt;periodical&gt;&lt;full-title&gt;J Food Sci Technol&lt;/full-title&gt;&lt;/periodical&gt;&lt;pages&gt;594-600&lt;/pages&gt;&lt;volume&gt;49&lt;/volume&gt;&lt;number&gt;5&lt;/number&gt;&lt;edition&gt;20110602&lt;/edition&gt;&lt;keywords&gt;&lt;keyword&gt;Acidity&lt;/keyword&gt;&lt;keyword&gt;Apple&lt;/keyword&gt;&lt;keyword&gt;Nondestructive&lt;/keyword&gt;&lt;keyword&gt;Prediction&lt;/keyword&gt;&lt;keyword&gt;Storage&lt;/keyword&gt;&lt;keyword&gt;Total soluble solids&lt;/keyword&gt;&lt;/keywords&gt;&lt;dates&gt;&lt;year&gt;2012&lt;/year&gt;&lt;pub-dates&gt;&lt;date&gt;Oct&lt;/date&gt;&lt;/pub-dates&gt;&lt;/dates&gt;&lt;isbn&gt;0022-1155 (Print)&amp;#xD;0975-8402 (Electronic)&amp;#xD;0022-1155 (Linking)&lt;/isbn&gt;&lt;accession-num&gt;24082271&lt;/accession-num&gt;&lt;urls&gt;&lt;related-urls&gt;&lt;url&gt;https://www.ncbi.nlm.nih.gov/pubmed/24082271&lt;/url&gt;&lt;/related-urls&gt;&lt;/urls&gt;&lt;custom2&gt;PMC3550855&lt;/custom2&gt;&lt;electronic-resource-num&gt;10.1007/s13197-011-0415-z&lt;/electronic-resource-num&gt;&lt;remote-database-name&gt;PubMed-no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lang w:val="en-US"/>
        </w:rPr>
        <w:t>[10]</w:t>
      </w:r>
      <w:r>
        <w:rPr>
          <w:rFonts w:ascii="Times New Roman" w:hAnsi="Times New Roman" w:cs="Times New Roman"/>
        </w:rPr>
        <w:fldChar w:fldCharType="end"/>
      </w:r>
      <w:r>
        <w:rPr>
          <w:rFonts w:ascii="Times New Roman" w:hAnsi="Times New Roman" w:cs="Times New Roman"/>
        </w:rPr>
        <w:t>. Fresh weight was recorded before and after incubation. Fresh-weight loss was calculated as:</w:t>
      </w:r>
    </w:p>
    <w:p w14:paraId="0FD531DC" w14:textId="77777777" w:rsidR="00092D94" w:rsidRDefault="00E272F5">
      <w:pPr>
        <w:jc w:val="both"/>
        <w:rPr>
          <w:rFonts w:ascii="Times New Roman" w:hAnsi="Times New Roman" w:cs="Times New Roman"/>
          <w:lang w:val="en-US"/>
        </w:rPr>
      </w:pPr>
      <m:oMathPara>
        <m:oMath>
          <m:r>
            <m:rPr>
              <m:nor/>
            </m:rPr>
            <w:rPr>
              <w:rFonts w:ascii="Times New Roman" w:hAnsi="Times New Roman" w:cs="Times New Roman"/>
              <w:lang w:val="en-US"/>
            </w:rPr>
            <m:t>Fresh-weight loss (%)=</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m:rPr>
                          <m:nor/>
                        </m:rPr>
                        <w:rPr>
                          <w:rFonts w:ascii="Times New Roman" w:hAnsi="Times New Roman" w:cs="Times New Roman"/>
                          <w:i/>
                          <w:lang w:val="en-US"/>
                        </w:rPr>
                        <m:t>W</m:t>
                      </m:r>
                    </m:e>
                    <m:sub>
                      <m:r>
                        <w:rPr>
                          <w:rFonts w:ascii="Cambria Math" w:hAnsi="Cambria Math" w:cs="Times New Roman"/>
                          <w:lang w:val="en-US"/>
                        </w:rPr>
                        <m:t>0</m:t>
                      </m:r>
                    </m:sub>
                  </m:sSub>
                  <m:r>
                    <m:rPr>
                      <m:nor/>
                    </m:rPr>
                    <w:rPr>
                      <w:rFonts w:ascii="Times New Roman" w:hAnsi="Times New Roman" w:cs="Times New Roman"/>
                      <w:lang w:val="en-US"/>
                    </w:rPr>
                    <m:t>-</m:t>
                  </m:r>
                  <m:sSub>
                    <m:sSubPr>
                      <m:ctrlPr>
                        <w:rPr>
                          <w:rFonts w:ascii="Cambria Math" w:hAnsi="Cambria Math" w:cs="Times New Roman"/>
                          <w:lang w:val="en-US"/>
                        </w:rPr>
                      </m:ctrlPr>
                    </m:sSubPr>
                    <m:e>
                      <m:r>
                        <m:rPr>
                          <m:nor/>
                        </m:rPr>
                        <w:rPr>
                          <w:rFonts w:ascii="Times New Roman" w:hAnsi="Times New Roman" w:cs="Times New Roman"/>
                          <w:i/>
                          <w:lang w:val="en-US"/>
                        </w:rPr>
                        <m:t>W</m:t>
                      </m:r>
                    </m:e>
                    <m:sub>
                      <m:r>
                        <m:rPr>
                          <m:sty m:val="p"/>
                        </m:rPr>
                        <w:rPr>
                          <w:rFonts w:ascii="Cambria Math" w:hAnsi="Cambria Math" w:cs="Times New Roman"/>
                          <w:lang w:val="en-US"/>
                        </w:rPr>
                        <m:t>t</m:t>
                      </m:r>
                    </m:sub>
                  </m:sSub>
                </m:num>
                <m:den>
                  <m:sSub>
                    <m:sSubPr>
                      <m:ctrlPr>
                        <w:rPr>
                          <w:rFonts w:ascii="Cambria Math" w:hAnsi="Cambria Math" w:cs="Times New Roman"/>
                          <w:i/>
                        </w:rPr>
                      </m:ctrlPr>
                    </m:sSubPr>
                    <m:e>
                      <m:r>
                        <m:rPr>
                          <m:nor/>
                        </m:rPr>
                        <w:rPr>
                          <w:rFonts w:ascii="Times New Roman" w:hAnsi="Times New Roman" w:cs="Times New Roman"/>
                          <w:i/>
                          <w:lang w:val="en-US"/>
                        </w:rPr>
                        <m:t>W</m:t>
                      </m:r>
                    </m:e>
                    <m:sub>
                      <m:r>
                        <w:rPr>
                          <w:rFonts w:ascii="Cambria Math" w:hAnsi="Cambria Math" w:cs="Times New Roman"/>
                          <w:lang w:val="en-US"/>
                        </w:rPr>
                        <m:t>0</m:t>
                      </m:r>
                    </m:sub>
                  </m:sSub>
                </m:den>
              </m:f>
            </m:e>
          </m:d>
          <m:r>
            <m:rPr>
              <m:nor/>
            </m:rPr>
            <w:rPr>
              <w:rFonts w:ascii="Times New Roman" w:hAnsi="Times New Roman" w:cs="Times New Roman"/>
            </w:rPr>
            <m:t>×</m:t>
          </m:r>
          <m:r>
            <m:rPr>
              <m:nor/>
            </m:rPr>
            <w:rPr>
              <w:rFonts w:ascii="Times New Roman" w:hAnsi="Times New Roman" w:cs="Times New Roman"/>
              <w:lang w:val="en-US"/>
            </w:rPr>
            <m:t>100</m:t>
          </m:r>
        </m:oMath>
      </m:oMathPara>
    </w:p>
    <w:p w14:paraId="00E689DC" w14:textId="77777777" w:rsidR="00092D94" w:rsidRDefault="00E272F5">
      <w:pPr>
        <w:jc w:val="both"/>
        <w:rPr>
          <w:rFonts w:ascii="Times New Roman" w:hAnsi="Times New Roman" w:cs="Times New Roman"/>
        </w:rPr>
      </w:pPr>
      <w:r>
        <w:rPr>
          <w:rFonts w:ascii="Times New Roman" w:hAnsi="Times New Roman" w:cs="Times New Roman"/>
        </w:rPr>
        <w:t>where W</w:t>
      </w:r>
      <w:r>
        <w:rPr>
          <w:rFonts w:ascii="Times New Roman" w:hAnsi="Times New Roman" w:cs="Times New Roman"/>
          <w:vertAlign w:val="subscript"/>
        </w:rPr>
        <w:t>0</w:t>
      </w:r>
      <w:r>
        <w:rPr>
          <w:rFonts w:ascii="Times New Roman" w:hAnsi="Times New Roman" w:cs="Times New Roman"/>
        </w:rPr>
        <w:t xml:space="preserve"> is the initial fruit weight and </w:t>
      </w:r>
      <w:proofErr w:type="spellStart"/>
      <w:r>
        <w:rPr>
          <w:rFonts w:ascii="Times New Roman" w:hAnsi="Times New Roman" w:cs="Times New Roman"/>
        </w:rPr>
        <w:t>W</w:t>
      </w:r>
      <w:r>
        <w:rPr>
          <w:rFonts w:ascii="Times New Roman" w:hAnsi="Times New Roman" w:cs="Times New Roman"/>
          <w:vertAlign w:val="subscript"/>
        </w:rPr>
        <w:t>t</w:t>
      </w:r>
      <w:proofErr w:type="spellEnd"/>
      <w:r>
        <w:rPr>
          <w:rFonts w:ascii="Times New Roman" w:hAnsi="Times New Roman" w:cs="Times New Roman"/>
        </w:rPr>
        <w:t xml:space="preserve"> is the fruit weight after incubation.</w:t>
      </w:r>
    </w:p>
    <w:p w14:paraId="27437498" w14:textId="77777777" w:rsidR="00092D94" w:rsidRDefault="00E272F5">
      <w:pPr>
        <w:jc w:val="both"/>
        <w:rPr>
          <w:rFonts w:ascii="Times New Roman" w:hAnsi="Times New Roman" w:cs="Times New Roman"/>
        </w:rPr>
      </w:pPr>
      <w:r>
        <w:rPr>
          <w:rFonts w:ascii="Times New Roman" w:hAnsi="Times New Roman" w:cs="Times New Roman"/>
        </w:rPr>
        <w:t xml:space="preserve">Fruit-skin </w:t>
      </w:r>
      <w:proofErr w:type="spellStart"/>
      <w:r>
        <w:rPr>
          <w:rFonts w:ascii="Times New Roman" w:hAnsi="Times New Roman" w:cs="Times New Roman"/>
        </w:rPr>
        <w:t>color</w:t>
      </w:r>
      <w:proofErr w:type="spellEnd"/>
      <w:r>
        <w:rPr>
          <w:rFonts w:ascii="Times New Roman" w:hAnsi="Times New Roman" w:cs="Times New Roman"/>
        </w:rPr>
        <w:t xml:space="preserve"> was measured using a PCE-CSM 1 colorimeter (PCE Instruments, United Kingdom). CIE L*, a*, and b* values were recorded at </w:t>
      </w:r>
      <w:r>
        <w:rPr>
          <w:rFonts w:ascii="Times New Roman" w:hAnsi="Times New Roman" w:cs="Times New Roman"/>
          <w:lang w:val="en-US"/>
        </w:rPr>
        <w:t>6</w:t>
      </w:r>
      <w:r>
        <w:rPr>
          <w:rFonts w:ascii="Times New Roman" w:hAnsi="Times New Roman" w:cs="Times New Roman"/>
        </w:rPr>
        <w:t xml:space="preserve"> positions per fruit. Overall </w:t>
      </w:r>
      <w:proofErr w:type="spellStart"/>
      <w:r>
        <w:rPr>
          <w:rFonts w:ascii="Times New Roman" w:hAnsi="Times New Roman" w:cs="Times New Roman"/>
        </w:rPr>
        <w:t>color</w:t>
      </w:r>
      <w:proofErr w:type="spellEnd"/>
      <w:r>
        <w:rPr>
          <w:rFonts w:ascii="Times New Roman" w:hAnsi="Times New Roman" w:cs="Times New Roman"/>
        </w:rPr>
        <w:t xml:space="preserve"> difference relative to the WM control was calculated as:</w:t>
      </w:r>
    </w:p>
    <w:p w14:paraId="61DCC37C" w14:textId="77777777" w:rsidR="00092D94" w:rsidRDefault="00000000">
      <w:pPr>
        <w:jc w:val="both"/>
        <w:rPr>
          <w:rFonts w:ascii="Times New Roman" w:hAnsi="Times New Roman" w:cs="Times New Roman"/>
        </w:rPr>
      </w:pPr>
      <m:oMathPara>
        <m:oMath>
          <m:sSubSup>
            <m:sSubSupPr>
              <m:ctrlPr>
                <w:rPr>
                  <w:rFonts w:ascii="Cambria Math" w:hAnsi="Cambria Math" w:cs="Times New Roman"/>
                </w:rPr>
              </m:ctrlPr>
            </m:sSubSupPr>
            <m:e>
              <m:r>
                <m:rPr>
                  <m:nor/>
                </m:rPr>
                <w:rPr>
                  <w:rFonts w:ascii="Times New Roman" w:hAnsi="Times New Roman" w:cs="Times New Roman"/>
                </w:rPr>
                <m:t>∆</m:t>
              </m:r>
              <m:r>
                <m:rPr>
                  <m:nor/>
                </m:rPr>
                <w:rPr>
                  <w:rFonts w:ascii="Times New Roman" w:hAnsi="Times New Roman" w:cs="Times New Roman"/>
                  <w:i/>
                  <w:iCs/>
                  <w:lang w:val="en-US"/>
                </w:rPr>
                <m:t>E</m:t>
              </m:r>
            </m:e>
            <m:sub>
              <m:r>
                <m:rPr>
                  <m:sty m:val="p"/>
                </m:rPr>
                <w:rPr>
                  <w:rFonts w:ascii="Cambria Math" w:hAnsi="Cambria Math" w:cs="Times New Roman"/>
                  <w:lang w:val="en-US"/>
                </w:rPr>
                <m:t>ab</m:t>
              </m:r>
            </m:sub>
            <m:sup>
              <m:r>
                <m:rPr>
                  <m:sty m:val="p"/>
                </m:rPr>
                <w:rPr>
                  <w:rFonts w:ascii="Cambria Math" w:hAnsi="Cambria Math" w:cs="Times New Roman"/>
                  <w:lang w:val="en-US"/>
                </w:rPr>
                <m:t>*</m:t>
              </m:r>
            </m:sup>
          </m:sSubSup>
          <m:r>
            <m:rPr>
              <m:nor/>
            </m:rPr>
            <w:rPr>
              <w:rFonts w:ascii="Times New Roman" w:hAnsi="Times New Roman" w:cs="Times New Roman"/>
              <w:lang w:val="en-US"/>
            </w:rPr>
            <m:t>=</m:t>
          </m:r>
          <m:rad>
            <m:radPr>
              <m:degHide m:val="1"/>
              <m:ctrlPr>
                <w:rPr>
                  <w:rFonts w:ascii="Cambria Math" w:hAnsi="Cambria Math" w:cs="Times New Roman"/>
                  <w:i/>
                </w:rPr>
              </m:ctrlPr>
            </m:radPr>
            <m:deg/>
            <m:e>
              <m:d>
                <m:dPr>
                  <m:begChr m:val="["/>
                  <m:endChr m:val="]"/>
                  <m:ctrlPr>
                    <w:rPr>
                      <w:rFonts w:ascii="Cambria Math" w:hAnsi="Cambria Math" w:cs="Times New Roman"/>
                      <w:i/>
                    </w:rPr>
                  </m:ctrlPr>
                </m:dPr>
                <m:e>
                  <m:sSup>
                    <m:sSupPr>
                      <m:ctrlPr>
                        <w:rPr>
                          <w:rFonts w:ascii="Cambria Math" w:hAnsi="Cambria Math" w:cs="Times New Roman"/>
                          <w:i/>
                        </w:rPr>
                      </m:ctrlPr>
                    </m:sSupPr>
                    <m:e>
                      <m:d>
                        <m:dPr>
                          <m:ctrlPr>
                            <w:rPr>
                              <w:rFonts w:ascii="Cambria Math" w:hAnsi="Cambria Math" w:cs="Times New Roman"/>
                              <w:i/>
                            </w:rPr>
                          </m:ctrlPr>
                        </m:dPr>
                        <m:e>
                          <m:sSup>
                            <m:sSupPr>
                              <m:ctrlPr>
                                <w:rPr>
                                  <w:rFonts w:ascii="Cambria Math" w:hAnsi="Cambria Math" w:cs="Times New Roman"/>
                                  <w:i/>
                                </w:rPr>
                              </m:ctrlPr>
                            </m:sSupPr>
                            <m:e>
                              <m:r>
                                <m:rPr>
                                  <m:nor/>
                                </m:rPr>
                                <w:rPr>
                                  <w:rFonts w:ascii="Times New Roman" w:hAnsi="Times New Roman" w:cs="Times New Roman"/>
                                  <w:i/>
                                  <w:lang w:val="en-US"/>
                                </w:rPr>
                                <m:t>L</m:t>
                              </m:r>
                            </m:e>
                            <m:sup>
                              <m:r>
                                <m:rPr>
                                  <m:nor/>
                                </m:rPr>
                                <w:rPr>
                                  <w:rFonts w:ascii="Cambria Math" w:hAnsi="Cambria Math" w:cs="Cambria Math"/>
                                  <w:lang w:val="en-US"/>
                                </w:rPr>
                                <m:t>*</m:t>
                              </m:r>
                            </m:sup>
                          </m:sSup>
                          <m:r>
                            <m:rPr>
                              <m:nor/>
                            </m:rPr>
                            <w:rPr>
                              <w:rFonts w:ascii="Times New Roman" w:hAnsi="Times New Roman" w:cs="Times New Roman"/>
                            </w:rPr>
                            <m:t>-</m:t>
                          </m:r>
                          <m:sSubSup>
                            <m:sSubSupPr>
                              <m:ctrlPr>
                                <w:rPr>
                                  <w:rFonts w:ascii="Cambria Math" w:hAnsi="Cambria Math" w:cs="Times New Roman"/>
                                </w:rPr>
                              </m:ctrlPr>
                            </m:sSubSupPr>
                            <m:e>
                              <m:r>
                                <m:rPr>
                                  <m:sty m:val="p"/>
                                </m:rPr>
                                <w:rPr>
                                  <w:rFonts w:ascii="Cambria Math" w:hAnsi="Cambria Math" w:cs="Times New Roman"/>
                                  <w:lang w:val="en-US"/>
                                </w:rPr>
                                <m:t>L</m:t>
                              </m:r>
                            </m:e>
                            <m:sub>
                              <m:r>
                                <m:rPr>
                                  <m:sty m:val="p"/>
                                </m:rPr>
                                <w:rPr>
                                  <w:rFonts w:ascii="Cambria Math" w:hAnsi="Cambria Math" w:cs="Times New Roman"/>
                                  <w:lang w:val="en-US"/>
                                </w:rPr>
                                <m:t>WM</m:t>
                              </m:r>
                            </m:sub>
                            <m:sup>
                              <m:r>
                                <m:rPr>
                                  <m:sty m:val="p"/>
                                </m:rPr>
                                <w:rPr>
                                  <w:rFonts w:ascii="Cambria Math" w:hAnsi="Cambria Math" w:cs="Times New Roman"/>
                                  <w:lang w:val="en-US"/>
                                </w:rPr>
                                <m:t>*</m:t>
                              </m:r>
                            </m:sup>
                          </m:sSubSup>
                        </m:e>
                      </m:d>
                    </m:e>
                    <m:sup>
                      <m:r>
                        <m:rPr>
                          <m:nor/>
                        </m:rPr>
                        <w:rPr>
                          <w:rFonts w:ascii="Times New Roman" w:hAnsi="Times New Roman" w:cs="Times New Roman"/>
                          <w:lang w:val="en-US"/>
                        </w:rPr>
                        <m:t>2</m:t>
                      </m:r>
                    </m:sup>
                  </m:sSup>
                  <m:r>
                    <m:rPr>
                      <m:nor/>
                    </m:rPr>
                    <w:rPr>
                      <w:rFonts w:ascii="Times New Roman" w:hAnsi="Times New Roman" w:cs="Times New Roman"/>
                      <w:lang w:val="en-US"/>
                    </w:rPr>
                    <m:t xml:space="preserve"> + </m:t>
                  </m:r>
                  <m:sSup>
                    <m:sSupPr>
                      <m:ctrlPr>
                        <w:rPr>
                          <w:rFonts w:ascii="Cambria Math" w:hAnsi="Cambria Math" w:cs="Times New Roman"/>
                          <w:i/>
                          <w:lang w:val="en-US"/>
                        </w:rPr>
                      </m:ctrlPr>
                    </m:sSupPr>
                    <m:e>
                      <m:d>
                        <m:dPr>
                          <m:ctrlPr>
                            <w:rPr>
                              <w:rFonts w:ascii="Cambria Math" w:hAnsi="Cambria Math" w:cs="Times New Roman"/>
                              <w:i/>
                              <w:lang w:val="en-US"/>
                            </w:rPr>
                          </m:ctrlPr>
                        </m:dPr>
                        <m:e>
                          <m:sSup>
                            <m:sSupPr>
                              <m:ctrlPr>
                                <w:rPr>
                                  <w:rFonts w:ascii="Cambria Math" w:hAnsi="Cambria Math" w:cs="Times New Roman"/>
                                  <w:i/>
                                  <w:lang w:val="en-US"/>
                                </w:rPr>
                              </m:ctrlPr>
                            </m:sSupPr>
                            <m:e>
                              <m:r>
                                <m:rPr>
                                  <m:nor/>
                                </m:rPr>
                                <w:rPr>
                                  <w:rFonts w:ascii="Times New Roman" w:hAnsi="Times New Roman" w:cs="Times New Roman"/>
                                  <w:i/>
                                  <w:lang w:val="en-US"/>
                                </w:rPr>
                                <m:t>a</m:t>
                              </m:r>
                            </m:e>
                            <m:sup>
                              <m:r>
                                <m:rPr>
                                  <m:nor/>
                                </m:rPr>
                                <w:rPr>
                                  <w:rFonts w:ascii="Cambria Math" w:hAnsi="Cambria Math" w:cs="Cambria Math"/>
                                  <w:lang w:val="en-US"/>
                                </w:rPr>
                                <m:t>*</m:t>
                              </m:r>
                            </m:sup>
                          </m:sSup>
                          <m:r>
                            <m:rPr>
                              <m:nor/>
                            </m:rPr>
                            <w:rPr>
                              <w:rFonts w:ascii="Times New Roman" w:hAnsi="Times New Roman" w:cs="Times New Roman"/>
                              <w:lang w:val="en-US"/>
                            </w:rPr>
                            <m:t>-</m:t>
                          </m:r>
                          <m:sSubSup>
                            <m:sSubSupPr>
                              <m:ctrlPr>
                                <w:rPr>
                                  <w:rFonts w:ascii="Cambria Math" w:hAnsi="Cambria Math" w:cs="Times New Roman"/>
                                  <w:lang w:val="en-US"/>
                                </w:rPr>
                              </m:ctrlPr>
                            </m:sSubSupPr>
                            <m:e>
                              <m:r>
                                <m:rPr>
                                  <m:sty m:val="p"/>
                                </m:rPr>
                                <w:rPr>
                                  <w:rFonts w:ascii="Cambria Math" w:hAnsi="Cambria Math" w:cs="Times New Roman"/>
                                  <w:lang w:val="en-US"/>
                                </w:rPr>
                                <m:t>a</m:t>
                              </m:r>
                            </m:e>
                            <m:sub>
                              <m:r>
                                <m:rPr>
                                  <m:sty m:val="p"/>
                                </m:rPr>
                                <w:rPr>
                                  <w:rFonts w:ascii="Cambria Math" w:hAnsi="Cambria Math" w:cs="Times New Roman"/>
                                  <w:lang w:val="en-US"/>
                                </w:rPr>
                                <m:t>WM</m:t>
                              </m:r>
                            </m:sub>
                            <m:sup>
                              <m:r>
                                <m:rPr>
                                  <m:sty m:val="p"/>
                                </m:rPr>
                                <w:rPr>
                                  <w:rFonts w:ascii="Cambria Math" w:hAnsi="Cambria Math" w:cs="Times New Roman"/>
                                  <w:lang w:val="en-US"/>
                                </w:rPr>
                                <m:t>*</m:t>
                              </m:r>
                            </m:sup>
                          </m:sSubSup>
                        </m:e>
                      </m:d>
                    </m:e>
                    <m:sup>
                      <m:r>
                        <m:rPr>
                          <m:nor/>
                        </m:rPr>
                        <w:rPr>
                          <w:rFonts w:ascii="Times New Roman" w:hAnsi="Times New Roman" w:cs="Times New Roman"/>
                          <w:lang w:val="en-US"/>
                        </w:rPr>
                        <m:t>2</m:t>
                      </m:r>
                    </m:sup>
                  </m:sSup>
                  <m:r>
                    <m:rPr>
                      <m:nor/>
                    </m:rPr>
                    <w:rPr>
                      <w:rFonts w:ascii="Times New Roman" w:hAnsi="Times New Roman" w:cs="Times New Roman"/>
                      <w:lang w:val="en-US"/>
                    </w:rPr>
                    <m:t xml:space="preserve"> + </m:t>
                  </m:r>
                  <m:sSup>
                    <m:sSupPr>
                      <m:ctrlPr>
                        <w:rPr>
                          <w:rFonts w:ascii="Cambria Math" w:hAnsi="Cambria Math" w:cs="Times New Roman"/>
                          <w:i/>
                          <w:lang w:val="en-US"/>
                        </w:rPr>
                      </m:ctrlPr>
                    </m:sSupPr>
                    <m:e>
                      <m:d>
                        <m:dPr>
                          <m:ctrlPr>
                            <w:rPr>
                              <w:rFonts w:ascii="Cambria Math" w:hAnsi="Cambria Math" w:cs="Times New Roman"/>
                              <w:i/>
                              <w:lang w:val="en-US"/>
                            </w:rPr>
                          </m:ctrlPr>
                        </m:dPr>
                        <m:e>
                          <m:sSup>
                            <m:sSupPr>
                              <m:ctrlPr>
                                <w:rPr>
                                  <w:rFonts w:ascii="Cambria Math" w:hAnsi="Cambria Math" w:cs="Times New Roman"/>
                                  <w:i/>
                                  <w:lang w:val="en-US"/>
                                </w:rPr>
                              </m:ctrlPr>
                            </m:sSupPr>
                            <m:e>
                              <m:r>
                                <m:rPr>
                                  <m:nor/>
                                </m:rPr>
                                <w:rPr>
                                  <w:rFonts w:ascii="Times New Roman" w:hAnsi="Times New Roman" w:cs="Times New Roman"/>
                                  <w:i/>
                                  <w:lang w:val="en-US"/>
                                </w:rPr>
                                <m:t>b</m:t>
                              </m:r>
                            </m:e>
                            <m:sup>
                              <m:r>
                                <m:rPr>
                                  <m:nor/>
                                </m:rPr>
                                <w:rPr>
                                  <w:rFonts w:ascii="Cambria Math" w:hAnsi="Cambria Math" w:cs="Cambria Math"/>
                                  <w:lang w:val="en-US"/>
                                </w:rPr>
                                <m:t>*</m:t>
                              </m:r>
                            </m:sup>
                          </m:sSup>
                          <m:r>
                            <m:rPr>
                              <m:nor/>
                            </m:rPr>
                            <w:rPr>
                              <w:rFonts w:ascii="Times New Roman" w:hAnsi="Times New Roman" w:cs="Times New Roman"/>
                              <w:lang w:val="en-US"/>
                            </w:rPr>
                            <m:t>-</m:t>
                          </m:r>
                          <m:sSubSup>
                            <m:sSubSupPr>
                              <m:ctrlPr>
                                <w:rPr>
                                  <w:rFonts w:ascii="Cambria Math" w:hAnsi="Cambria Math" w:cs="Times New Roman"/>
                                  <w:lang w:val="en-US"/>
                                </w:rPr>
                              </m:ctrlPr>
                            </m:sSubSupPr>
                            <m:e>
                              <m:r>
                                <m:rPr>
                                  <m:sty m:val="p"/>
                                </m:rPr>
                                <w:rPr>
                                  <w:rFonts w:ascii="Cambria Math" w:hAnsi="Cambria Math" w:cs="Times New Roman"/>
                                  <w:lang w:val="en-US"/>
                                </w:rPr>
                                <m:t>b</m:t>
                              </m:r>
                            </m:e>
                            <m:sub>
                              <m:r>
                                <m:rPr>
                                  <m:sty m:val="p"/>
                                </m:rPr>
                                <w:rPr>
                                  <w:rFonts w:ascii="Cambria Math" w:hAnsi="Cambria Math" w:cs="Times New Roman"/>
                                  <w:lang w:val="en-US"/>
                                </w:rPr>
                                <m:t>WM</m:t>
                              </m:r>
                            </m:sub>
                            <m:sup>
                              <m:r>
                                <m:rPr>
                                  <m:sty m:val="p"/>
                                </m:rPr>
                                <w:rPr>
                                  <w:rFonts w:ascii="Cambria Math" w:hAnsi="Cambria Math" w:cs="Times New Roman"/>
                                  <w:lang w:val="en-US"/>
                                </w:rPr>
                                <m:t>*</m:t>
                              </m:r>
                            </m:sup>
                          </m:sSubSup>
                        </m:e>
                      </m:d>
                    </m:e>
                    <m:sup>
                      <m:r>
                        <m:rPr>
                          <m:nor/>
                        </m:rPr>
                        <w:rPr>
                          <w:rFonts w:ascii="Times New Roman" w:hAnsi="Times New Roman" w:cs="Times New Roman"/>
                          <w:lang w:val="en-US"/>
                        </w:rPr>
                        <m:t>2</m:t>
                      </m:r>
                    </m:sup>
                  </m:sSup>
                </m:e>
              </m:d>
            </m:e>
          </m:rad>
        </m:oMath>
      </m:oMathPara>
    </w:p>
    <w:p w14:paraId="6D445056" w14:textId="77777777" w:rsidR="00092D94" w:rsidRDefault="00E272F5">
      <w:pPr>
        <w:jc w:val="both"/>
        <w:rPr>
          <w:rFonts w:ascii="Times New Roman" w:hAnsi="Times New Roman" w:cs="Times New Roman"/>
        </w:rPr>
      </w:pPr>
      <w:r>
        <w:rPr>
          <w:rFonts w:ascii="Times New Roman" w:hAnsi="Times New Roman" w:cs="Times New Roman"/>
        </w:rPr>
        <w:t>Titratable acidity was determined by titrating 2 mL of apple juice with standardized NaOH (0.1 mol L</w:t>
      </w:r>
      <w:r>
        <w:rPr>
          <w:rFonts w:ascii="Times New Roman" w:hAnsi="Times New Roman" w:cs="Times New Roman"/>
          <w:vertAlign w:val="superscript"/>
        </w:rPr>
        <w:t>−1</w:t>
      </w:r>
      <w:r>
        <w:rPr>
          <w:rFonts w:ascii="Times New Roman" w:hAnsi="Times New Roman" w:cs="Times New Roman"/>
        </w:rPr>
        <w:t>) to a final pH of 8.1, and was expressed as grams of malic acid per 100 mL of juice. Titratable acidity was calculated as:</w:t>
      </w:r>
    </w:p>
    <w:p w14:paraId="70CAE521" w14:textId="77777777" w:rsidR="00092D94" w:rsidRDefault="00E272F5">
      <w:pPr>
        <w:jc w:val="both"/>
        <w:rPr>
          <w:rFonts w:ascii="Times New Roman" w:hAnsi="Times New Roman" w:cs="Times New Roman"/>
          <w:lang w:val="en-US"/>
        </w:rPr>
      </w:pPr>
      <m:oMathPara>
        <m:oMath>
          <m:r>
            <w:rPr>
              <w:rFonts w:ascii="Cambria Math" w:hAnsi="Cambria Math" w:cs="Times New Roman"/>
              <w:lang w:val="en-US"/>
            </w:rPr>
            <m:t>TA(</m:t>
          </m:r>
          <m:sSup>
            <m:sSupPr>
              <m:ctrlPr>
                <w:rPr>
                  <w:rFonts w:ascii="Cambria Math" w:hAnsi="Cambria Math" w:cs="Times New Roman"/>
                  <w:i/>
                  <w:lang w:val="en-US"/>
                </w:rPr>
              </m:ctrlPr>
            </m:sSupPr>
            <m:e>
              <m:r>
                <w:rPr>
                  <w:rFonts w:ascii="Cambria Math" w:hAnsi="Cambria Math" w:cs="Times New Roman"/>
                  <w:lang w:val="en-US"/>
                </w:rPr>
                <m:t>g 100mL</m:t>
              </m:r>
            </m:e>
            <m:sup>
              <m:r>
                <w:rPr>
                  <w:rFonts w:ascii="Cambria Math" w:hAnsi="Cambria Math" w:cs="Times New Roman"/>
                  <w:lang w:val="en-US"/>
                </w:rPr>
                <m:t>-1</m:t>
              </m:r>
            </m:sup>
          </m:sSup>
          <m:r>
            <w:rPr>
              <w:rFonts w:ascii="Cambria Math" w:hAnsi="Cambria Math" w:cs="Times New Roman"/>
              <w:lang w:val="en-US"/>
            </w:rPr>
            <m:t>)</m:t>
          </m:r>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lang w:val="en-US"/>
                    </w:rPr>
                    <m:t>V</m:t>
                  </m:r>
                </m:e>
                <m:sub>
                  <m:r>
                    <w:rPr>
                      <w:rFonts w:ascii="Cambria Math" w:hAnsi="Cambria Math" w:cs="Times New Roman"/>
                      <w:lang w:val="en-US"/>
                    </w:rPr>
                    <m:t>NaOH</m:t>
                  </m:r>
                </m:sub>
              </m:sSub>
              <m:r>
                <w:rPr>
                  <w:rFonts w:ascii="Cambria Math" w:hAnsi="Cambria Math" w:cs="Times New Roman"/>
                  <w:lang w:val="en-US"/>
                </w:rPr>
                <m:t xml:space="preserve"> </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lang w:val="en-US"/>
                    </w:rPr>
                    <m:t>C</m:t>
                  </m:r>
                </m:e>
                <m:sub>
                  <m:r>
                    <w:rPr>
                      <w:rFonts w:ascii="Cambria Math" w:hAnsi="Cambria Math" w:cs="Times New Roman"/>
                      <w:lang w:val="en-US"/>
                    </w:rPr>
                    <m:t>NaOH</m:t>
                  </m:r>
                </m:sub>
              </m:sSub>
              <m:r>
                <w:rPr>
                  <w:rFonts w:ascii="Cambria Math" w:hAnsi="Cambria Math" w:cs="Times New Roman"/>
                  <w:lang w:val="en-US"/>
                </w:rPr>
                <m:t xml:space="preserve"> × 67.045×100</m:t>
              </m:r>
            </m:num>
            <m:den>
              <m:r>
                <w:rPr>
                  <w:rFonts w:ascii="Cambria Math" w:hAnsi="Cambria Math" w:cs="Times New Roman"/>
                  <w:lang w:val="en-US"/>
                </w:rPr>
                <m:t>1000×</m:t>
              </m:r>
              <m:sSub>
                <m:sSubPr>
                  <m:ctrlPr>
                    <w:rPr>
                      <w:rFonts w:ascii="Cambria Math" w:hAnsi="Cambria Math" w:cs="Times New Roman"/>
                      <w:i/>
                      <w:lang w:val="en-US"/>
                    </w:rPr>
                  </m:ctrlPr>
                </m:sSubPr>
                <m:e>
                  <m:r>
                    <w:rPr>
                      <w:rFonts w:ascii="Cambria Math" w:hAnsi="Cambria Math" w:cs="Times New Roman"/>
                      <w:lang w:val="en-US"/>
                    </w:rPr>
                    <m:t>V</m:t>
                  </m:r>
                </m:e>
                <m:sub>
                  <m:r>
                    <w:rPr>
                      <w:rFonts w:ascii="Cambria Math" w:hAnsi="Cambria Math" w:cs="Times New Roman"/>
                      <w:lang w:val="en-US"/>
                    </w:rPr>
                    <m:t>juice</m:t>
                  </m:r>
                </m:sub>
              </m:sSub>
            </m:den>
          </m:f>
        </m:oMath>
      </m:oMathPara>
    </w:p>
    <w:p w14:paraId="32C526CA" w14:textId="77777777" w:rsidR="00092D94" w:rsidRDefault="00E272F5">
      <w:pPr>
        <w:jc w:val="both"/>
        <w:rPr>
          <w:rFonts w:ascii="Times New Roman" w:hAnsi="Times New Roman" w:cs="Times New Roman"/>
        </w:rPr>
      </w:pPr>
      <w:r>
        <w:rPr>
          <w:rFonts w:ascii="Times New Roman" w:hAnsi="Times New Roman" w:cs="Times New Roman"/>
        </w:rPr>
        <w:t xml:space="preserve">where </w:t>
      </w:r>
      <w:proofErr w:type="spellStart"/>
      <w:r>
        <w:rPr>
          <w:rFonts w:ascii="Times New Roman" w:hAnsi="Times New Roman" w:cs="Times New Roman"/>
        </w:rPr>
        <w:t>V</w:t>
      </w:r>
      <w:r>
        <w:rPr>
          <w:rFonts w:ascii="Times New Roman" w:hAnsi="Times New Roman" w:cs="Times New Roman"/>
          <w:vertAlign w:val="subscript"/>
        </w:rPr>
        <w:t>NaOH</w:t>
      </w:r>
      <w:proofErr w:type="spellEnd"/>
      <w:r>
        <w:rPr>
          <w:rFonts w:ascii="Times New Roman" w:hAnsi="Times New Roman" w:cs="Times New Roman"/>
        </w:rPr>
        <w:t xml:space="preserve"> is the volume of NaOH consumed (mL), </w:t>
      </w:r>
      <w:proofErr w:type="spellStart"/>
      <w:r>
        <w:rPr>
          <w:rFonts w:ascii="Times New Roman" w:hAnsi="Times New Roman" w:cs="Times New Roman"/>
        </w:rPr>
        <w:t>C</w:t>
      </w:r>
      <w:r>
        <w:rPr>
          <w:rFonts w:ascii="Times New Roman" w:hAnsi="Times New Roman" w:cs="Times New Roman"/>
          <w:vertAlign w:val="subscript"/>
        </w:rPr>
        <w:t>NaOH</w:t>
      </w:r>
      <w:proofErr w:type="spellEnd"/>
      <w:r>
        <w:rPr>
          <w:rFonts w:ascii="Times New Roman" w:hAnsi="Times New Roman" w:cs="Times New Roman"/>
        </w:rPr>
        <w:t xml:space="preserve"> is the molarity of NaOH (mol L</w:t>
      </w:r>
      <w:r>
        <w:rPr>
          <w:rFonts w:ascii="Times New Roman" w:hAnsi="Times New Roman" w:cs="Times New Roman"/>
          <w:vertAlign w:val="superscript"/>
        </w:rPr>
        <w:t>−1</w:t>
      </w:r>
      <w:r>
        <w:rPr>
          <w:rFonts w:ascii="Times New Roman" w:hAnsi="Times New Roman" w:cs="Times New Roman"/>
        </w:rPr>
        <w:t xml:space="preserve">), </w:t>
      </w:r>
      <w:r>
        <w:rPr>
          <w:rFonts w:ascii="Times New Roman" w:hAnsi="Times New Roman" w:cs="Times New Roman"/>
          <w:lang w:val="en-US"/>
        </w:rPr>
        <w:t>67.045</w:t>
      </w:r>
      <w:r>
        <w:rPr>
          <w:rFonts w:ascii="Times New Roman" w:hAnsi="Times New Roman" w:cs="Times New Roman"/>
        </w:rPr>
        <w:t xml:space="preserve"> is the equivalent mass of malic acid, and </w:t>
      </w:r>
      <w:proofErr w:type="spellStart"/>
      <w:r>
        <w:rPr>
          <w:rFonts w:ascii="Times New Roman" w:hAnsi="Times New Roman" w:cs="Times New Roman"/>
        </w:rPr>
        <w:t>V</w:t>
      </w:r>
      <w:r>
        <w:rPr>
          <w:rFonts w:ascii="Times New Roman" w:hAnsi="Times New Roman" w:cs="Times New Roman"/>
          <w:vertAlign w:val="subscript"/>
        </w:rPr>
        <w:t>juice</w:t>
      </w:r>
      <w:proofErr w:type="spellEnd"/>
      <w:r>
        <w:rPr>
          <w:rFonts w:ascii="Times New Roman" w:hAnsi="Times New Roman" w:cs="Times New Roman"/>
        </w:rPr>
        <w:t xml:space="preserve"> is the volume of juice titrated (mL).</w:t>
      </w:r>
    </w:p>
    <w:p w14:paraId="506DDA57" w14:textId="77777777" w:rsidR="00092D94" w:rsidRDefault="00E272F5">
      <w:pPr>
        <w:jc w:val="both"/>
        <w:rPr>
          <w:rFonts w:ascii="Times New Roman" w:hAnsi="Times New Roman" w:cs="Times New Roman"/>
        </w:rPr>
      </w:pPr>
      <w:r>
        <w:rPr>
          <w:rFonts w:ascii="Times New Roman" w:hAnsi="Times New Roman" w:cs="Times New Roman"/>
        </w:rPr>
        <w:t xml:space="preserve">Fruit firmness, chewiness, springiness, and </w:t>
      </w:r>
      <w:proofErr w:type="spellStart"/>
      <w:r>
        <w:rPr>
          <w:rFonts w:ascii="Times New Roman" w:hAnsi="Times New Roman" w:cs="Times New Roman"/>
        </w:rPr>
        <w:t>fracturability</w:t>
      </w:r>
      <w:proofErr w:type="spellEnd"/>
      <w:r>
        <w:rPr>
          <w:rFonts w:ascii="Times New Roman" w:hAnsi="Times New Roman" w:cs="Times New Roman"/>
        </w:rPr>
        <w:t xml:space="preserve"> were determined using a </w:t>
      </w:r>
      <w:proofErr w:type="spellStart"/>
      <w:r>
        <w:rPr>
          <w:rFonts w:ascii="Times New Roman" w:hAnsi="Times New Roman" w:cs="Times New Roman"/>
        </w:rPr>
        <w:t>TA.XTPlusC</w:t>
      </w:r>
      <w:proofErr w:type="spellEnd"/>
      <w:r>
        <w:rPr>
          <w:rFonts w:ascii="Times New Roman" w:hAnsi="Times New Roman" w:cs="Times New Roman"/>
        </w:rPr>
        <w:t xml:space="preserve"> texture analyser (Stable Micro Systems, United Kingdom). Total soluble solids were measured as Brix using a digital refractometer (BM04-Nohawk, Shenzhen, China) after </w:t>
      </w:r>
      <w:r>
        <w:rPr>
          <w:rFonts w:ascii="Times New Roman" w:hAnsi="Times New Roman" w:cs="Times New Roman"/>
        </w:rPr>
        <w:lastRenderedPageBreak/>
        <w:t>juice extraction from apple tissues.</w:t>
      </w:r>
      <w:r>
        <w:rPr>
          <w:rFonts w:ascii="Times New Roman" w:hAnsi="Times New Roman" w:cs="Times New Roman"/>
          <w:lang w:val="en-US"/>
        </w:rPr>
        <w:t xml:space="preserve"> </w:t>
      </w:r>
      <w:r>
        <w:rPr>
          <w:rFonts w:ascii="Times New Roman" w:hAnsi="Times New Roman" w:cs="Times New Roman"/>
        </w:rPr>
        <w:t>Aroma-related changes were evaluated using an electronic nose system (</w:t>
      </w:r>
      <w:proofErr w:type="spellStart"/>
      <w:r>
        <w:rPr>
          <w:rFonts w:ascii="Times New Roman" w:hAnsi="Times New Roman" w:cs="Times New Roman"/>
        </w:rPr>
        <w:t>PEN3</w:t>
      </w:r>
      <w:proofErr w:type="spellEnd"/>
      <w:r>
        <w:rPr>
          <w:rFonts w:ascii="Times New Roman" w:hAnsi="Times New Roman" w:cs="Times New Roman"/>
        </w:rPr>
        <w:t xml:space="preserve">; </w:t>
      </w:r>
      <w:proofErr w:type="spellStart"/>
      <w:r>
        <w:rPr>
          <w:rFonts w:ascii="Times New Roman" w:hAnsi="Times New Roman" w:cs="Times New Roman"/>
        </w:rPr>
        <w:t>Airsense</w:t>
      </w:r>
      <w:proofErr w:type="spellEnd"/>
      <w:r>
        <w:rPr>
          <w:rFonts w:ascii="Times New Roman" w:hAnsi="Times New Roman" w:cs="Times New Roman"/>
        </w:rPr>
        <w:t xml:space="preserve"> Analytics, Schwerin, Germany) following published apple-</w:t>
      </w:r>
      <w:proofErr w:type="spellStart"/>
      <w:r>
        <w:rPr>
          <w:rFonts w:ascii="Times New Roman" w:hAnsi="Times New Roman" w:cs="Times New Roman"/>
        </w:rPr>
        <w:t>volatilome</w:t>
      </w:r>
      <w:proofErr w:type="spellEnd"/>
      <w:r>
        <w:rPr>
          <w:rFonts w:ascii="Times New Roman" w:hAnsi="Times New Roman" w:cs="Times New Roman"/>
        </w:rPr>
        <w:t xml:space="preserve"> procedures. For each sample, 5 m</w:t>
      </w:r>
      <w:r>
        <w:rPr>
          <w:rFonts w:ascii="Times New Roman" w:hAnsi="Times New Roman" w:cs="Times New Roman" w:hint="eastAsia"/>
          <w:lang w:val="en-US"/>
        </w:rPr>
        <w:t>L</w:t>
      </w:r>
      <w:r>
        <w:rPr>
          <w:rFonts w:ascii="Times New Roman" w:hAnsi="Times New Roman" w:cs="Times New Roman"/>
        </w:rPr>
        <w:t xml:space="preserve"> of apple juice was transferred into a </w:t>
      </w:r>
      <w:r>
        <w:rPr>
          <w:rFonts w:ascii="Times New Roman" w:hAnsi="Times New Roman" w:cs="Times New Roman"/>
          <w:lang w:val="en-US"/>
        </w:rPr>
        <w:t>4</w:t>
      </w:r>
      <w:r>
        <w:rPr>
          <w:rFonts w:ascii="Times New Roman" w:hAnsi="Times New Roman" w:cs="Times New Roman"/>
        </w:rPr>
        <w:t xml:space="preserve">0-mL sealed sampling vial and equilibrated for 3 min at 30°C. Sensor signals were collected using a sampling flow rate of </w:t>
      </w:r>
      <w:r>
        <w:rPr>
          <w:rFonts w:ascii="Times New Roman" w:hAnsi="Times New Roman" w:cs="Times New Roman"/>
          <w:lang w:val="en-US"/>
        </w:rPr>
        <w:t>300</w:t>
      </w:r>
      <w:r>
        <w:rPr>
          <w:rFonts w:ascii="Times New Roman" w:hAnsi="Times New Roman" w:cs="Times New Roman"/>
        </w:rPr>
        <w:t xml:space="preserve"> mL min</w:t>
      </w:r>
      <w:r>
        <w:rPr>
          <w:rFonts w:ascii="Times New Roman" w:hAnsi="Times New Roman" w:cs="Times New Roman"/>
          <w:vertAlign w:val="superscript"/>
          <w:lang w:val="en-US"/>
        </w:rPr>
        <w:t>-</w:t>
      </w:r>
      <w:r>
        <w:rPr>
          <w:rFonts w:ascii="Times New Roman" w:hAnsi="Times New Roman" w:cs="Times New Roman"/>
          <w:vertAlign w:val="superscript"/>
        </w:rPr>
        <w:t>1</w:t>
      </w:r>
      <w:r>
        <w:rPr>
          <w:rFonts w:ascii="Times New Roman" w:hAnsi="Times New Roman" w:cs="Times New Roman"/>
        </w:rPr>
        <w:t xml:space="preserve"> for 60 s, followed by a sensor-cleaning period of 180 s. Electronic-nose response patterns were </w:t>
      </w:r>
      <w:proofErr w:type="spellStart"/>
      <w:r>
        <w:rPr>
          <w:rFonts w:ascii="Times New Roman" w:hAnsi="Times New Roman" w:cs="Times New Roman"/>
        </w:rPr>
        <w:t>analy</w:t>
      </w:r>
      <w:proofErr w:type="spellEnd"/>
      <w:r>
        <w:rPr>
          <w:rFonts w:ascii="Times New Roman" w:hAnsi="Times New Roman" w:cs="Times New Roman" w:hint="eastAsia"/>
          <w:lang w:val="en-US"/>
        </w:rPr>
        <w:t>z</w:t>
      </w:r>
      <w:r>
        <w:rPr>
          <w:rFonts w:ascii="Times New Roman" w:hAnsi="Times New Roman" w:cs="Times New Roman"/>
        </w:rPr>
        <w:t>ed by principal-component analysis.</w:t>
      </w:r>
    </w:p>
    <w:p w14:paraId="215E15F9" w14:textId="77777777" w:rsidR="00092D94" w:rsidRDefault="00E272F5">
      <w:pPr>
        <w:jc w:val="both"/>
        <w:rPr>
          <w:rFonts w:ascii="Times New Roman" w:hAnsi="Times New Roman" w:cs="Times New Roman"/>
        </w:rPr>
      </w:pPr>
      <w:r>
        <w:rPr>
          <w:rFonts w:ascii="Times New Roman" w:hAnsi="Times New Roman" w:cs="Times New Roman"/>
        </w:rPr>
        <w:br w:type="page"/>
      </w:r>
    </w:p>
    <w:p w14:paraId="317DA72F" w14:textId="77777777" w:rsidR="00092D94" w:rsidRDefault="00E272F5">
      <w:pPr>
        <w:spacing w:line="276" w:lineRule="auto"/>
        <w:jc w:val="both"/>
        <w:outlineLvl w:val="0"/>
        <w:rPr>
          <w:rFonts w:ascii="Times New Roman" w:hAnsi="Times New Roman" w:cs="Times New Roman"/>
          <w:b/>
        </w:rPr>
      </w:pPr>
      <w:bookmarkStart w:id="4" w:name="OLE_LINK4"/>
      <w:r>
        <w:rPr>
          <w:rFonts w:ascii="Times New Roman" w:hAnsi="Times New Roman" w:cs="Times New Roman"/>
          <w:b/>
        </w:rPr>
        <w:lastRenderedPageBreak/>
        <w:t>Supplementary Figures</w:t>
      </w:r>
    </w:p>
    <w:bookmarkEnd w:id="4"/>
    <w:p w14:paraId="3C83729E" w14:textId="77777777" w:rsidR="00092D94" w:rsidRDefault="00E272F5">
      <w:pPr>
        <w:jc w:val="center"/>
        <w:rPr>
          <w:rFonts w:ascii="Times New Roman" w:hAnsi="Times New Roman" w:cs="Times New Roman"/>
        </w:rPr>
      </w:pPr>
      <w:r>
        <w:rPr>
          <w:rFonts w:ascii="Times New Roman" w:hAnsi="Times New Roman" w:cs="Times New Roman"/>
          <w:noProof/>
          <w:lang w:val="en-US" w:eastAsia="en-US"/>
        </w:rPr>
        <w:drawing>
          <wp:inline distT="0" distB="0" distL="114300" distR="114300" wp14:anchorId="68DAD78F" wp14:editId="2E8C7479">
            <wp:extent cx="2310130" cy="1708150"/>
            <wp:effectExtent l="0" t="0" r="0" b="6350"/>
            <wp:docPr id="2" name="图片 2" descr="Bd_Standard curv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d_Standard curve_2.0"/>
                    <pic:cNvPicPr>
                      <a:picLocks noChangeAspect="1"/>
                    </pic:cNvPicPr>
                  </pic:nvPicPr>
                  <pic:blipFill>
                    <a:blip r:embed="rId8"/>
                    <a:stretch>
                      <a:fillRect/>
                    </a:stretch>
                  </pic:blipFill>
                  <pic:spPr>
                    <a:xfrm>
                      <a:off x="0" y="0"/>
                      <a:ext cx="2337885" cy="1728538"/>
                    </a:xfrm>
                    <a:prstGeom prst="rect">
                      <a:avLst/>
                    </a:prstGeom>
                  </pic:spPr>
                </pic:pic>
              </a:graphicData>
            </a:graphic>
          </wp:inline>
        </w:drawing>
      </w:r>
    </w:p>
    <w:p w14:paraId="19D0E840" w14:textId="77777777" w:rsidR="00092D94" w:rsidRDefault="00E272F5">
      <w:pPr>
        <w:jc w:val="both"/>
        <w:outlineLvl w:val="1"/>
        <w:rPr>
          <w:rFonts w:ascii="Times New Roman" w:hAnsi="Times New Roman" w:cs="Times New Roman"/>
        </w:rPr>
      </w:pPr>
      <w:r>
        <w:rPr>
          <w:rFonts w:ascii="Times New Roman" w:hAnsi="Times New Roman" w:cs="Times New Roman"/>
          <w:b/>
          <w:bCs/>
        </w:rPr>
        <w:t>Fig</w:t>
      </w:r>
      <w:r>
        <w:rPr>
          <w:rFonts w:ascii="Times New Roman" w:hAnsi="Times New Roman" w:cs="Times New Roman"/>
          <w:b/>
          <w:bCs/>
          <w:lang w:val="en-US"/>
        </w:rPr>
        <w:t>.</w:t>
      </w:r>
      <w:r>
        <w:rPr>
          <w:rFonts w:ascii="Times New Roman" w:hAnsi="Times New Roman" w:cs="Times New Roman"/>
          <w:b/>
          <w:bCs/>
        </w:rPr>
        <w:t xml:space="preserve"> S1 Plasmid-based standard curve for DNA-based absolute qPCR quantification of </w:t>
      </w:r>
      <w:r>
        <w:rPr>
          <w:rFonts w:ascii="Times New Roman" w:hAnsi="Times New Roman" w:cs="Times New Roman"/>
          <w:b/>
          <w:bCs/>
          <w:i/>
          <w:iCs/>
        </w:rPr>
        <w:t xml:space="preserve">Botryosphaeria </w:t>
      </w:r>
      <w:proofErr w:type="spellStart"/>
      <w:r>
        <w:rPr>
          <w:rFonts w:ascii="Times New Roman" w:hAnsi="Times New Roman" w:cs="Times New Roman"/>
          <w:b/>
          <w:bCs/>
          <w:i/>
          <w:iCs/>
        </w:rPr>
        <w:t>dothidea</w:t>
      </w:r>
      <w:proofErr w:type="spellEnd"/>
      <w:r>
        <w:rPr>
          <w:rFonts w:ascii="Times New Roman" w:hAnsi="Times New Roman" w:cs="Times New Roman"/>
          <w:b/>
          <w:bCs/>
        </w:rPr>
        <w:t xml:space="preserve"> in apple lesion-margin tissues.</w:t>
      </w:r>
      <w:r>
        <w:rPr>
          <w:rFonts w:ascii="Times New Roman" w:hAnsi="Times New Roman" w:cs="Times New Roman"/>
        </w:rPr>
        <w:t xml:space="preserve"> The </w:t>
      </w:r>
      <w:r>
        <w:rPr>
          <w:rFonts w:ascii="Times New Roman" w:hAnsi="Times New Roman" w:cs="Times New Roman"/>
          <w:i/>
          <w:iCs/>
        </w:rPr>
        <w:t>BdEF1</w:t>
      </w:r>
      <w:r>
        <w:rPr>
          <w:rFonts w:ascii="Times New Roman" w:hAnsi="Times New Roman" w:cs="Times New Roman"/>
        </w:rPr>
        <w:t xml:space="preserve"> target fragment was cloned into the pMD19-T vector, and ten-fold serial dilutions of the recombinant plasmid were used to generate the standard curve. Cycle threshold (Ct) values showed a linear relationship with the log</w:t>
      </w:r>
      <w:r>
        <w:rPr>
          <w:rFonts w:ascii="Times New Roman" w:hAnsi="Times New Roman" w:cs="Times New Roman"/>
          <w:vertAlign w:val="subscript"/>
        </w:rPr>
        <w:t>10</w:t>
      </w:r>
      <w:r>
        <w:rPr>
          <w:rFonts w:ascii="Times New Roman" w:hAnsi="Times New Roman" w:cs="Times New Roman"/>
        </w:rPr>
        <w:t>-transformed target copy number. The regression equation was Ct = −3.216 × log</w:t>
      </w:r>
      <w:r>
        <w:rPr>
          <w:rFonts w:ascii="Times New Roman" w:hAnsi="Times New Roman" w:cs="Times New Roman"/>
          <w:vertAlign w:val="subscript"/>
        </w:rPr>
        <w:t>10</w:t>
      </w:r>
      <w:r>
        <w:rPr>
          <w:rFonts w:ascii="Times New Roman" w:hAnsi="Times New Roman" w:cs="Times New Roman"/>
        </w:rPr>
        <w:t>(copies) + 27.33, with R</w:t>
      </w:r>
      <w:r>
        <w:rPr>
          <w:rFonts w:ascii="Times New Roman" w:hAnsi="Times New Roman" w:cs="Times New Roman"/>
          <w:vertAlign w:val="superscript"/>
          <w:lang w:val="en-US"/>
        </w:rPr>
        <w:t>2</w:t>
      </w:r>
      <w:r>
        <w:rPr>
          <w:rFonts w:ascii="Times New Roman" w:hAnsi="Times New Roman" w:cs="Times New Roman"/>
        </w:rPr>
        <w:t xml:space="preserve"> = 0.994 and amplification efficiency of 104.7%.</w:t>
      </w:r>
    </w:p>
    <w:p w14:paraId="7E6A9259" w14:textId="38D54EA6" w:rsidR="00092D94" w:rsidRDefault="00E272F5">
      <w:pPr>
        <w:jc w:val="both"/>
        <w:rPr>
          <w:rFonts w:ascii="Times New Roman" w:hAnsi="Times New Roman" w:cs="Times New Roman"/>
        </w:rPr>
      </w:pPr>
      <w:r>
        <w:rPr>
          <w:rFonts w:ascii="Times New Roman" w:hAnsi="Times New Roman" w:cs="Times New Roman"/>
        </w:rPr>
        <w:br w:type="page"/>
      </w:r>
      <w:r w:rsidR="00923F69">
        <w:rPr>
          <w:rFonts w:ascii="Times New Roman" w:hAnsi="Times New Roman" w:cs="Times New Roman"/>
          <w:noProof/>
          <w14:ligatures w14:val="none"/>
        </w:rPr>
        <w:lastRenderedPageBreak/>
        <w:drawing>
          <wp:inline distT="0" distB="0" distL="0" distR="0" wp14:anchorId="6A36FFA8" wp14:editId="487593D7">
            <wp:extent cx="5731510" cy="4745990"/>
            <wp:effectExtent l="0" t="0" r="2540" b="0"/>
            <wp:docPr id="862588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88976" name="图片 86258897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745990"/>
                    </a:xfrm>
                    <a:prstGeom prst="rect">
                      <a:avLst/>
                    </a:prstGeom>
                  </pic:spPr>
                </pic:pic>
              </a:graphicData>
            </a:graphic>
          </wp:inline>
        </w:drawing>
      </w:r>
    </w:p>
    <w:p w14:paraId="597D5BE3" w14:textId="77777777" w:rsidR="00092D94" w:rsidRDefault="00E272F5">
      <w:pPr>
        <w:jc w:val="both"/>
        <w:outlineLvl w:val="1"/>
        <w:rPr>
          <w:rFonts w:ascii="Times New Roman" w:hAnsi="Times New Roman" w:cs="Times New Roman"/>
          <w:lang w:val="en-US"/>
        </w:rPr>
      </w:pPr>
      <w:r>
        <w:rPr>
          <w:rFonts w:ascii="Times New Roman" w:hAnsi="Times New Roman" w:cs="Times New Roman"/>
          <w:b/>
          <w:bCs/>
        </w:rPr>
        <w:t>Fig. S2 Comprehensive assessment of apple fruit quality and VOC profiles across treatment groups.</w:t>
      </w:r>
      <w:r>
        <w:rPr>
          <w:rFonts w:ascii="Times New Roman" w:hAnsi="Times New Roman" w:cs="Times New Roman"/>
        </w:rPr>
        <w:t xml:space="preserve"> BG, </w:t>
      </w:r>
      <w:r>
        <w:rPr>
          <w:rFonts w:ascii="Times New Roman" w:hAnsi="Times New Roman" w:cs="Times New Roman"/>
          <w:i/>
          <w:iCs/>
        </w:rPr>
        <w:t xml:space="preserve">B. </w:t>
      </w:r>
      <w:proofErr w:type="spellStart"/>
      <w:r>
        <w:rPr>
          <w:rFonts w:ascii="Times New Roman" w:hAnsi="Times New Roman" w:cs="Times New Roman"/>
          <w:i/>
          <w:iCs/>
        </w:rPr>
        <w:t>dothidea</w:t>
      </w:r>
      <w:proofErr w:type="spellEnd"/>
      <w:r>
        <w:rPr>
          <w:rFonts w:ascii="Times New Roman" w:hAnsi="Times New Roman" w:cs="Times New Roman"/>
        </w:rPr>
        <w:t xml:space="preserve"> inoculation with </w:t>
      </w:r>
      <w:proofErr w:type="spellStart"/>
      <w:r>
        <w:rPr>
          <w:rFonts w:ascii="Times New Roman" w:hAnsi="Times New Roman" w:cs="Times New Roman"/>
        </w:rPr>
        <w:t>G1</w:t>
      </w:r>
      <w:proofErr w:type="spellEnd"/>
      <w:r>
        <w:rPr>
          <w:rFonts w:ascii="Times New Roman" w:hAnsi="Times New Roman" w:cs="Times New Roman"/>
        </w:rPr>
        <w:t xml:space="preserve">-VOC exposure; BM, </w:t>
      </w:r>
      <w:r>
        <w:rPr>
          <w:rFonts w:ascii="Times New Roman" w:hAnsi="Times New Roman" w:cs="Times New Roman"/>
          <w:i/>
          <w:iCs/>
        </w:rPr>
        <w:t xml:space="preserve">B. </w:t>
      </w:r>
      <w:proofErr w:type="spellStart"/>
      <w:r>
        <w:rPr>
          <w:rFonts w:ascii="Times New Roman" w:hAnsi="Times New Roman" w:cs="Times New Roman"/>
          <w:i/>
          <w:iCs/>
        </w:rPr>
        <w:t>dothidea</w:t>
      </w:r>
      <w:proofErr w:type="spellEnd"/>
      <w:r>
        <w:rPr>
          <w:rFonts w:ascii="Times New Roman" w:hAnsi="Times New Roman" w:cs="Times New Roman"/>
        </w:rPr>
        <w:t xml:space="preserve"> inoculation without </w:t>
      </w:r>
      <w:proofErr w:type="spellStart"/>
      <w:r>
        <w:rPr>
          <w:rFonts w:ascii="Times New Roman" w:hAnsi="Times New Roman" w:cs="Times New Roman"/>
        </w:rPr>
        <w:t>G1</w:t>
      </w:r>
      <w:proofErr w:type="spellEnd"/>
      <w:r>
        <w:rPr>
          <w:rFonts w:ascii="Times New Roman" w:hAnsi="Times New Roman" w:cs="Times New Roman"/>
        </w:rPr>
        <w:t xml:space="preserve">-VOC exposure; WG, mock inoculation with G1-VOC exposure; and WM, mock inoculation without G1-VOC exposure. </w:t>
      </w:r>
      <w:r>
        <w:rPr>
          <w:rFonts w:ascii="Times New Roman" w:hAnsi="Times New Roman" w:cs="Times New Roman"/>
          <w:b/>
          <w:bCs/>
        </w:rPr>
        <w:t>(A–C)</w:t>
      </w:r>
      <w:r>
        <w:rPr>
          <w:rFonts w:ascii="Times New Roman" w:hAnsi="Times New Roman" w:cs="Times New Roman"/>
        </w:rPr>
        <w:t xml:space="preserve"> Colorimetric analysis indicating variations in lightness, red-green, and yellow-blue coordinates. </w:t>
      </w:r>
      <w:r>
        <w:rPr>
          <w:rFonts w:ascii="Times New Roman" w:hAnsi="Times New Roman" w:cs="Times New Roman"/>
          <w:b/>
          <w:bCs/>
        </w:rPr>
        <w:t>(D)</w:t>
      </w:r>
      <w:r>
        <w:rPr>
          <w:rFonts w:ascii="Times New Roman" w:hAnsi="Times New Roman" w:cs="Times New Roman"/>
        </w:rPr>
        <w:t xml:space="preserve"> Total </w:t>
      </w:r>
      <w:proofErr w:type="spellStart"/>
      <w:r>
        <w:rPr>
          <w:rFonts w:ascii="Times New Roman" w:hAnsi="Times New Roman" w:cs="Times New Roman"/>
        </w:rPr>
        <w:t>color</w:t>
      </w:r>
      <w:proofErr w:type="spellEnd"/>
      <w:r>
        <w:rPr>
          <w:rFonts w:ascii="Times New Roman" w:hAnsi="Times New Roman" w:cs="Times New Roman"/>
        </w:rPr>
        <w:t xml:space="preserve"> difference (</w:t>
      </w:r>
      <w:proofErr w:type="spellStart"/>
      <w:r w:rsidRPr="00BC22C5">
        <w:rPr>
          <w:rFonts w:ascii="Times New Roman" w:hAnsi="Times New Roman" w:cs="Times New Roman"/>
        </w:rPr>
        <w:t>Δ</w:t>
      </w:r>
      <w:r>
        <w:rPr>
          <w:rFonts w:ascii="Times New Roman" w:hAnsi="Times New Roman" w:cs="Times New Roman"/>
          <w:i/>
          <w:iCs/>
        </w:rPr>
        <w:t>E</w:t>
      </w:r>
      <w:proofErr w:type="spellEnd"/>
      <w:r>
        <w:rPr>
          <w:rFonts w:ascii="Times New Roman" w:hAnsi="Times New Roman" w:cs="Times New Roman"/>
        </w:rPr>
        <w:t xml:space="preserve">) relative to the WM group, showing significant shifts in BG and BM groups. </w:t>
      </w:r>
      <w:r>
        <w:rPr>
          <w:rFonts w:ascii="Times New Roman" w:hAnsi="Times New Roman" w:cs="Times New Roman"/>
          <w:b/>
          <w:bCs/>
        </w:rPr>
        <w:t>(E–G)</w:t>
      </w:r>
      <w:r>
        <w:rPr>
          <w:rFonts w:ascii="Times New Roman" w:hAnsi="Times New Roman" w:cs="Times New Roman"/>
        </w:rPr>
        <w:t xml:space="preserve"> Texture profile analysis measurements including chewiness, </w:t>
      </w:r>
      <w:proofErr w:type="spellStart"/>
      <w:r>
        <w:rPr>
          <w:rFonts w:ascii="Times New Roman" w:hAnsi="Times New Roman" w:cs="Times New Roman"/>
        </w:rPr>
        <w:t>fracturability</w:t>
      </w:r>
      <w:proofErr w:type="spellEnd"/>
      <w:r>
        <w:rPr>
          <w:rFonts w:ascii="Times New Roman" w:hAnsi="Times New Roman" w:cs="Times New Roman"/>
        </w:rPr>
        <w:t xml:space="preserve">, and springiness. </w:t>
      </w:r>
      <w:r>
        <w:rPr>
          <w:rFonts w:ascii="Times New Roman" w:hAnsi="Times New Roman" w:cs="Times New Roman"/>
          <w:b/>
          <w:bCs/>
        </w:rPr>
        <w:t>(H</w:t>
      </w:r>
      <w:r>
        <w:rPr>
          <w:rFonts w:ascii="Times New Roman" w:hAnsi="Times New Roman" w:cs="Times New Roman"/>
          <w:b/>
          <w:bCs/>
          <w:lang w:val="en-US"/>
        </w:rPr>
        <w:t xml:space="preserve">, </w:t>
      </w:r>
      <w:r>
        <w:rPr>
          <w:rFonts w:ascii="Times New Roman" w:hAnsi="Times New Roman" w:cs="Times New Roman"/>
          <w:b/>
          <w:bCs/>
        </w:rPr>
        <w:t>I)</w:t>
      </w:r>
      <w:r>
        <w:rPr>
          <w:rFonts w:ascii="Times New Roman" w:hAnsi="Times New Roman" w:cs="Times New Roman"/>
        </w:rPr>
        <w:t xml:space="preserve"> Biochemical evaluation of titratable acidity and soluble solid content. </w:t>
      </w:r>
      <w:r>
        <w:rPr>
          <w:rFonts w:ascii="Times New Roman" w:hAnsi="Times New Roman" w:cs="Times New Roman"/>
          <w:b/>
          <w:bCs/>
        </w:rPr>
        <w:t>(J)</w:t>
      </w:r>
      <w:r>
        <w:rPr>
          <w:rFonts w:ascii="Times New Roman" w:hAnsi="Times New Roman" w:cs="Times New Roman"/>
        </w:rPr>
        <w:t xml:space="preserve"> Principal Component Analysis (PCA) of VOC profiles, illustrating distinct clustering based on treatment. </w:t>
      </w:r>
      <w:r>
        <w:rPr>
          <w:rFonts w:ascii="Times New Roman" w:hAnsi="Times New Roman" w:cs="Times New Roman"/>
          <w:b/>
          <w:bCs/>
        </w:rPr>
        <w:t>(K)</w:t>
      </w:r>
      <w:r>
        <w:rPr>
          <w:rFonts w:ascii="Times New Roman" w:hAnsi="Times New Roman" w:cs="Times New Roman"/>
        </w:rPr>
        <w:t xml:space="preserve"> Radar plot of electronic nose sensor responses, highlighting differences in volatile emission patterns. Data are presented as mean ±</w:t>
      </w:r>
      <w:r>
        <w:rPr>
          <w:rFonts w:ascii="Times New Roman" w:hAnsi="Times New Roman" w:cs="Times New Roman"/>
          <w:lang w:val="en-US"/>
        </w:rPr>
        <w:t xml:space="preserve"> </w:t>
      </w:r>
      <w:r>
        <w:rPr>
          <w:rFonts w:ascii="Times New Roman" w:hAnsi="Times New Roman" w:cs="Times New Roman"/>
        </w:rPr>
        <w:t>SD</w:t>
      </w:r>
      <w:r>
        <w:rPr>
          <w:rFonts w:ascii="Times New Roman" w:hAnsi="Times New Roman" w:cs="Times New Roman"/>
          <w:lang w:val="en-US"/>
        </w:rPr>
        <w:t>.</w:t>
      </w:r>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rPr>
        <w:t>-values indicate statistically significant differences</w:t>
      </w:r>
      <w:r>
        <w:rPr>
          <w:rFonts w:ascii="Times New Roman" w:hAnsi="Times New Roman" w:cs="Times New Roman"/>
          <w:lang w:val="en-US"/>
        </w:rPr>
        <w:t>.</w:t>
      </w:r>
    </w:p>
    <w:p w14:paraId="393B0189" w14:textId="77777777" w:rsidR="00092D94" w:rsidRDefault="00E272F5">
      <w:pPr>
        <w:spacing w:after="0" w:line="240" w:lineRule="auto"/>
        <w:rPr>
          <w:rFonts w:ascii="Times New Roman" w:hAnsi="Times New Roman" w:cs="Times New Roman"/>
          <w:lang w:val="en-US"/>
        </w:rPr>
      </w:pPr>
      <w:r>
        <w:rPr>
          <w:rFonts w:ascii="Times New Roman" w:hAnsi="Times New Roman" w:cs="Times New Roman"/>
          <w:lang w:val="en-US"/>
        </w:rPr>
        <w:br w:type="page"/>
      </w:r>
    </w:p>
    <w:p w14:paraId="27B6B817" w14:textId="77777777" w:rsidR="00092D94" w:rsidRDefault="00E272F5">
      <w:pPr>
        <w:jc w:val="both"/>
        <w:rPr>
          <w:rFonts w:ascii="Times New Roman" w:hAnsi="Times New Roman" w:cs="Times New Roman"/>
        </w:rPr>
      </w:pPr>
      <w:r>
        <w:rPr>
          <w:rFonts w:ascii="Times New Roman" w:hAnsi="Times New Roman" w:cs="Times New Roman"/>
          <w:noProof/>
          <w:lang w:val="en-US" w:eastAsia="en-US"/>
        </w:rPr>
        <w:lastRenderedPageBreak/>
        <w:drawing>
          <wp:inline distT="0" distB="0" distL="0" distR="0" wp14:anchorId="5AF0E966" wp14:editId="6736C6B1">
            <wp:extent cx="5731510" cy="5736590"/>
            <wp:effectExtent l="0" t="0" r="2540" b="0"/>
            <wp:docPr id="1938806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0675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731510" cy="5736590"/>
                    </a:xfrm>
                    <a:prstGeom prst="rect">
                      <a:avLst/>
                    </a:prstGeom>
                    <a:noFill/>
                    <a:ln>
                      <a:noFill/>
                    </a:ln>
                  </pic:spPr>
                </pic:pic>
              </a:graphicData>
            </a:graphic>
          </wp:inline>
        </w:drawing>
      </w:r>
    </w:p>
    <w:p w14:paraId="27C12399" w14:textId="77777777" w:rsidR="00092D94" w:rsidRDefault="00E272F5">
      <w:pPr>
        <w:jc w:val="both"/>
        <w:outlineLvl w:val="1"/>
        <w:rPr>
          <w:rFonts w:ascii="Times New Roman" w:hAnsi="Times New Roman" w:cs="Times New Roman"/>
        </w:rPr>
      </w:pPr>
      <w:r>
        <w:rPr>
          <w:rFonts w:ascii="Times New Roman" w:hAnsi="Times New Roman" w:cs="Times New Roman"/>
          <w:b/>
          <w:bCs/>
        </w:rPr>
        <w:t>Fig. S3 Whole-genome-based phylogenetic analysis of strain G1.</w:t>
      </w:r>
      <w:r>
        <w:rPr>
          <w:rFonts w:ascii="Times New Roman" w:hAnsi="Times New Roman" w:cs="Times New Roman"/>
        </w:rPr>
        <w:t xml:space="preserve"> The phylogenetic tree illustrates the taxonomic position of G1 within the genus </w:t>
      </w:r>
      <w:r>
        <w:rPr>
          <w:rFonts w:ascii="Times New Roman" w:hAnsi="Times New Roman" w:cs="Times New Roman"/>
          <w:i/>
          <w:iCs/>
        </w:rPr>
        <w:t>Streptomyces</w:t>
      </w:r>
      <w:r>
        <w:rPr>
          <w:rFonts w:ascii="Times New Roman" w:hAnsi="Times New Roman" w:cs="Times New Roman"/>
        </w:rPr>
        <w:t>. G1 cluster</w:t>
      </w:r>
      <w:r>
        <w:rPr>
          <w:rFonts w:ascii="Times New Roman" w:hAnsi="Times New Roman" w:cs="Times New Roman"/>
          <w:lang w:val="en-US"/>
        </w:rPr>
        <w:t>ed</w:t>
      </w:r>
      <w:r>
        <w:rPr>
          <w:rFonts w:ascii="Times New Roman" w:hAnsi="Times New Roman" w:cs="Times New Roman"/>
        </w:rPr>
        <w:t xml:space="preserve"> closely with </w:t>
      </w:r>
      <w:r>
        <w:rPr>
          <w:rFonts w:ascii="Times New Roman" w:hAnsi="Times New Roman" w:cs="Times New Roman"/>
          <w:i/>
          <w:iCs/>
        </w:rPr>
        <w:t xml:space="preserve">Streptomyces </w:t>
      </w:r>
      <w:proofErr w:type="spellStart"/>
      <w:r>
        <w:rPr>
          <w:rFonts w:ascii="Times New Roman" w:hAnsi="Times New Roman" w:cs="Times New Roman"/>
          <w:i/>
          <w:iCs/>
        </w:rPr>
        <w:t>albidoflavus</w:t>
      </w:r>
      <w:proofErr w:type="spellEnd"/>
      <w:r>
        <w:rPr>
          <w:rFonts w:ascii="Times New Roman" w:hAnsi="Times New Roman" w:cs="Times New Roman"/>
        </w:rPr>
        <w:t xml:space="preserve"> </w:t>
      </w:r>
      <w:proofErr w:type="spellStart"/>
      <w:r>
        <w:rPr>
          <w:rFonts w:ascii="Times New Roman" w:hAnsi="Times New Roman" w:cs="Times New Roman"/>
        </w:rPr>
        <w:t>NRRL</w:t>
      </w:r>
      <w:proofErr w:type="spellEnd"/>
      <w:r>
        <w:rPr>
          <w:rFonts w:ascii="Times New Roman" w:hAnsi="Times New Roman" w:cs="Times New Roman"/>
        </w:rPr>
        <w:t xml:space="preserve">-B-1271ᵀ, supporting its identification as </w:t>
      </w:r>
      <w:r>
        <w:rPr>
          <w:rFonts w:ascii="Times New Roman" w:hAnsi="Times New Roman" w:cs="Times New Roman"/>
          <w:i/>
          <w:iCs/>
        </w:rPr>
        <w:t xml:space="preserve">S. </w:t>
      </w:r>
      <w:proofErr w:type="spellStart"/>
      <w:r>
        <w:rPr>
          <w:rFonts w:ascii="Times New Roman" w:hAnsi="Times New Roman" w:cs="Times New Roman"/>
          <w:i/>
          <w:iCs/>
        </w:rPr>
        <w:t>albidoflavus</w:t>
      </w:r>
      <w:proofErr w:type="spellEnd"/>
      <w:r>
        <w:rPr>
          <w:rFonts w:ascii="Times New Roman" w:hAnsi="Times New Roman" w:cs="Times New Roman"/>
        </w:rPr>
        <w:t xml:space="preserve"> together with the ANI analysis. </w:t>
      </w:r>
      <w:r>
        <w:rPr>
          <w:rFonts w:ascii="Times New Roman" w:hAnsi="Times New Roman" w:cs="Times New Roman"/>
          <w:i/>
          <w:iCs/>
        </w:rPr>
        <w:t xml:space="preserve">Pseudomonas </w:t>
      </w:r>
      <w:proofErr w:type="spellStart"/>
      <w:r>
        <w:rPr>
          <w:rFonts w:ascii="Times New Roman" w:hAnsi="Times New Roman" w:cs="Times New Roman"/>
          <w:i/>
          <w:iCs/>
        </w:rPr>
        <w:t>kribbensis</w:t>
      </w:r>
      <w:proofErr w:type="spellEnd"/>
      <w:r>
        <w:rPr>
          <w:rFonts w:ascii="Times New Roman" w:hAnsi="Times New Roman" w:cs="Times New Roman"/>
        </w:rPr>
        <w:t xml:space="preserve"> 46-2ᵀ </w:t>
      </w:r>
      <w:r>
        <w:rPr>
          <w:rFonts w:ascii="Times New Roman" w:hAnsi="Times New Roman" w:cs="Times New Roman"/>
          <w:lang w:val="en-US"/>
        </w:rPr>
        <w:t>was used</w:t>
      </w:r>
      <w:r>
        <w:rPr>
          <w:rFonts w:ascii="Times New Roman" w:hAnsi="Times New Roman" w:cs="Times New Roman"/>
        </w:rPr>
        <w:t xml:space="preserve"> as the outgroup. GenBank accession numbers </w:t>
      </w:r>
      <w:r>
        <w:rPr>
          <w:rFonts w:ascii="Times New Roman" w:hAnsi="Times New Roman" w:cs="Times New Roman"/>
          <w:lang w:val="en-US"/>
        </w:rPr>
        <w:t>of</w:t>
      </w:r>
      <w:r>
        <w:rPr>
          <w:rFonts w:ascii="Times New Roman" w:hAnsi="Times New Roman" w:cs="Times New Roman"/>
        </w:rPr>
        <w:t xml:space="preserve"> the genome assemblies are provided in parentheses.</w:t>
      </w:r>
    </w:p>
    <w:p w14:paraId="377F64DF" w14:textId="77777777" w:rsidR="00092D94" w:rsidRDefault="00E272F5">
      <w:pPr>
        <w:spacing w:after="0" w:line="240" w:lineRule="auto"/>
        <w:rPr>
          <w:rFonts w:ascii="Times New Roman" w:hAnsi="Times New Roman" w:cs="Times New Roman"/>
        </w:rPr>
      </w:pPr>
      <w:r>
        <w:rPr>
          <w:rFonts w:ascii="Times New Roman" w:hAnsi="Times New Roman" w:cs="Times New Roman"/>
        </w:rPr>
        <w:br w:type="page"/>
      </w:r>
    </w:p>
    <w:p w14:paraId="2D4D9302" w14:textId="77777777" w:rsidR="00092D94" w:rsidRDefault="00E272F5">
      <w:pPr>
        <w:jc w:val="center"/>
        <w:rPr>
          <w:rFonts w:ascii="Times New Roman" w:hAnsi="Times New Roman" w:cs="Times New Roman"/>
        </w:rPr>
      </w:pPr>
      <w:r>
        <w:rPr>
          <w:rFonts w:ascii="Times New Roman" w:hAnsi="Times New Roman" w:cs="Times New Roman"/>
          <w:noProof/>
          <w:lang w:val="en-US" w:eastAsia="en-US"/>
        </w:rPr>
        <w:lastRenderedPageBreak/>
        <w:drawing>
          <wp:inline distT="0" distB="0" distL="114300" distR="114300" wp14:anchorId="3B716FEF" wp14:editId="09DFF26D">
            <wp:extent cx="4565650" cy="1973580"/>
            <wp:effectExtent l="0" t="0" r="6350" b="7620"/>
            <wp:docPr id="1" name="图片 1"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4"/>
                    <pic:cNvPicPr>
                      <a:picLocks noChangeAspect="1"/>
                    </pic:cNvPicPr>
                  </pic:nvPicPr>
                  <pic:blipFill>
                    <a:blip r:embed="rId11"/>
                    <a:stretch>
                      <a:fillRect/>
                    </a:stretch>
                  </pic:blipFill>
                  <pic:spPr>
                    <a:xfrm>
                      <a:off x="0" y="0"/>
                      <a:ext cx="4569169" cy="1975103"/>
                    </a:xfrm>
                    <a:prstGeom prst="rect">
                      <a:avLst/>
                    </a:prstGeom>
                  </pic:spPr>
                </pic:pic>
              </a:graphicData>
            </a:graphic>
          </wp:inline>
        </w:drawing>
      </w:r>
    </w:p>
    <w:p w14:paraId="140D7EF5" w14:textId="77777777" w:rsidR="00092D94" w:rsidRDefault="00E272F5">
      <w:pPr>
        <w:jc w:val="both"/>
        <w:outlineLvl w:val="1"/>
        <w:rPr>
          <w:rFonts w:ascii="Times New Roman" w:hAnsi="Times New Roman" w:cs="Times New Roman"/>
        </w:rPr>
      </w:pPr>
      <w:r>
        <w:rPr>
          <w:rFonts w:ascii="Times New Roman" w:hAnsi="Times New Roman" w:cs="Times New Roman"/>
          <w:b/>
          <w:bCs/>
        </w:rPr>
        <w:t>Fig. S4 Rarefaction curves of bacterial and fungal communities in apple lesion-margin tissues under the four treatments.</w:t>
      </w:r>
      <w:r>
        <w:rPr>
          <w:rFonts w:ascii="Times New Roman" w:hAnsi="Times New Roman" w:cs="Times New Roman"/>
        </w:rPr>
        <w:t xml:space="preserve"> (A) Bacterial and (B) fungal ASV richness plotted against the percentage of sequencing reads retained during subsampling. Lines represent the mean richness, and error bars indicate the standard error across biological replicates. BG, with </w:t>
      </w:r>
      <w:r>
        <w:rPr>
          <w:rFonts w:ascii="Times New Roman" w:hAnsi="Times New Roman" w:cs="Times New Roman"/>
          <w:i/>
          <w:iCs/>
        </w:rPr>
        <w:t xml:space="preserve">B. </w:t>
      </w:r>
      <w:proofErr w:type="spellStart"/>
      <w:r>
        <w:rPr>
          <w:rFonts w:ascii="Times New Roman" w:hAnsi="Times New Roman" w:cs="Times New Roman"/>
          <w:i/>
          <w:iCs/>
        </w:rPr>
        <w:t>dothidea</w:t>
      </w:r>
      <w:proofErr w:type="spellEnd"/>
      <w:r>
        <w:rPr>
          <w:rFonts w:ascii="Times New Roman" w:hAnsi="Times New Roman" w:cs="Times New Roman"/>
        </w:rPr>
        <w:t xml:space="preserve"> and with </w:t>
      </w:r>
      <w:proofErr w:type="spellStart"/>
      <w:r>
        <w:rPr>
          <w:rFonts w:ascii="Times New Roman" w:hAnsi="Times New Roman" w:cs="Times New Roman"/>
        </w:rPr>
        <w:t>G1</w:t>
      </w:r>
      <w:proofErr w:type="spellEnd"/>
      <w:r>
        <w:rPr>
          <w:rFonts w:ascii="Times New Roman" w:hAnsi="Times New Roman" w:cs="Times New Roman"/>
        </w:rPr>
        <w:t xml:space="preserve">; BM, with </w:t>
      </w:r>
      <w:r>
        <w:rPr>
          <w:rFonts w:ascii="Times New Roman" w:hAnsi="Times New Roman" w:cs="Times New Roman"/>
          <w:i/>
          <w:iCs/>
        </w:rPr>
        <w:t xml:space="preserve">B. </w:t>
      </w:r>
      <w:proofErr w:type="spellStart"/>
      <w:r>
        <w:rPr>
          <w:rFonts w:ascii="Times New Roman" w:hAnsi="Times New Roman" w:cs="Times New Roman"/>
          <w:i/>
          <w:iCs/>
        </w:rPr>
        <w:t>dothidea</w:t>
      </w:r>
      <w:proofErr w:type="spellEnd"/>
      <w:r>
        <w:rPr>
          <w:rFonts w:ascii="Times New Roman" w:hAnsi="Times New Roman" w:cs="Times New Roman"/>
        </w:rPr>
        <w:t xml:space="preserve"> and without </w:t>
      </w:r>
      <w:proofErr w:type="spellStart"/>
      <w:r>
        <w:rPr>
          <w:rFonts w:ascii="Times New Roman" w:hAnsi="Times New Roman" w:cs="Times New Roman"/>
        </w:rPr>
        <w:t>G1</w:t>
      </w:r>
      <w:proofErr w:type="spellEnd"/>
      <w:r>
        <w:rPr>
          <w:rFonts w:ascii="Times New Roman" w:hAnsi="Times New Roman" w:cs="Times New Roman"/>
        </w:rPr>
        <w:t xml:space="preserve">; WG, without B. </w:t>
      </w:r>
      <w:proofErr w:type="spellStart"/>
      <w:r>
        <w:rPr>
          <w:rFonts w:ascii="Times New Roman" w:hAnsi="Times New Roman" w:cs="Times New Roman"/>
        </w:rPr>
        <w:t>dothidea</w:t>
      </w:r>
      <w:proofErr w:type="spellEnd"/>
      <w:r>
        <w:rPr>
          <w:rFonts w:ascii="Times New Roman" w:hAnsi="Times New Roman" w:cs="Times New Roman"/>
        </w:rPr>
        <w:t xml:space="preserve"> and with </w:t>
      </w:r>
      <w:proofErr w:type="spellStart"/>
      <w:r>
        <w:rPr>
          <w:rFonts w:ascii="Times New Roman" w:hAnsi="Times New Roman" w:cs="Times New Roman"/>
        </w:rPr>
        <w:t>G1</w:t>
      </w:r>
      <w:proofErr w:type="spellEnd"/>
      <w:r>
        <w:rPr>
          <w:rFonts w:ascii="Times New Roman" w:hAnsi="Times New Roman" w:cs="Times New Roman"/>
        </w:rPr>
        <w:t xml:space="preserve">; WM, without </w:t>
      </w:r>
      <w:r>
        <w:rPr>
          <w:rFonts w:ascii="Times New Roman" w:hAnsi="Times New Roman" w:cs="Times New Roman"/>
          <w:i/>
          <w:iCs/>
        </w:rPr>
        <w:t xml:space="preserve">B. </w:t>
      </w:r>
      <w:proofErr w:type="spellStart"/>
      <w:r>
        <w:rPr>
          <w:rFonts w:ascii="Times New Roman" w:hAnsi="Times New Roman" w:cs="Times New Roman"/>
          <w:i/>
          <w:iCs/>
        </w:rPr>
        <w:t>dothidea</w:t>
      </w:r>
      <w:proofErr w:type="spellEnd"/>
      <w:r>
        <w:rPr>
          <w:rFonts w:ascii="Times New Roman" w:hAnsi="Times New Roman" w:cs="Times New Roman"/>
        </w:rPr>
        <w:t xml:space="preserve"> and without </w:t>
      </w:r>
      <w:proofErr w:type="spellStart"/>
      <w:r>
        <w:rPr>
          <w:rFonts w:ascii="Times New Roman" w:hAnsi="Times New Roman" w:cs="Times New Roman"/>
        </w:rPr>
        <w:t>G1</w:t>
      </w:r>
      <w:proofErr w:type="spellEnd"/>
      <w:r>
        <w:rPr>
          <w:rFonts w:ascii="Times New Roman" w:hAnsi="Times New Roman" w:cs="Times New Roman"/>
        </w:rPr>
        <w:t>. The tendency of the curves to approach saturation indicates that the sequencing depth captured most of the detectable bacterial and fungal diversity.</w:t>
      </w:r>
    </w:p>
    <w:p w14:paraId="64CC3E90" w14:textId="77777777" w:rsidR="00092D94" w:rsidRDefault="00092D94">
      <w:pPr>
        <w:jc w:val="both"/>
        <w:rPr>
          <w:rFonts w:ascii="Times New Roman" w:hAnsi="Times New Roman" w:cs="Times New Roman"/>
        </w:rPr>
      </w:pPr>
    </w:p>
    <w:p w14:paraId="0A89180C" w14:textId="77777777" w:rsidR="00092D94" w:rsidRDefault="00092D94">
      <w:pPr>
        <w:jc w:val="both"/>
        <w:rPr>
          <w:rFonts w:ascii="Times New Roman" w:hAnsi="Times New Roman" w:cs="Times New Roman"/>
        </w:rPr>
      </w:pPr>
    </w:p>
    <w:p w14:paraId="486C2FE4" w14:textId="77777777" w:rsidR="00092D94" w:rsidRDefault="00092D94">
      <w:pPr>
        <w:jc w:val="both"/>
        <w:rPr>
          <w:rFonts w:ascii="Times New Roman" w:hAnsi="Times New Roman" w:cs="Times New Roman"/>
        </w:rPr>
      </w:pPr>
    </w:p>
    <w:p w14:paraId="79762C1F" w14:textId="77777777" w:rsidR="00092D94" w:rsidRDefault="00E272F5">
      <w:pPr>
        <w:jc w:val="center"/>
        <w:rPr>
          <w:rFonts w:ascii="Times New Roman" w:hAnsi="Times New Roman" w:cs="Times New Roman"/>
        </w:rPr>
      </w:pPr>
      <w:r>
        <w:rPr>
          <w:rFonts w:ascii="Times New Roman" w:hAnsi="Times New Roman" w:cs="Times New Roman"/>
          <w:noProof/>
          <w:lang w:val="en-US" w:eastAsia="en-US"/>
        </w:rPr>
        <w:drawing>
          <wp:inline distT="0" distB="0" distL="0" distR="0" wp14:anchorId="6F6407D3" wp14:editId="3689BDD2">
            <wp:extent cx="4864100" cy="1943100"/>
            <wp:effectExtent l="0" t="0" r="0" b="0"/>
            <wp:docPr id="142493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33952"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869134" cy="1945280"/>
                    </a:xfrm>
                    <a:prstGeom prst="rect">
                      <a:avLst/>
                    </a:prstGeom>
                    <a:noFill/>
                    <a:ln>
                      <a:noFill/>
                    </a:ln>
                  </pic:spPr>
                </pic:pic>
              </a:graphicData>
            </a:graphic>
          </wp:inline>
        </w:drawing>
      </w:r>
    </w:p>
    <w:p w14:paraId="4587897D" w14:textId="77777777" w:rsidR="00092D94" w:rsidRDefault="00E272F5">
      <w:pPr>
        <w:jc w:val="both"/>
        <w:outlineLvl w:val="1"/>
        <w:rPr>
          <w:rFonts w:ascii="Times New Roman" w:hAnsi="Times New Roman" w:cs="Times New Roman"/>
        </w:rPr>
      </w:pPr>
      <w:r>
        <w:rPr>
          <w:rFonts w:ascii="Times New Roman" w:hAnsi="Times New Roman" w:cs="Times New Roman"/>
          <w:b/>
          <w:bCs/>
        </w:rPr>
        <w:t>Fig. S</w:t>
      </w:r>
      <w:r>
        <w:rPr>
          <w:rFonts w:ascii="Times New Roman" w:hAnsi="Times New Roman" w:cs="Times New Roman"/>
          <w:b/>
          <w:bCs/>
          <w:lang w:val="en-US"/>
        </w:rPr>
        <w:t>5</w:t>
      </w:r>
      <w:r>
        <w:rPr>
          <w:rFonts w:ascii="Times New Roman" w:hAnsi="Times New Roman" w:cs="Times New Roman"/>
          <w:b/>
          <w:bCs/>
        </w:rPr>
        <w:t xml:space="preserve"> Taxonomic distribution and abundance of the apple fruit microbiome at the genus level.</w:t>
      </w:r>
      <w:r>
        <w:rPr>
          <w:rFonts w:ascii="Times New Roman" w:hAnsi="Times New Roman" w:cs="Times New Roman"/>
        </w:rPr>
        <w:t xml:space="preserve"> Bubble plot displaying the relative abundance of dominant bacterial genera. Circle size corresponds to abundance, with taxa color-coded by phylum.</w:t>
      </w:r>
    </w:p>
    <w:p w14:paraId="7BB24D5C" w14:textId="77777777" w:rsidR="00092D94" w:rsidRDefault="00E272F5">
      <w:pPr>
        <w:jc w:val="center"/>
        <w:rPr>
          <w:rFonts w:ascii="Times New Roman" w:hAnsi="Times New Roman" w:cs="Times New Roman"/>
        </w:rPr>
      </w:pPr>
      <w:r>
        <w:rPr>
          <w:rFonts w:ascii="Times New Roman" w:hAnsi="Times New Roman" w:cs="Times New Roman"/>
          <w:noProof/>
          <w:lang w:val="en-US" w:eastAsia="en-US"/>
        </w:rPr>
        <w:lastRenderedPageBreak/>
        <w:drawing>
          <wp:inline distT="0" distB="0" distL="114300" distR="114300" wp14:anchorId="22210195" wp14:editId="67467B15">
            <wp:extent cx="2258060" cy="1695450"/>
            <wp:effectExtent l="0" t="0" r="8890" b="0"/>
            <wp:docPr id="3" name="图片 3" descr="pseudomonas_Standard curv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seudomonas_Standard curve_2.0"/>
                    <pic:cNvPicPr>
                      <a:picLocks noChangeAspect="1"/>
                    </pic:cNvPicPr>
                  </pic:nvPicPr>
                  <pic:blipFill>
                    <a:blip r:embed="rId13"/>
                    <a:stretch>
                      <a:fillRect/>
                    </a:stretch>
                  </pic:blipFill>
                  <pic:spPr>
                    <a:xfrm>
                      <a:off x="0" y="0"/>
                      <a:ext cx="2267150" cy="1701912"/>
                    </a:xfrm>
                    <a:prstGeom prst="rect">
                      <a:avLst/>
                    </a:prstGeom>
                  </pic:spPr>
                </pic:pic>
              </a:graphicData>
            </a:graphic>
          </wp:inline>
        </w:drawing>
      </w:r>
    </w:p>
    <w:p w14:paraId="024EB12C" w14:textId="77777777" w:rsidR="00092D94" w:rsidRDefault="00E272F5">
      <w:pPr>
        <w:jc w:val="both"/>
        <w:outlineLvl w:val="1"/>
        <w:rPr>
          <w:rFonts w:ascii="Times New Roman" w:hAnsi="Times New Roman" w:cs="Times New Roman"/>
          <w:lang w:val="en-US"/>
        </w:rPr>
      </w:pPr>
      <w:r>
        <w:rPr>
          <w:rFonts w:ascii="Times New Roman" w:hAnsi="Times New Roman" w:cs="Times New Roman"/>
          <w:b/>
          <w:bCs/>
        </w:rPr>
        <w:t>Fig. S</w:t>
      </w:r>
      <w:r>
        <w:rPr>
          <w:rFonts w:ascii="Times New Roman" w:hAnsi="Times New Roman" w:cs="Times New Roman"/>
          <w:b/>
          <w:bCs/>
          <w:lang w:val="en-US"/>
        </w:rPr>
        <w:t>6</w:t>
      </w:r>
      <w:r>
        <w:rPr>
          <w:rFonts w:ascii="Times New Roman" w:hAnsi="Times New Roman" w:cs="Times New Roman"/>
          <w:b/>
          <w:bCs/>
        </w:rPr>
        <w:t xml:space="preserve"> Plasmid-based standard curve for absolute quantification of </w:t>
      </w:r>
      <w:r>
        <w:rPr>
          <w:rFonts w:ascii="Times New Roman" w:hAnsi="Times New Roman" w:cs="Times New Roman"/>
          <w:b/>
          <w:bCs/>
          <w:i/>
          <w:iCs/>
        </w:rPr>
        <w:t>Pseudomonas</w:t>
      </w:r>
      <w:r>
        <w:rPr>
          <w:rFonts w:ascii="Times New Roman" w:hAnsi="Times New Roman" w:cs="Times New Roman"/>
          <w:b/>
          <w:bCs/>
        </w:rPr>
        <w:t xml:space="preserve"> in apple lesion-margin tissues. </w:t>
      </w:r>
      <w:r>
        <w:rPr>
          <w:rFonts w:ascii="Times New Roman" w:hAnsi="Times New Roman" w:cs="Times New Roman"/>
        </w:rPr>
        <w:t xml:space="preserve">The target fragment amplified by the </w:t>
      </w:r>
      <w:r>
        <w:rPr>
          <w:rFonts w:ascii="Times New Roman" w:hAnsi="Times New Roman" w:cs="Times New Roman"/>
          <w:i/>
          <w:iCs/>
        </w:rPr>
        <w:t>Pseudomonas</w:t>
      </w:r>
      <w:r>
        <w:rPr>
          <w:rFonts w:ascii="Times New Roman" w:hAnsi="Times New Roman" w:cs="Times New Roman"/>
        </w:rPr>
        <w:t>-specific primer pair Pse43</w:t>
      </w:r>
      <w:r>
        <w:rPr>
          <w:rFonts w:ascii="Times New Roman" w:hAnsi="Times New Roman" w:cs="Times New Roman" w:hint="eastAsia"/>
          <w:lang w:val="en-US"/>
        </w:rPr>
        <w:t>5</w:t>
      </w:r>
      <w:r>
        <w:rPr>
          <w:rFonts w:ascii="Times New Roman" w:hAnsi="Times New Roman" w:cs="Times New Roman"/>
        </w:rPr>
        <w:t>F/Pse6</w:t>
      </w:r>
      <w:r>
        <w:rPr>
          <w:rFonts w:ascii="Times New Roman" w:hAnsi="Times New Roman" w:cs="Times New Roman" w:hint="eastAsia"/>
          <w:lang w:val="en-US"/>
        </w:rPr>
        <w:t>86</w:t>
      </w:r>
      <w:r>
        <w:rPr>
          <w:rFonts w:ascii="Times New Roman" w:hAnsi="Times New Roman" w:cs="Times New Roman"/>
        </w:rPr>
        <w:t>R was cloned into pMD19-T and quantified using ten-fold serial dilutions of the recombinant plasmid. Cycle threshold (Ct) values were plotted against the log</w:t>
      </w:r>
      <w:r>
        <w:rPr>
          <w:rFonts w:ascii="Times New Roman" w:hAnsi="Times New Roman" w:cs="Times New Roman"/>
          <w:vertAlign w:val="subscript"/>
        </w:rPr>
        <w:t>10</w:t>
      </w:r>
      <w:r>
        <w:rPr>
          <w:rFonts w:ascii="Times New Roman" w:hAnsi="Times New Roman" w:cs="Times New Roman"/>
        </w:rPr>
        <w:t>-transformed target copy number. The regression equation was Ct =</w:t>
      </w:r>
      <w:r>
        <w:rPr>
          <w:rFonts w:ascii="Times New Roman" w:hAnsi="Times New Roman" w:cs="Times New Roman"/>
          <w:lang w:val="en-US"/>
        </w:rPr>
        <w:t>-3.439</w:t>
      </w:r>
      <w:r>
        <w:rPr>
          <w:rFonts w:ascii="Times New Roman" w:hAnsi="Times New Roman" w:cs="Times New Roman"/>
        </w:rPr>
        <w:t>×</w:t>
      </w:r>
      <w:r>
        <w:rPr>
          <w:rFonts w:ascii="Times New Roman" w:hAnsi="Times New Roman" w:cs="Times New Roman"/>
          <w:lang w:val="en-US"/>
        </w:rPr>
        <w:t xml:space="preserve"> </w:t>
      </w:r>
      <w:r>
        <w:rPr>
          <w:rFonts w:ascii="Times New Roman" w:hAnsi="Times New Roman" w:cs="Times New Roman"/>
        </w:rPr>
        <w:t>log</w:t>
      </w:r>
      <w:r>
        <w:rPr>
          <w:rFonts w:ascii="Times New Roman" w:hAnsi="Times New Roman" w:cs="Times New Roman"/>
          <w:vertAlign w:val="subscript"/>
        </w:rPr>
        <w:t>10</w:t>
      </w:r>
      <w:r>
        <w:rPr>
          <w:rFonts w:ascii="Times New Roman" w:hAnsi="Times New Roman" w:cs="Times New Roman"/>
        </w:rPr>
        <w:t xml:space="preserve">(copies) + </w:t>
      </w:r>
      <w:r>
        <w:rPr>
          <w:rFonts w:ascii="Times New Roman" w:hAnsi="Times New Roman" w:cs="Times New Roman"/>
          <w:lang w:val="en-US"/>
        </w:rPr>
        <w:t>24.40</w:t>
      </w:r>
      <w:r>
        <w:rPr>
          <w:rFonts w:ascii="Times New Roman" w:hAnsi="Times New Roman" w:cs="Times New Roman"/>
        </w:rPr>
        <w:t xml:space="preserve"> (R</w:t>
      </w:r>
      <w:r>
        <w:rPr>
          <w:rFonts w:ascii="Times New Roman" w:hAnsi="Times New Roman" w:cs="Times New Roman"/>
          <w:vertAlign w:val="superscript"/>
          <w:lang w:val="en-US"/>
        </w:rPr>
        <w:t>2</w:t>
      </w:r>
      <w:r>
        <w:rPr>
          <w:rFonts w:ascii="Times New Roman" w:hAnsi="Times New Roman" w:cs="Times New Roman"/>
        </w:rPr>
        <w:t xml:space="preserve">= </w:t>
      </w:r>
      <w:r>
        <w:rPr>
          <w:rFonts w:ascii="Times New Roman" w:hAnsi="Times New Roman" w:cs="Times New Roman"/>
          <w:lang w:val="en-US"/>
        </w:rPr>
        <w:t>0.993</w:t>
      </w:r>
      <w:r>
        <w:rPr>
          <w:rFonts w:ascii="Times New Roman" w:hAnsi="Times New Roman" w:cs="Times New Roman"/>
        </w:rPr>
        <w:t>)</w:t>
      </w:r>
      <w:r>
        <w:rPr>
          <w:rFonts w:ascii="Times New Roman" w:hAnsi="Times New Roman" w:cs="Times New Roman"/>
          <w:lang w:val="en-US"/>
        </w:rPr>
        <w:t>.</w:t>
      </w:r>
    </w:p>
    <w:p w14:paraId="1FEF8415" w14:textId="77777777" w:rsidR="00092D94" w:rsidRDefault="00092D94">
      <w:pPr>
        <w:jc w:val="both"/>
        <w:rPr>
          <w:rFonts w:ascii="Times New Roman" w:hAnsi="Times New Roman" w:cs="Times New Roman"/>
          <w:lang w:val="en-US"/>
        </w:rPr>
      </w:pPr>
    </w:p>
    <w:p w14:paraId="42AADBB8" w14:textId="77777777" w:rsidR="00092D94" w:rsidRDefault="00092D94">
      <w:pPr>
        <w:jc w:val="both"/>
        <w:rPr>
          <w:rFonts w:ascii="Times New Roman" w:hAnsi="Times New Roman" w:cs="Times New Roman"/>
          <w:lang w:val="en-US"/>
        </w:rPr>
      </w:pPr>
    </w:p>
    <w:p w14:paraId="2FBBF444" w14:textId="77777777" w:rsidR="00092D94" w:rsidRDefault="00092D94">
      <w:pPr>
        <w:jc w:val="both"/>
        <w:rPr>
          <w:rFonts w:ascii="Times New Roman" w:hAnsi="Times New Roman" w:cs="Times New Roman"/>
          <w:lang w:val="en-US"/>
        </w:rPr>
      </w:pPr>
    </w:p>
    <w:p w14:paraId="5896A70C" w14:textId="77777777" w:rsidR="00092D94" w:rsidRDefault="00E272F5">
      <w:pPr>
        <w:jc w:val="both"/>
        <w:rPr>
          <w:rFonts w:ascii="Times New Roman" w:hAnsi="Times New Roman" w:cs="Times New Roman"/>
          <w:lang w:val="en-US"/>
        </w:rPr>
      </w:pPr>
      <w:r>
        <w:rPr>
          <w:rFonts w:ascii="Times New Roman" w:hAnsi="Times New Roman" w:cs="Times New Roman"/>
          <w:noProof/>
          <w:lang w:val="en-US" w:eastAsia="en-US"/>
        </w:rPr>
        <w:drawing>
          <wp:inline distT="0" distB="0" distL="114300" distR="114300" wp14:anchorId="15ECB930" wp14:editId="358910C6">
            <wp:extent cx="5722620" cy="3109595"/>
            <wp:effectExtent l="0" t="0" r="1905" b="5080"/>
            <wp:docPr id="4" name="图片 4"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7"/>
                    <pic:cNvPicPr>
                      <a:picLocks noChangeAspect="1"/>
                    </pic:cNvPicPr>
                  </pic:nvPicPr>
                  <pic:blipFill>
                    <a:blip r:embed="rId14"/>
                    <a:stretch>
                      <a:fillRect/>
                    </a:stretch>
                  </pic:blipFill>
                  <pic:spPr>
                    <a:xfrm>
                      <a:off x="0" y="0"/>
                      <a:ext cx="5722620" cy="3109595"/>
                    </a:xfrm>
                    <a:prstGeom prst="rect">
                      <a:avLst/>
                    </a:prstGeom>
                  </pic:spPr>
                </pic:pic>
              </a:graphicData>
            </a:graphic>
          </wp:inline>
        </w:drawing>
      </w:r>
    </w:p>
    <w:p w14:paraId="2693691A" w14:textId="77777777" w:rsidR="00092D94" w:rsidRDefault="00E272F5">
      <w:pPr>
        <w:jc w:val="both"/>
        <w:outlineLvl w:val="1"/>
        <w:rPr>
          <w:rFonts w:ascii="Times New Roman" w:hAnsi="Times New Roman" w:cs="Times New Roman"/>
        </w:rPr>
      </w:pPr>
      <w:r>
        <w:rPr>
          <w:rFonts w:ascii="Times New Roman" w:hAnsi="Times New Roman" w:cs="Times New Roman"/>
          <w:b/>
          <w:bCs/>
        </w:rPr>
        <w:t>Fig. S</w:t>
      </w:r>
      <w:r>
        <w:rPr>
          <w:rFonts w:ascii="Times New Roman" w:hAnsi="Times New Roman" w:cs="Times New Roman"/>
          <w:b/>
          <w:bCs/>
          <w:lang w:val="en-US"/>
        </w:rPr>
        <w:t>7</w:t>
      </w:r>
      <w:r>
        <w:rPr>
          <w:rFonts w:ascii="Times New Roman" w:hAnsi="Times New Roman" w:cs="Times New Roman"/>
          <w:b/>
          <w:bCs/>
        </w:rPr>
        <w:t xml:space="preserve"> Core-genome phylogenetic placement of </w:t>
      </w:r>
      <w:r>
        <w:rPr>
          <w:rFonts w:ascii="Times New Roman" w:hAnsi="Times New Roman" w:cs="Times New Roman"/>
          <w:b/>
          <w:bCs/>
          <w:i/>
          <w:iCs/>
        </w:rPr>
        <w:t xml:space="preserve">Pseudomonas </w:t>
      </w:r>
      <w:proofErr w:type="spellStart"/>
      <w:r>
        <w:rPr>
          <w:rFonts w:ascii="Times New Roman" w:hAnsi="Times New Roman" w:cs="Times New Roman"/>
          <w:b/>
          <w:bCs/>
          <w:i/>
          <w:iCs/>
        </w:rPr>
        <w:t>paracarnis</w:t>
      </w:r>
      <w:proofErr w:type="spellEnd"/>
      <w:r>
        <w:rPr>
          <w:rFonts w:ascii="Times New Roman" w:hAnsi="Times New Roman" w:cs="Times New Roman"/>
          <w:b/>
          <w:bCs/>
        </w:rPr>
        <w:t xml:space="preserve"> </w:t>
      </w:r>
      <w:proofErr w:type="spellStart"/>
      <w:r>
        <w:rPr>
          <w:rFonts w:ascii="Times New Roman" w:hAnsi="Times New Roman" w:cs="Times New Roman"/>
          <w:b/>
          <w:bCs/>
        </w:rPr>
        <w:t>aNRL1</w:t>
      </w:r>
      <w:proofErr w:type="spellEnd"/>
      <w:r>
        <w:rPr>
          <w:rFonts w:ascii="Times New Roman" w:hAnsi="Times New Roman" w:cs="Times New Roman"/>
          <w:b/>
          <w:bCs/>
        </w:rPr>
        <w:t xml:space="preserve"> and closely related </w:t>
      </w:r>
      <w:r>
        <w:rPr>
          <w:rFonts w:ascii="Times New Roman" w:hAnsi="Times New Roman" w:cs="Times New Roman"/>
          <w:b/>
          <w:bCs/>
          <w:i/>
          <w:iCs/>
        </w:rPr>
        <w:t>Pseudomonas</w:t>
      </w:r>
      <w:r>
        <w:rPr>
          <w:rFonts w:ascii="Times New Roman" w:hAnsi="Times New Roman" w:cs="Times New Roman"/>
          <w:b/>
          <w:bCs/>
        </w:rPr>
        <w:t xml:space="preserve"> type strains. </w:t>
      </w:r>
      <w:r>
        <w:rPr>
          <w:rFonts w:ascii="Times New Roman" w:hAnsi="Times New Roman" w:cs="Times New Roman"/>
        </w:rPr>
        <w:t xml:space="preserve">The tree was reconstructed using </w:t>
      </w:r>
      <w:proofErr w:type="spellStart"/>
      <w:r>
        <w:rPr>
          <w:rFonts w:ascii="Times New Roman" w:hAnsi="Times New Roman" w:cs="Times New Roman"/>
        </w:rPr>
        <w:t>FastME</w:t>
      </w:r>
      <w:proofErr w:type="spellEnd"/>
      <w:r>
        <w:rPr>
          <w:rFonts w:ascii="Times New Roman" w:hAnsi="Times New Roman" w:cs="Times New Roman"/>
        </w:rPr>
        <w:t xml:space="preserve"> 2.1.6.1 from </w:t>
      </w:r>
      <w:proofErr w:type="spellStart"/>
      <w:r>
        <w:rPr>
          <w:rFonts w:ascii="Times New Roman" w:hAnsi="Times New Roman" w:cs="Times New Roman"/>
        </w:rPr>
        <w:t>GBDP</w:t>
      </w:r>
      <w:proofErr w:type="spellEnd"/>
      <w:r>
        <w:rPr>
          <w:rFonts w:ascii="Times New Roman" w:hAnsi="Times New Roman" w:cs="Times New Roman"/>
        </w:rPr>
        <w:t xml:space="preserve"> distances calculated from genome sequences. The branch lengths are scaled in terms of GBDP distance formula d5. The numbers above branches are GBDP pseudo-bootstrap support values &gt; 60% from 100 replications, with an average branch support of 65.8%. GenBank accession numbers of the genome assemblies are provided in parentheses.</w:t>
      </w:r>
    </w:p>
    <w:p w14:paraId="0033D9F3" w14:textId="77777777" w:rsidR="00092D94" w:rsidRDefault="00092D94">
      <w:pPr>
        <w:jc w:val="both"/>
        <w:rPr>
          <w:rFonts w:ascii="Times New Roman" w:hAnsi="Times New Roman" w:cs="Times New Roman"/>
        </w:rPr>
      </w:pPr>
    </w:p>
    <w:p w14:paraId="603CE809" w14:textId="77777777" w:rsidR="00092D94" w:rsidRDefault="00E272F5">
      <w:pPr>
        <w:spacing w:line="276" w:lineRule="auto"/>
        <w:jc w:val="both"/>
        <w:outlineLvl w:val="0"/>
        <w:rPr>
          <w:rFonts w:ascii="Times New Roman" w:hAnsi="Times New Roman" w:cs="Times New Roman"/>
          <w:b/>
          <w:lang w:val="en-US"/>
        </w:rPr>
      </w:pPr>
      <w:r>
        <w:rPr>
          <w:rFonts w:ascii="Times New Roman" w:hAnsi="Times New Roman" w:cs="Times New Roman"/>
          <w:b/>
        </w:rPr>
        <w:lastRenderedPageBreak/>
        <w:t>Supplementary Reference</w:t>
      </w:r>
      <w:r>
        <w:rPr>
          <w:rFonts w:ascii="Times New Roman" w:hAnsi="Times New Roman" w:cs="Times New Roman" w:hint="eastAsia"/>
          <w:b/>
          <w:lang w:val="en-US"/>
        </w:rPr>
        <w:t>s</w:t>
      </w:r>
    </w:p>
    <w:p w14:paraId="1B9E9A48"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tab/>
        <w:t>Wick, R. R., Judd, L. M., Gorrie, C. L. &amp; Holt, K. E. Unicycler: Resolving bacterial genome assemblies from short and long sequencing reads. PLoS Comput Biol 13, e1005595 (2017).</w:t>
      </w:r>
    </w:p>
    <w:p w14:paraId="2E918B6F"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Delcher, A. L., Bratke, K. A., Powers, E. C. &amp; Salzberg, S. L. Identifying bacterial genes and endosymbiont DNA with Glimmer. Bioinformatics 23, 673-679 (2007).</w:t>
      </w:r>
    </w:p>
    <w:p w14:paraId="209EDB8C"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Aziz, R. K.</w:t>
      </w:r>
      <w:r>
        <w:rPr>
          <w:rFonts w:ascii="Times New Roman" w:hAnsi="Times New Roman" w:cs="Times New Roman"/>
          <w:i/>
        </w:rPr>
        <w:t xml:space="preserve"> et al.</w:t>
      </w:r>
      <w:r>
        <w:rPr>
          <w:rFonts w:ascii="Times New Roman" w:hAnsi="Times New Roman" w:cs="Times New Roman"/>
        </w:rPr>
        <w:t xml:space="preserve"> The RAST Server: rapid annotations using subsystems technology. BMC Genomics 9, 75 (2008).</w:t>
      </w:r>
    </w:p>
    <w:p w14:paraId="09594282"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Lukashin, A. V. &amp; Borodovsky, M. GeneMark.hmm: new solutions for gene finding. Nucleic Acids Res 26, 1107-1115 (1998).</w:t>
      </w:r>
    </w:p>
    <w:p w14:paraId="405934FE"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Blin, K.</w:t>
      </w:r>
      <w:r>
        <w:rPr>
          <w:rFonts w:ascii="Times New Roman" w:hAnsi="Times New Roman" w:cs="Times New Roman"/>
          <w:i/>
        </w:rPr>
        <w:t xml:space="preserve"> et al.</w:t>
      </w:r>
      <w:r>
        <w:rPr>
          <w:rFonts w:ascii="Times New Roman" w:hAnsi="Times New Roman" w:cs="Times New Roman"/>
        </w:rPr>
        <w:t xml:space="preserve"> antiSMASH 7.0: new and improved predictions for detection, regulation, chemical structures and visualisation. Nucleic Acids Res 51, W46-W50 (2023).</w:t>
      </w:r>
    </w:p>
    <w:p w14:paraId="3952BDDB"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 xml:space="preserve">Lefort, V., Desper, R. &amp; Gascuel, O. FastME 2.0: </w:t>
      </w:r>
      <w:r>
        <w:rPr>
          <w:rFonts w:ascii="Times New Roman" w:hAnsi="Times New Roman" w:cs="Times New Roman" w:hint="eastAsia"/>
          <w:lang w:val="en-US"/>
        </w:rPr>
        <w:t>a</w:t>
      </w:r>
      <w:r>
        <w:rPr>
          <w:rFonts w:ascii="Times New Roman" w:hAnsi="Times New Roman" w:cs="Times New Roman"/>
        </w:rPr>
        <w:t xml:space="preserve"> </w:t>
      </w:r>
      <w:r>
        <w:rPr>
          <w:rFonts w:ascii="Times New Roman" w:hAnsi="Times New Roman" w:cs="Times New Roman" w:hint="eastAsia"/>
          <w:lang w:val="en-US"/>
        </w:rPr>
        <w:t>c</w:t>
      </w:r>
      <w:r>
        <w:rPr>
          <w:rFonts w:ascii="Times New Roman" w:hAnsi="Times New Roman" w:cs="Times New Roman"/>
        </w:rPr>
        <w:t xml:space="preserve">omprehensive, </w:t>
      </w:r>
      <w:r>
        <w:rPr>
          <w:rFonts w:ascii="Times New Roman" w:hAnsi="Times New Roman" w:cs="Times New Roman" w:hint="eastAsia"/>
          <w:lang w:val="en-US"/>
        </w:rPr>
        <w:t>a</w:t>
      </w:r>
      <w:r>
        <w:rPr>
          <w:rFonts w:ascii="Times New Roman" w:hAnsi="Times New Roman" w:cs="Times New Roman"/>
        </w:rPr>
        <w:t xml:space="preserve">ccurate, and </w:t>
      </w:r>
      <w:r>
        <w:rPr>
          <w:rFonts w:ascii="Times New Roman" w:hAnsi="Times New Roman" w:cs="Times New Roman" w:hint="eastAsia"/>
          <w:lang w:val="en-US"/>
        </w:rPr>
        <w:t>f</w:t>
      </w:r>
      <w:r>
        <w:rPr>
          <w:rFonts w:ascii="Times New Roman" w:hAnsi="Times New Roman" w:cs="Times New Roman"/>
        </w:rPr>
        <w:t xml:space="preserve">ast </w:t>
      </w:r>
      <w:r>
        <w:rPr>
          <w:rFonts w:ascii="Times New Roman" w:hAnsi="Times New Roman" w:cs="Times New Roman" w:hint="eastAsia"/>
          <w:lang w:val="en-US"/>
        </w:rPr>
        <w:t>d</w:t>
      </w:r>
      <w:r>
        <w:rPr>
          <w:rFonts w:ascii="Times New Roman" w:hAnsi="Times New Roman" w:cs="Times New Roman"/>
        </w:rPr>
        <w:t>istance-</w:t>
      </w:r>
      <w:r>
        <w:rPr>
          <w:rFonts w:ascii="Times New Roman" w:hAnsi="Times New Roman" w:cs="Times New Roman" w:hint="eastAsia"/>
          <w:lang w:val="en-US"/>
        </w:rPr>
        <w:t>b</w:t>
      </w:r>
      <w:r>
        <w:rPr>
          <w:rFonts w:ascii="Times New Roman" w:hAnsi="Times New Roman" w:cs="Times New Roman"/>
        </w:rPr>
        <w:t xml:space="preserve">ased </w:t>
      </w:r>
      <w:r>
        <w:rPr>
          <w:rFonts w:ascii="Times New Roman" w:hAnsi="Times New Roman" w:cs="Times New Roman" w:hint="eastAsia"/>
          <w:lang w:val="en-US"/>
        </w:rPr>
        <w:t>p</w:t>
      </w:r>
      <w:r>
        <w:rPr>
          <w:rFonts w:ascii="Times New Roman" w:hAnsi="Times New Roman" w:cs="Times New Roman"/>
        </w:rPr>
        <w:t xml:space="preserve">hylogeny </w:t>
      </w:r>
      <w:r>
        <w:rPr>
          <w:rFonts w:ascii="Times New Roman" w:hAnsi="Times New Roman" w:cs="Times New Roman" w:hint="eastAsia"/>
          <w:lang w:val="en-US"/>
        </w:rPr>
        <w:t>i</w:t>
      </w:r>
      <w:r>
        <w:rPr>
          <w:rFonts w:ascii="Times New Roman" w:hAnsi="Times New Roman" w:cs="Times New Roman"/>
        </w:rPr>
        <w:t xml:space="preserve">nference </w:t>
      </w:r>
      <w:r>
        <w:rPr>
          <w:rFonts w:ascii="Times New Roman" w:hAnsi="Times New Roman" w:cs="Times New Roman" w:hint="eastAsia"/>
          <w:lang w:val="en-US"/>
        </w:rPr>
        <w:t>p</w:t>
      </w:r>
      <w:r>
        <w:rPr>
          <w:rFonts w:ascii="Times New Roman" w:hAnsi="Times New Roman" w:cs="Times New Roman"/>
        </w:rPr>
        <w:t>rogram. Mol Biol Evol 32, 2798-2800 (2015).</w:t>
      </w:r>
    </w:p>
    <w:p w14:paraId="364A3C46"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Jain, C., Rodriguez, R. L., Phillippy, A. M., Konstantinidis, K. T. &amp; Aluru, S. High throughput ANI analysis of 90K prokaryotic genomes reveals clear species boundaries. Nat Commun 9, 5114 (2018).</w:t>
      </w:r>
    </w:p>
    <w:p w14:paraId="58F7085E"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Meier-Kolthoff, J. P., Carbasse, J. S., Peinado-Olarte, R. L. &amp; Goker, M. TYGS and LPSN: a database tandem for fast and reliable genome-based classification and nomenclature of prokaryotes. Nucleic Acids Res 50, D801-D807 (2022).</w:t>
      </w:r>
    </w:p>
    <w:p w14:paraId="1808EE2B"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 xml:space="preserve">Kim, S. J., Lee, J. Y., Choi, Y. S., Sung, J. M. &amp; Jang, H. W. </w:t>
      </w:r>
      <w:bookmarkStart w:id="5" w:name="OLE_LINK7"/>
      <w:bookmarkStart w:id="6" w:name="OLE_LINK8"/>
      <w:r>
        <w:rPr>
          <w:rFonts w:ascii="Times New Roman" w:hAnsi="Times New Roman" w:cs="Times New Roman"/>
        </w:rPr>
        <w:t xml:space="preserve">Comparison of different types of SPME Arrow sorbents to analyze volatile compounds in </w:t>
      </w:r>
      <w:r>
        <w:rPr>
          <w:rFonts w:ascii="Times New Roman" w:hAnsi="Times New Roman" w:cs="Times New Roman"/>
          <w:i/>
        </w:rPr>
        <w:t>Cirsium setidens</w:t>
      </w:r>
      <w:r>
        <w:rPr>
          <w:rFonts w:ascii="Times New Roman" w:hAnsi="Times New Roman" w:cs="Times New Roman"/>
        </w:rPr>
        <w:t xml:space="preserve"> Nakai</w:t>
      </w:r>
      <w:bookmarkEnd w:id="5"/>
      <w:bookmarkEnd w:id="6"/>
      <w:r>
        <w:rPr>
          <w:rFonts w:ascii="Times New Roman" w:hAnsi="Times New Roman" w:cs="Times New Roman"/>
        </w:rPr>
        <w:t>. Foods 9</w:t>
      </w:r>
      <w:r>
        <w:rPr>
          <w:rFonts w:ascii="Times New Roman" w:hAnsi="Times New Roman" w:cs="Times New Roman" w:hint="eastAsia"/>
          <w:lang w:val="en-US"/>
        </w:rPr>
        <w:t>, 785</w:t>
      </w:r>
      <w:r>
        <w:rPr>
          <w:rFonts w:ascii="Times New Roman" w:hAnsi="Times New Roman" w:cs="Times New Roman"/>
        </w:rPr>
        <w:t xml:space="preserve"> (2020).</w:t>
      </w:r>
    </w:p>
    <w:p w14:paraId="29A5B04E" w14:textId="77777777" w:rsidR="00092D94" w:rsidRDefault="00E272F5">
      <w:pPr>
        <w:pStyle w:val="EndNoteBibliography"/>
        <w:ind w:left="720" w:hanging="720"/>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t>Jha, S. N., Rai, D. R. &amp; Shrama, R. Physico-chemical quality parameters and overall quality index of apple during storage. J Food Sci Technol 49, 594-600 (2012).</w:t>
      </w:r>
    </w:p>
    <w:p w14:paraId="54695B27" w14:textId="77777777" w:rsidR="00092D94" w:rsidRDefault="00E272F5">
      <w:pPr>
        <w:jc w:val="both"/>
        <w:rPr>
          <w:rFonts w:ascii="Times New Roman" w:hAnsi="Times New Roman" w:cs="Times New Roman"/>
        </w:rPr>
      </w:pPr>
      <w:r>
        <w:rPr>
          <w:rFonts w:ascii="Times New Roman" w:hAnsi="Times New Roman" w:cs="Times New Roman"/>
        </w:rPr>
        <w:fldChar w:fldCharType="end"/>
      </w:r>
    </w:p>
    <w:sectPr w:rsidR="00092D94" w:rsidSect="00D07E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C228" w14:textId="77777777" w:rsidR="006C634C" w:rsidRDefault="006C634C">
      <w:pPr>
        <w:spacing w:line="240" w:lineRule="auto"/>
      </w:pPr>
      <w:r>
        <w:separator/>
      </w:r>
    </w:p>
  </w:endnote>
  <w:endnote w:type="continuationSeparator" w:id="0">
    <w:p w14:paraId="30C88D78" w14:textId="77777777" w:rsidR="006C634C" w:rsidRDefault="006C63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125E6" w14:textId="77777777" w:rsidR="006C634C" w:rsidRDefault="006C634C">
      <w:pPr>
        <w:spacing w:after="0"/>
      </w:pPr>
      <w:r>
        <w:separator/>
      </w:r>
    </w:p>
  </w:footnote>
  <w:footnote w:type="continuationSeparator" w:id="0">
    <w:p w14:paraId="3E858B55" w14:textId="77777777" w:rsidR="006C634C" w:rsidRDefault="006C634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34393"/>
    <w:rsid w:val="00092D94"/>
    <w:rsid w:val="00110A65"/>
    <w:rsid w:val="00226279"/>
    <w:rsid w:val="002C1A39"/>
    <w:rsid w:val="002E2E8B"/>
    <w:rsid w:val="003E6DE9"/>
    <w:rsid w:val="003F6F99"/>
    <w:rsid w:val="00400AFC"/>
    <w:rsid w:val="00423707"/>
    <w:rsid w:val="004449D3"/>
    <w:rsid w:val="004A1531"/>
    <w:rsid w:val="004C69FF"/>
    <w:rsid w:val="004F2EFD"/>
    <w:rsid w:val="005021C2"/>
    <w:rsid w:val="00541A66"/>
    <w:rsid w:val="00564F47"/>
    <w:rsid w:val="005D1246"/>
    <w:rsid w:val="005E6C78"/>
    <w:rsid w:val="00652C8F"/>
    <w:rsid w:val="0065503A"/>
    <w:rsid w:val="0066322B"/>
    <w:rsid w:val="006C634C"/>
    <w:rsid w:val="006D6135"/>
    <w:rsid w:val="0070061C"/>
    <w:rsid w:val="00717451"/>
    <w:rsid w:val="00776ECF"/>
    <w:rsid w:val="007863FF"/>
    <w:rsid w:val="007A5B4F"/>
    <w:rsid w:val="007F51D4"/>
    <w:rsid w:val="00855F73"/>
    <w:rsid w:val="00866B49"/>
    <w:rsid w:val="00904BEE"/>
    <w:rsid w:val="00923F69"/>
    <w:rsid w:val="00934393"/>
    <w:rsid w:val="0097440A"/>
    <w:rsid w:val="009E12B4"/>
    <w:rsid w:val="00A01B11"/>
    <w:rsid w:val="00A85906"/>
    <w:rsid w:val="00A86A30"/>
    <w:rsid w:val="00AD13FE"/>
    <w:rsid w:val="00BC22C5"/>
    <w:rsid w:val="00BC4EE4"/>
    <w:rsid w:val="00C34F66"/>
    <w:rsid w:val="00C50CE3"/>
    <w:rsid w:val="00C57017"/>
    <w:rsid w:val="00C62E88"/>
    <w:rsid w:val="00CD30C2"/>
    <w:rsid w:val="00D07E36"/>
    <w:rsid w:val="00D61AD1"/>
    <w:rsid w:val="00DA032C"/>
    <w:rsid w:val="00DA4868"/>
    <w:rsid w:val="00E272F5"/>
    <w:rsid w:val="00E7221E"/>
    <w:rsid w:val="00EF3D25"/>
    <w:rsid w:val="02CD71D6"/>
    <w:rsid w:val="02F6522C"/>
    <w:rsid w:val="037E4FBC"/>
    <w:rsid w:val="18CB7E8B"/>
    <w:rsid w:val="1D216C8C"/>
    <w:rsid w:val="250C41B2"/>
    <w:rsid w:val="27463747"/>
    <w:rsid w:val="3B2F08EC"/>
    <w:rsid w:val="44DC39CB"/>
    <w:rsid w:val="47E55D1B"/>
    <w:rsid w:val="483061FC"/>
    <w:rsid w:val="486468FD"/>
    <w:rsid w:val="49B82AAD"/>
    <w:rsid w:val="4EC6719A"/>
    <w:rsid w:val="506E0F0E"/>
    <w:rsid w:val="55F82B31"/>
    <w:rsid w:val="57BC4B5A"/>
    <w:rsid w:val="5855139E"/>
    <w:rsid w:val="58697D4A"/>
    <w:rsid w:val="5F430E86"/>
    <w:rsid w:val="619305DD"/>
    <w:rsid w:val="6CF75F23"/>
    <w:rsid w:val="705F43B5"/>
    <w:rsid w:val="70A65D36"/>
    <w:rsid w:val="79EF73C8"/>
    <w:rsid w:val="7E15779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3E2EC"/>
  <w15:docId w15:val="{7FEBABB8-EC8E-4F89-B9B2-CEB9C6F2C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rFonts w:asciiTheme="minorHAnsi" w:eastAsiaTheme="minorEastAsia" w:hAnsiTheme="minorHAnsi" w:cstheme="minorBidi"/>
      <w:kern w:val="2"/>
      <w:sz w:val="24"/>
      <w:szCs w:val="24"/>
      <w:lang w:val="en-GB"/>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sz w:val="18"/>
      <w:szCs w:val="18"/>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rPr>
      <w:rFonts w:eastAsiaTheme="majorEastAsia"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styleId="ad">
    <w:name w:val="Strong"/>
    <w:basedOn w:val="a0"/>
    <w:uiPriority w:val="22"/>
    <w:qFormat/>
    <w:rPr>
      <w:b/>
    </w:rPr>
  </w:style>
  <w:style w:type="character" w:styleId="ae">
    <w:name w:val="Emphasis"/>
    <w:basedOn w:val="a0"/>
    <w:uiPriority w:val="20"/>
    <w:qFormat/>
    <w:rPr>
      <w:i/>
    </w:rPr>
  </w:style>
  <w:style w:type="character" w:styleId="af">
    <w:name w:val="Hyperlink"/>
    <w:basedOn w:val="a0"/>
    <w:uiPriority w:val="99"/>
    <w:semiHidden/>
    <w:unhideWhenUsed/>
    <w:qFormat/>
    <w:rPr>
      <w:color w:val="0000FF"/>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qFormat/>
    <w:rPr>
      <w:rFonts w:eastAsiaTheme="majorEastAsia" w:cstheme="majorBidi"/>
      <w:color w:val="2F5496" w:themeColor="accent1" w:themeShade="BF"/>
      <w:sz w:val="28"/>
      <w:szCs w:val="28"/>
    </w:rPr>
  </w:style>
  <w:style w:type="character" w:customStyle="1" w:styleId="40">
    <w:name w:val="标题 4 字符"/>
    <w:basedOn w:val="a0"/>
    <w:link w:val="4"/>
    <w:uiPriority w:val="9"/>
    <w:semiHidden/>
    <w:qFormat/>
    <w:rPr>
      <w:rFonts w:eastAsiaTheme="majorEastAsia" w:cstheme="majorBidi"/>
      <w:i/>
      <w:iCs/>
      <w:color w:val="2F5496" w:themeColor="accent1" w:themeShade="BF"/>
    </w:rPr>
  </w:style>
  <w:style w:type="character" w:customStyle="1" w:styleId="50">
    <w:name w:val="标题 5 字符"/>
    <w:basedOn w:val="a0"/>
    <w:link w:val="5"/>
    <w:uiPriority w:val="9"/>
    <w:semiHidden/>
    <w:qFormat/>
    <w:rPr>
      <w:rFonts w:eastAsiaTheme="majorEastAsia" w:cstheme="majorBidi"/>
      <w:color w:val="2F5496" w:themeColor="accent1" w:themeShade="BF"/>
    </w:rPr>
  </w:style>
  <w:style w:type="character" w:customStyle="1" w:styleId="60">
    <w:name w:val="标题 6 字符"/>
    <w:basedOn w:val="a0"/>
    <w:link w:val="6"/>
    <w:uiPriority w:val="9"/>
    <w:semiHidden/>
    <w:qFormat/>
    <w:rPr>
      <w:rFonts w:eastAsiaTheme="majorEastAsia" w:cstheme="majorBidi"/>
      <w:i/>
      <w:iCs/>
      <w:color w:val="595959" w:themeColor="text1" w:themeTint="A6"/>
    </w:rPr>
  </w:style>
  <w:style w:type="character" w:customStyle="1" w:styleId="70">
    <w:name w:val="标题 7 字符"/>
    <w:basedOn w:val="a0"/>
    <w:link w:val="7"/>
    <w:uiPriority w:val="9"/>
    <w:semiHidden/>
    <w:qFormat/>
    <w:rPr>
      <w:rFonts w:eastAsiaTheme="majorEastAsia" w:cstheme="majorBidi"/>
      <w:color w:val="595959" w:themeColor="text1" w:themeTint="A6"/>
    </w:rPr>
  </w:style>
  <w:style w:type="character" w:customStyle="1" w:styleId="80">
    <w:name w:val="标题 8 字符"/>
    <w:basedOn w:val="a0"/>
    <w:link w:val="8"/>
    <w:uiPriority w:val="9"/>
    <w:semiHidden/>
    <w:qFormat/>
    <w:rPr>
      <w:rFonts w:eastAsiaTheme="majorEastAsia" w:cstheme="majorBidi"/>
      <w:i/>
      <w:iCs/>
      <w:color w:val="262626" w:themeColor="text1" w:themeTint="D9"/>
    </w:rPr>
  </w:style>
  <w:style w:type="character" w:customStyle="1" w:styleId="90">
    <w:name w:val="标题 9 字符"/>
    <w:basedOn w:val="a0"/>
    <w:link w:val="9"/>
    <w:uiPriority w:val="9"/>
    <w:semiHidden/>
    <w:qFormat/>
    <w:rPr>
      <w:rFonts w:eastAsiaTheme="majorEastAsia" w:cstheme="majorBidi"/>
      <w:color w:val="262626" w:themeColor="text1" w:themeTint="D9"/>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eastAsiaTheme="majorEastAsia" w:cstheme="majorBidi"/>
      <w:color w:val="595959" w:themeColor="text1" w:themeTint="A6"/>
      <w:spacing w:val="15"/>
      <w:sz w:val="28"/>
      <w:szCs w:val="28"/>
    </w:rPr>
  </w:style>
  <w:style w:type="paragraph" w:styleId="af0">
    <w:name w:val="Quote"/>
    <w:basedOn w:val="a"/>
    <w:next w:val="a"/>
    <w:link w:val="af1"/>
    <w:uiPriority w:val="29"/>
    <w:qFormat/>
    <w:pPr>
      <w:spacing w:before="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3">
    <w:name w:val="Intense Quote"/>
    <w:basedOn w:val="a"/>
    <w:next w:val="a"/>
    <w:link w:val="af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4">
    <w:name w:val="明显引用 字符"/>
    <w:basedOn w:val="a0"/>
    <w:link w:val="af3"/>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EndNoteBibliographyTitle">
    <w:name w:val="EndNote Bibliography Title"/>
    <w:qFormat/>
    <w:pPr>
      <w:jc w:val="center"/>
    </w:pPr>
    <w:rPr>
      <w:rFonts w:ascii="Calibri" w:eastAsiaTheme="minorEastAsia" w:hAnsi="Calibri" w:cs="Calibri"/>
      <w:kern w:val="2"/>
      <w:sz w:val="24"/>
      <w:szCs w:val="24"/>
      <w:lang w:val="en-GB"/>
      <w14:ligatures w14:val="standardContextual"/>
    </w:rPr>
  </w:style>
  <w:style w:type="paragraph" w:customStyle="1" w:styleId="EndNoteBibliography">
    <w:name w:val="EndNote Bibliography"/>
    <w:qFormat/>
    <w:rPr>
      <w:rFonts w:ascii="Calibri" w:eastAsiaTheme="minorEastAsia" w:hAnsi="Calibri" w:cs="Calibri"/>
      <w:kern w:val="2"/>
      <w:sz w:val="24"/>
      <w:szCs w:val="24"/>
      <w:lang w:val="en-GB"/>
      <w14:ligatures w14:val="standardContextual"/>
    </w:rPr>
  </w:style>
  <w:style w:type="character" w:customStyle="1" w:styleId="a8">
    <w:name w:val="页眉 字符"/>
    <w:basedOn w:val="a0"/>
    <w:link w:val="a7"/>
    <w:uiPriority w:val="99"/>
    <w:qFormat/>
    <w:rPr>
      <w:rFonts w:asciiTheme="minorHAnsi" w:eastAsiaTheme="minorEastAsia" w:hAnsiTheme="minorHAnsi" w:cstheme="minorBidi"/>
      <w:kern w:val="2"/>
      <w:sz w:val="18"/>
      <w:szCs w:val="18"/>
      <w:lang w:val="en-GB"/>
      <w14:ligatures w14:val="standardContextual"/>
    </w:rPr>
  </w:style>
  <w:style w:type="character" w:customStyle="1" w:styleId="a6">
    <w:name w:val="页脚 字符"/>
    <w:basedOn w:val="a0"/>
    <w:link w:val="a5"/>
    <w:uiPriority w:val="99"/>
    <w:qFormat/>
    <w:rPr>
      <w:rFonts w:asciiTheme="minorHAnsi" w:eastAsiaTheme="minorEastAsia" w:hAnsiTheme="minorHAnsi" w:cstheme="minorBidi"/>
      <w:kern w:val="2"/>
      <w:sz w:val="18"/>
      <w:szCs w:val="18"/>
      <w:lang w:val="en-GB"/>
      <w14:ligatures w14:val="standardContextual"/>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lang w:val="en-GB"/>
      <w14:ligatures w14:val="standardContextual"/>
    </w:rPr>
  </w:style>
  <w:style w:type="character" w:styleId="af5">
    <w:name w:val="line number"/>
    <w:basedOn w:val="a0"/>
    <w:uiPriority w:val="99"/>
    <w:semiHidden/>
    <w:unhideWhenUsed/>
    <w:rsid w:val="006D6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rewritten://f7d2fd92-d639-4787-9047-7022c06c2feb"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3852</Words>
  <Characters>21961</Characters>
  <Application>Microsoft Office Word</Application>
  <DocSecurity>0</DocSecurity>
  <Lines>183</Lines>
  <Paragraphs>51</Paragraphs>
  <ScaleCrop>false</ScaleCrop>
  <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Arneeb Kashif</dc:creator>
  <cp:lastModifiedBy>Shengzhi Guo</cp:lastModifiedBy>
  <cp:revision>2</cp:revision>
  <dcterms:created xsi:type="dcterms:W3CDTF">2026-09-02T08:39:00Z</dcterms:created>
  <dcterms:modified xsi:type="dcterms:W3CDTF">2026-09-02T08:39:00Z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22117642-fd86-4578-8193-7d63a03f1c73</vt:lpwstr>
  </property>
  <property fmtid="{D5CDD505-2E9C-101B-9397-08002B2CF9AE}" pid="3" name="KSOTemplateDocerSaveRecord">
    <vt:lpwstr>eyJoZGlkIjoiZjBiOTk3MWYwZjZiNzA1MWUwYmU3ZTNlMmM1Mzc2NDMiLCJ1c2VySWQiOiI1OTkxODM2NDAifQ==</vt:lpwstr>
  </property>
  <property fmtid="{D5CDD505-2E9C-101B-9397-08002B2CF9AE}" pid="4" name="KSOProductBuildVer">
    <vt:lpwstr>2052-12.1.0.28043</vt:lpwstr>
  </property>
  <property fmtid="{D5CDD505-2E9C-101B-9397-08002B2CF9AE}" pid="5" name="ICV">
    <vt:lpwstr>E00988ADC5F4416AAA69BDF59A27A046_13</vt:lpwstr>
  </property>
</Properties>
</file>