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074B7" w14:textId="77777777" w:rsidR="000B3605" w:rsidRDefault="000B3605">
      <w:pPr>
        <w:rPr>
          <w:rFonts w:ascii="Times New Roman" w:hAnsi="Times New Roman" w:cs="Times New Roman"/>
        </w:rPr>
      </w:pPr>
    </w:p>
    <w:tbl>
      <w:tblPr>
        <w:tblStyle w:val="a3"/>
        <w:tblpPr w:leftFromText="180" w:rightFromText="180" w:vertAnchor="text" w:horzAnchor="page" w:tblpX="1360" w:tblpY="614"/>
        <w:tblOverlap w:val="nev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1"/>
        <w:gridCol w:w="2047"/>
        <w:gridCol w:w="1791"/>
        <w:gridCol w:w="1457"/>
        <w:gridCol w:w="870"/>
      </w:tblGrid>
      <w:tr w:rsidR="000B3605" w14:paraId="13480295" w14:textId="77777777"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A114319" w14:textId="77777777" w:rsidR="000B3605" w:rsidRDefault="00000000">
            <w:pPr>
              <w:jc w:val="center"/>
              <w:rPr>
                <w:rStyle w:val="a4"/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Table 1. Comparison of Baseline Clinical and Embryological Characteristics between Pregnancy Success and Failure Groups</w:t>
            </w:r>
          </w:p>
        </w:tc>
      </w:tr>
      <w:tr w:rsidR="000B3605" w14:paraId="64BBDDBA" w14:textId="77777777">
        <w:tc>
          <w:tcPr>
            <w:tcW w:w="1289" w:type="pct"/>
            <w:tcBorders>
              <w:bottom w:val="single" w:sz="4" w:space="0" w:color="auto"/>
            </w:tcBorders>
            <w:vAlign w:val="center"/>
          </w:tcPr>
          <w:p w14:paraId="201A2094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232" w:type="pct"/>
            <w:tcBorders>
              <w:bottom w:val="single" w:sz="4" w:space="0" w:color="auto"/>
            </w:tcBorders>
            <w:vAlign w:val="center"/>
          </w:tcPr>
          <w:p w14:paraId="25609506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Success Group (N=22)(Mean, SD)</w:t>
            </w:r>
          </w:p>
        </w:tc>
        <w:tc>
          <w:tcPr>
            <w:tcW w:w="1078" w:type="pct"/>
            <w:tcBorders>
              <w:bottom w:val="single" w:sz="4" w:space="0" w:color="auto"/>
            </w:tcBorders>
            <w:vAlign w:val="center"/>
          </w:tcPr>
          <w:p w14:paraId="0541D70F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Failure Group (N=19) (Mean, SD / n, %)</w:t>
            </w:r>
          </w:p>
        </w:tc>
        <w:tc>
          <w:tcPr>
            <w:tcW w:w="877" w:type="pct"/>
            <w:tcBorders>
              <w:bottom w:val="single" w:sz="4" w:space="0" w:color="auto"/>
            </w:tcBorders>
            <w:vAlign w:val="center"/>
          </w:tcPr>
          <w:p w14:paraId="49E3FFB0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 xml:space="preserve">Statistics </w:t>
            </w:r>
            <w:r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  <w:t>(t/Z/χ²)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vAlign w:val="center"/>
          </w:tcPr>
          <w:p w14:paraId="4AD4E757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:rsidR="000B3605" w14:paraId="47A9F0E3" w14:textId="77777777">
        <w:tc>
          <w:tcPr>
            <w:tcW w:w="1289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63622B5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Maternal Age (years)</w:t>
            </w:r>
          </w:p>
        </w:tc>
        <w:tc>
          <w:tcPr>
            <w:tcW w:w="1232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35DE3014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31.18 ± 2.67</w:t>
            </w:r>
          </w:p>
        </w:tc>
        <w:tc>
          <w:tcPr>
            <w:tcW w:w="1078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27E73D31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31.89 ± 3.00</w:t>
            </w:r>
          </w:p>
        </w:tc>
        <w:tc>
          <w:tcPr>
            <w:tcW w:w="877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6D23570A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-0.806</w:t>
            </w:r>
          </w:p>
        </w:tc>
        <w:tc>
          <w:tcPr>
            <w:tcW w:w="522" w:type="pct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FCF1D74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0.425</w:t>
            </w:r>
          </w:p>
        </w:tc>
      </w:tr>
      <w:tr w:rsidR="000B3605" w14:paraId="7BC0522C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5D8B1725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BMI (</w:t>
            </w:r>
            <w:r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  <w:t>kg/m²</w:t>
            </w: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3C03C8BF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22.45 ± 4.19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78392D36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21.86 ± 3.62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44886B0D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0.405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407FA3EB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0.695</w:t>
            </w:r>
          </w:p>
        </w:tc>
      </w:tr>
      <w:tr w:rsidR="000B3605" w14:paraId="00BCA16F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1C1D6017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  <w:t>AMH (ng/ml)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2DFC20CF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3.48 ± 2.42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3C835F7E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3.65 ± 1.66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16F34AC1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-0.915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0E8789C2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0.367</w:t>
            </w:r>
          </w:p>
        </w:tc>
      </w:tr>
      <w:tr w:rsidR="000B3605" w14:paraId="44D3F76F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5F89DD83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Duration of infertility (years)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4703E1A7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3.68 ± 3.09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7AF49AA8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3.79 ± 3.29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14DE1AD1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0.026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27B77A1A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0.989</w:t>
            </w:r>
          </w:p>
        </w:tc>
      </w:tr>
      <w:tr w:rsidR="000B3605" w14:paraId="7A8A1315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12C83BD0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Basal Hormones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26AB4FEA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15258413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5B488BFE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092F66DE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</w:tr>
      <w:tr w:rsidR="000B3605" w14:paraId="2A8E5376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1E0B14ED" w14:textId="77777777" w:rsidR="000B3605" w:rsidRDefault="00000000">
            <w:pPr>
              <w:widowControl/>
              <w:jc w:val="center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FSH (IU/L)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2A2E8B29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6.39 ± 1.05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569D6D2C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6.83 ± 1.53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7072238C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-1.062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65CAA7A5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0.295</w:t>
            </w:r>
          </w:p>
        </w:tc>
      </w:tr>
      <w:tr w:rsidR="000B3605" w14:paraId="1703B448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3124ACA3" w14:textId="77777777" w:rsidR="000B3605" w:rsidRDefault="00000000">
            <w:pPr>
              <w:widowControl/>
              <w:jc w:val="center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LH (IU/L)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66FFA9BA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5.58 ± 2.70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791F2D77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5.89 ± 3.95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3C2039D3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0.074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3B57166A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0.953</w:t>
            </w:r>
          </w:p>
        </w:tc>
      </w:tr>
      <w:tr w:rsidR="000B3605" w14:paraId="3D44BE6D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0427E47C" w14:textId="77777777" w:rsidR="000B3605" w:rsidRDefault="00000000">
            <w:pPr>
              <w:widowControl/>
              <w:jc w:val="center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E2 (pg/ml)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0975109D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44.05 ± 17.41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6B0B06E9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41.82 ± 14.01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21151B79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0.413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41CBA9FA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0.682</w:t>
            </w:r>
          </w:p>
        </w:tc>
      </w:tr>
      <w:tr w:rsidR="000B3605" w14:paraId="486AE7D2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114A36F0" w14:textId="77777777" w:rsidR="000B3605" w:rsidRDefault="00000000">
            <w:pPr>
              <w:widowControl/>
              <w:jc w:val="center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PRL (ng/ml)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672A58C5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21.58 ± 12.54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5E9C77A0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18.16 ± 7.02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33A60AD8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0.276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03FAD285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0.794</w:t>
            </w:r>
          </w:p>
        </w:tc>
      </w:tr>
      <w:tr w:rsidR="000B3605" w14:paraId="670436E2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484C4346" w14:textId="77777777" w:rsidR="000B3605" w:rsidRDefault="00000000">
            <w:pPr>
              <w:widowControl/>
              <w:jc w:val="center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T (ng/ml)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30BDA20F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0.25 ± 0.13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75FED3D1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0.27 ± 0.11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4C10E5DF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-0.383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3F4F79E6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0.713</w:t>
            </w:r>
          </w:p>
        </w:tc>
      </w:tr>
      <w:tr w:rsidR="000B3605" w14:paraId="3D219823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27BA5D23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Antral Follicle Count (AFC)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3393C3CF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15.00 ± 6.34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46CBA99A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14.00 ± 7.85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0E3644C7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0.889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52F932E0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0.379</w:t>
            </w:r>
          </w:p>
        </w:tc>
      </w:tr>
      <w:tr w:rsidR="000B3605" w14:paraId="071390B8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4CD64B9C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Cs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Starting dose (IU)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541F71CB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555D5595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78A910FD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08FDAE47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</w:tr>
      <w:tr w:rsidR="000B3605" w14:paraId="3E176B17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14A39BCB" w14:textId="77777777" w:rsidR="000B3605" w:rsidRDefault="00000000">
            <w:pPr>
              <w:widowControl/>
              <w:jc w:val="center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>Starting dose (IU)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639C7005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203.41 ± 66.61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03824F47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199.34 ± 56.90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39281A01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0.092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527A6F94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0.935</w:t>
            </w:r>
          </w:p>
        </w:tc>
      </w:tr>
      <w:tr w:rsidR="000B3605" w14:paraId="1214F35E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23742188" w14:textId="77777777" w:rsidR="000B3605" w:rsidRDefault="00000000">
            <w:pPr>
              <w:widowControl/>
              <w:jc w:val="center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>Total dose (IU)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39371F85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2368.75 ± 999.45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12C1053D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2442.11 ± 859.06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11F2B96C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-0.392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27C029EB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0.704</w:t>
            </w:r>
          </w:p>
        </w:tc>
      </w:tr>
      <w:tr w:rsidR="000B3605" w14:paraId="24E46DA7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48C90C34" w14:textId="77777777" w:rsidR="000B3605" w:rsidRDefault="00000000">
            <w:pPr>
              <w:widowControl/>
              <w:jc w:val="center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>Duration (days)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63E6036D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11.14 ± 1.58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0A1E52F4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11.11 ± 2.02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486112C3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0.013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4F199E8D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1.000</w:t>
            </w:r>
          </w:p>
        </w:tc>
      </w:tr>
      <w:tr w:rsidR="000B3605" w14:paraId="4B5E150E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6A4F5EC1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HCG Day Indicators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01F31012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64BC42FA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256252C2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480D901A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</w:tr>
      <w:tr w:rsidR="000B3605" w14:paraId="04DF0C2A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735A8B3B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 xml:space="preserve">　　</w:t>
            </w: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E2 (pg/ml)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739C4BC5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2692.62 ± 1095.39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4E13AFA3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2410.45 ± 1207.27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6445EFC8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0.785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6A0CB740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0.437</w:t>
            </w:r>
          </w:p>
        </w:tc>
      </w:tr>
      <w:tr w:rsidR="000B3605" w14:paraId="0B5B58CE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7BE248AC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 xml:space="preserve">　　</w:t>
            </w: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LH (IU/L)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330AEF23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1.48 ± 1.36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4584E6E9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1.51 ± 2.12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169B4047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0.758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5CFDB025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0.456</w:t>
            </w:r>
          </w:p>
        </w:tc>
      </w:tr>
      <w:tr w:rsidR="000B3605" w14:paraId="32868D6E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4A6A96C0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 xml:space="preserve">　　</w:t>
            </w:r>
            <w:r>
              <w:rPr>
                <w:rStyle w:val="a4"/>
                <w:rFonts w:ascii="Times New Roman" w:hAnsi="Times New Roman" w:cs="Times New Roman" w:hint="eastAsia"/>
                <w:b w:val="0"/>
                <w:color w:val="1F1F1F"/>
                <w:kern w:val="0"/>
                <w:sz w:val="20"/>
                <w:szCs w:val="20"/>
                <w:lang w:bidi="ar"/>
              </w:rPr>
              <w:t>P</w:t>
            </w: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 xml:space="preserve"> (ng/ml)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76261B43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0.69 ± 0.28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2EF0DF8A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0.93 ± 0.90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69BC70E5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-0.876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7D43F121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0.388</w:t>
            </w:r>
          </w:p>
        </w:tc>
      </w:tr>
      <w:tr w:rsidR="000B3605" w14:paraId="26B70B75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6EEC73F9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Embryological Outcomes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002A0E73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6878EFF9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029B0505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101C3F5A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</w:tr>
      <w:tr w:rsidR="000B3605" w14:paraId="066C93EA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573F54FB" w14:textId="77777777" w:rsidR="000B3605" w:rsidRDefault="00000000">
            <w:pPr>
              <w:widowControl/>
              <w:jc w:val="center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>Oocytes retrieved (n)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33ABF3FB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12.45 ± 4.01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66BBB302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11.26 ± 4.41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49CF30DD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0.906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2C925FA9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0.370</w:t>
            </w:r>
          </w:p>
        </w:tc>
      </w:tr>
      <w:tr w:rsidR="000B3605" w14:paraId="3E2943B8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0E73305B" w14:textId="77777777" w:rsidR="000B3605" w:rsidRDefault="00000000">
            <w:pPr>
              <w:widowControl/>
              <w:ind w:firstLine="400"/>
              <w:jc w:val="center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>Transferable embryos (n)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7412DD4F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6.09 ± 3.21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12C12021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5.16 ± 4.10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15FA5234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0.817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3F3061EB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0.419</w:t>
            </w:r>
          </w:p>
        </w:tc>
      </w:tr>
      <w:tr w:rsidR="000B3605" w14:paraId="281C8CE6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5017D165" w14:textId="77777777" w:rsidR="000B3605" w:rsidRDefault="00000000">
            <w:pPr>
              <w:widowControl/>
              <w:ind w:firstLine="400"/>
              <w:jc w:val="center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>High-quality embryos (n)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3CC8EA94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4.95 ± 2.90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02DC1646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4.21 ± 3.58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504F1B20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1.163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05D06E1A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0.245</w:t>
            </w:r>
          </w:p>
        </w:tc>
      </w:tr>
      <w:tr w:rsidR="000B3605" w14:paraId="113061D1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0F3E7BB7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Number of embryos transferred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6B1CCDC1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4B0E60BF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01A24DFE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0.000</w:t>
            </w: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4A96AB24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0.994</w:t>
            </w:r>
          </w:p>
        </w:tc>
      </w:tr>
      <w:tr w:rsidR="000B3605" w14:paraId="7A4728E9" w14:textId="77777777">
        <w:tc>
          <w:tcPr>
            <w:tcW w:w="1289" w:type="pct"/>
            <w:tcBorders>
              <w:tl2br w:val="nil"/>
              <w:tr2bl w:val="nil"/>
            </w:tcBorders>
            <w:vAlign w:val="center"/>
          </w:tcPr>
          <w:p w14:paraId="082556C9" w14:textId="77777777" w:rsidR="000B3605" w:rsidRDefault="00000000">
            <w:pPr>
              <w:widowControl/>
              <w:jc w:val="center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>1 embryo</w:t>
            </w:r>
          </w:p>
        </w:tc>
        <w:tc>
          <w:tcPr>
            <w:tcW w:w="1232" w:type="pct"/>
            <w:tcBorders>
              <w:tl2br w:val="nil"/>
              <w:tr2bl w:val="nil"/>
            </w:tcBorders>
            <w:vAlign w:val="center"/>
          </w:tcPr>
          <w:p w14:paraId="1B7F17EA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15 (68.18%)</w:t>
            </w:r>
          </w:p>
        </w:tc>
        <w:tc>
          <w:tcPr>
            <w:tcW w:w="1078" w:type="pct"/>
            <w:tcBorders>
              <w:tl2br w:val="nil"/>
              <w:tr2bl w:val="nil"/>
            </w:tcBorders>
            <w:vAlign w:val="center"/>
          </w:tcPr>
          <w:p w14:paraId="75C53D01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12 (63.16%)</w:t>
            </w:r>
          </w:p>
        </w:tc>
        <w:tc>
          <w:tcPr>
            <w:tcW w:w="877" w:type="pct"/>
            <w:tcBorders>
              <w:tl2br w:val="nil"/>
              <w:tr2bl w:val="nil"/>
            </w:tcBorders>
            <w:vAlign w:val="center"/>
          </w:tcPr>
          <w:p w14:paraId="2AC236C4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22" w:type="pct"/>
            <w:tcBorders>
              <w:tl2br w:val="nil"/>
              <w:tr2bl w:val="nil"/>
            </w:tcBorders>
            <w:vAlign w:val="center"/>
          </w:tcPr>
          <w:p w14:paraId="77BBCA27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</w:tr>
      <w:tr w:rsidR="000B3605" w14:paraId="0450BEC7" w14:textId="77777777">
        <w:trPr>
          <w:trHeight w:val="90"/>
        </w:trPr>
        <w:tc>
          <w:tcPr>
            <w:tcW w:w="1289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16F95E52" w14:textId="77777777" w:rsidR="000B3605" w:rsidRDefault="00000000">
            <w:pPr>
              <w:widowControl/>
              <w:jc w:val="center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>2 embryos</w:t>
            </w:r>
          </w:p>
        </w:tc>
        <w:tc>
          <w:tcPr>
            <w:tcW w:w="1232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77A42403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7 (31.82%)</w:t>
            </w:r>
          </w:p>
        </w:tc>
        <w:tc>
          <w:tcPr>
            <w:tcW w:w="1078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6F067814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  <w:t>7 (36.84%)</w:t>
            </w:r>
          </w:p>
        </w:tc>
        <w:tc>
          <w:tcPr>
            <w:tcW w:w="877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6639942B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522" w:type="pct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14:paraId="49F62E08" w14:textId="77777777" w:rsidR="000B3605" w:rsidRDefault="000B3605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</w:p>
        </w:tc>
      </w:tr>
      <w:tr w:rsidR="000B3605" w14:paraId="5BF4AA35" w14:textId="77777777">
        <w:trPr>
          <w:trHeight w:val="90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  <w:tl2br w:val="nil"/>
              <w:tr2bl w:val="nil"/>
            </w:tcBorders>
            <w:shd w:val="clear" w:color="auto" w:fill="D0CECE" w:themeFill="background2" w:themeFillShade="E6"/>
            <w:vAlign w:val="center"/>
          </w:tcPr>
          <w:p w14:paraId="49E471F5" w14:textId="77777777" w:rsidR="000B3605" w:rsidRDefault="00000000">
            <w:pPr>
              <w:widowControl/>
              <w:jc w:val="left"/>
              <w:rPr>
                <w:rStyle w:val="a4"/>
                <w:rFonts w:ascii="Times New Roman" w:hAnsi="Times New Roman" w:cs="Times New Roman"/>
                <w:b w:val="0"/>
                <w:color w:val="1F1F1F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AMH</w:t>
            </w: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 xml:space="preserve"> = anti-müllerian hormone; </w:t>
            </w: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BMI</w:t>
            </w: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 xml:space="preserve"> = body mass index; </w:t>
            </w: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E2</w:t>
            </w: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 xml:space="preserve"> = estradiol; </w:t>
            </w: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FSH</w:t>
            </w: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 xml:space="preserve"> = follicle-stimulating hormone; </w:t>
            </w: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Gn</w:t>
            </w: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 xml:space="preserve"> = gonadotropin; </w:t>
            </w: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HCG</w:t>
            </w: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 xml:space="preserve"> = human chorionic gonadotropin; </w:t>
            </w: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LH</w:t>
            </w: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 xml:space="preserve"> = luteinizing hormone; </w:t>
            </w: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PRL</w:t>
            </w: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 xml:space="preserve"> = prolactin; </w:t>
            </w:r>
            <w:r>
              <w:rPr>
                <w:rFonts w:ascii="Times New Roman" w:hAnsi="Times New Roman" w:cs="Times New Roman"/>
                <w:b/>
                <w:bCs/>
                <w:color w:val="1F1F1F"/>
                <w:kern w:val="0"/>
                <w:sz w:val="20"/>
                <w:szCs w:val="20"/>
                <w:lang w:bidi="ar"/>
              </w:rPr>
              <w:t>T</w:t>
            </w:r>
            <w:r>
              <w:rPr>
                <w:rFonts w:ascii="Times New Roman" w:hAnsi="Times New Roman" w:cs="Times New Roman"/>
                <w:color w:val="1F1F1F"/>
                <w:kern w:val="0"/>
                <w:sz w:val="20"/>
                <w:szCs w:val="20"/>
                <w:lang w:bidi="ar"/>
              </w:rPr>
              <w:t xml:space="preserve"> = testosterone</w:t>
            </w:r>
          </w:p>
        </w:tc>
      </w:tr>
    </w:tbl>
    <w:p w14:paraId="271D0A1F" w14:textId="77777777" w:rsidR="000B3605" w:rsidRDefault="000B3605">
      <w:pPr>
        <w:rPr>
          <w:rFonts w:ascii="Times New Roman" w:hAnsi="Times New Roman" w:cs="Times New Roman"/>
        </w:rPr>
      </w:pPr>
    </w:p>
    <w:sectPr w:rsidR="000B36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auto"/>
    <w:pitch w:val="default"/>
    <w:sig w:usb0="E0002AEF" w:usb1="C0007841" w:usb2="00000009" w:usb3="00000000" w:csb0="400001FF" w:csb1="FFFF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embedSystemFonts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DE4BA23B"/>
    <w:rsid w:val="000B3605"/>
    <w:rsid w:val="0019782C"/>
    <w:rsid w:val="00397F29"/>
    <w:rsid w:val="004B2A96"/>
    <w:rsid w:val="00521B7E"/>
    <w:rsid w:val="006063E5"/>
    <w:rsid w:val="007405FD"/>
    <w:rsid w:val="00912934"/>
    <w:rsid w:val="00AA2DFB"/>
    <w:rsid w:val="00BC4CE7"/>
    <w:rsid w:val="00BF6BBA"/>
    <w:rsid w:val="00D45B90"/>
    <w:rsid w:val="77BF461E"/>
    <w:rsid w:val="77FACAEA"/>
    <w:rsid w:val="7EBFA4B4"/>
    <w:rsid w:val="DE4BA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62949DBE-7BD8-864D-81CB-D0265E6AC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1376</Characters>
  <Application>Microsoft Office Word</Application>
  <DocSecurity>0</DocSecurity>
  <Lines>152</Lines>
  <Paragraphs>114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石灏</dc:creator>
  <cp:lastModifiedBy>chan</cp:lastModifiedBy>
  <cp:revision>2</cp:revision>
  <dcterms:created xsi:type="dcterms:W3CDTF">2026-03-26T07:50:00Z</dcterms:created>
  <dcterms:modified xsi:type="dcterms:W3CDTF">2026-03-26T07:50:00Z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F2CB046AC7DDEF96C0BEA16979DDC251_41</vt:lpwstr>
  </property>
</Properties>
</file>