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2DD" w:rsidRDefault="00AF5130">
      <w:pPr>
        <w:pStyle w:val="Heading1"/>
        <w:spacing w:after="240" w:line="480" w:lineRule="auto"/>
        <w:rPr>
          <w:rFonts w:cs="Times New Roman"/>
          <w:sz w:val="22"/>
          <w:szCs w:val="22"/>
        </w:rPr>
      </w:pPr>
      <w:r>
        <w:rPr>
          <w:rFonts w:cs="Times New Roman"/>
          <w:sz w:val="22"/>
          <w:szCs w:val="22"/>
        </w:rPr>
        <w:t>Additional Information:</w:t>
      </w:r>
    </w:p>
    <w:p w:rsidR="009B52DD" w:rsidRDefault="00AF5130">
      <w:pPr>
        <w:spacing w:after="0" w:line="480" w:lineRule="auto"/>
        <w:rPr>
          <w:rFonts w:cs="Times New Roman"/>
          <w:b/>
          <w:bCs/>
        </w:rPr>
      </w:pPr>
      <w:r>
        <w:rPr>
          <w:rFonts w:cs="Times New Roman"/>
          <w:b/>
          <w:bCs/>
        </w:rPr>
        <w:t>Additional</w:t>
      </w:r>
      <w:r w:rsidR="009B52DD">
        <w:rPr>
          <w:rFonts w:cs="Times New Roman"/>
          <w:b/>
          <w:bCs/>
        </w:rPr>
        <w:t xml:space="preserve"> Methods</w:t>
      </w:r>
    </w:p>
    <w:p w:rsidR="009B52DD" w:rsidRDefault="009B52DD">
      <w:pPr>
        <w:spacing w:line="480" w:lineRule="auto"/>
        <w:rPr>
          <w:rFonts w:cs="Times New Roman"/>
        </w:rPr>
      </w:pPr>
      <w:proofErr w:type="gramStart"/>
      <w:r>
        <w:rPr>
          <w:rFonts w:cs="Times New Roman"/>
          <w:b/>
          <w:bCs/>
        </w:rPr>
        <w:t>HR MAS MRS acquisition and data processing.</w:t>
      </w:r>
      <w:proofErr w:type="gramEnd"/>
      <w:r>
        <w:rPr>
          <w:rFonts w:cs="Times New Roman"/>
          <w:b/>
          <w:bCs/>
        </w:rPr>
        <w:t xml:space="preserve"> </w:t>
      </w:r>
      <w:r>
        <w:rPr>
          <w:rFonts w:cs="Times New Roman"/>
        </w:rPr>
        <w:t xml:space="preserve">Before HR MAS MRS experiments, 3 µL cold  sodium formate in D2O (24.29mM) was added to a leak-proof disposable 30µL insert  (Bruker, Biospin GmbH, Germany) as a chemical shift reference. Tissue samples were cut to fit the insert on a dedicated work station designed to keep the samples frozen </w:t>
      </w:r>
      <w:r>
        <w:rPr>
          <w:rFonts w:cs="Times New Roman"/>
        </w:rPr>
        <w:fldChar w:fldCharType="begin"/>
      </w:r>
      <w:r w:rsidR="0084542F">
        <w:rPr>
          <w:rFonts w:cs="Times New Roman"/>
        </w:rPr>
        <w:instrText xml:space="preserve"> ADDIN EN.CITE &lt;EndNote&gt;&lt;Cite&gt;&lt;Author&gt;Giskeødegård&lt;/Author&gt;&lt;RecNum&gt;56&lt;/RecNum&gt;&lt;DisplayText&gt;[1]&lt;/DisplayText&gt;&lt;record&gt;&lt;rec-number&gt;56&lt;/rec-number&gt;&lt;foreign-keys&gt;&lt;key app="EN" db-id="tatd9a52yes9xpezsd7pseexerf2vfsrz5sx"&gt;56&lt;/key&gt;&lt;/foreign-keys&gt;&lt;ref-type name="Book Section"&gt;5&lt;/ref-type&gt;&lt;contributors&gt;&lt;authors&gt;&lt;author&gt;Giskeødegård, Guro F&lt;/author&gt;&lt;author&gt;Cao, Maria D&lt;/author&gt;&lt;author&gt;Bathen, Tone F&lt;/author&gt;&lt;/authors&gt;&lt;secondary-authors&gt;&lt;author&gt;Bjerrum, Jacob T&lt;/author&gt;&lt;/secondary-authors&gt;&lt;/contributors&gt;&lt;titles&gt;&lt;title&gt;High-Resolution Magic-Angle-Spinning NMR Spectroscopy of Intact Tissue&lt;/title&gt;&lt;secondary-title&gt;Metabonomics: Methods and Protocols&lt;/secondary-title&gt;&lt;tertiary-title&gt;Methods in Molecular Biology &lt;/tertiary-title&gt;&lt;/titles&gt;&lt;pages&gt;37-50&lt;/pages&gt;&lt;volume&gt;1277&lt;/volume&gt;&lt;dates&gt;&lt;year&gt;2015&lt;/year&gt;&lt;/dates&gt;&lt;publisher&gt;Springer New York&lt;/publisher&gt;&lt;urls&gt;&lt;/urls&gt;&lt;/record&gt;&lt;/Cite&gt;&lt;/EndNote&gt;</w:instrText>
      </w:r>
      <w:r>
        <w:rPr>
          <w:rFonts w:cs="Times New Roman"/>
        </w:rPr>
        <w:fldChar w:fldCharType="separate"/>
      </w:r>
      <w:r w:rsidR="0084542F">
        <w:rPr>
          <w:rFonts w:cs="Times New Roman"/>
          <w:noProof/>
        </w:rPr>
        <w:t>[</w:t>
      </w:r>
      <w:hyperlink w:anchor="_ENREF_1" w:tooltip="Giskeødegård, 2015 #56" w:history="1">
        <w:r w:rsidR="0084542F">
          <w:rPr>
            <w:rFonts w:cs="Times New Roman"/>
            <w:noProof/>
          </w:rPr>
          <w:t>1</w:t>
        </w:r>
      </w:hyperlink>
      <w:r w:rsidR="0084542F">
        <w:rPr>
          <w:rFonts w:cs="Times New Roman"/>
          <w:noProof/>
        </w:rPr>
        <w:t>]</w:t>
      </w:r>
      <w:r>
        <w:rPr>
          <w:rFonts w:cs="Times New Roman"/>
        </w:rPr>
        <w:fldChar w:fldCharType="end"/>
      </w:r>
      <w:r>
        <w:rPr>
          <w:rFonts w:cs="Times New Roman"/>
        </w:rPr>
        <w:t xml:space="preserve">. The insert containing the frozen sample was placed in a 4-mm diameter zirconium rotor (Bruker, Biospin GmbH, </w:t>
      </w:r>
      <w:proofErr w:type="gramStart"/>
      <w:r>
        <w:rPr>
          <w:rFonts w:cs="Times New Roman"/>
        </w:rPr>
        <w:t>Germany</w:t>
      </w:r>
      <w:proofErr w:type="gramEnd"/>
      <w:r>
        <w:rPr>
          <w:rFonts w:cs="Times New Roman"/>
        </w:rPr>
        <w:t>) and kept at -20 ˚C for maximum 8 hours before the experiments. Samples were spun at 5000 Hz and experiments run at 5 ˚C. The samples were allowed 5 minutes temperature acclimatization before shimming and spectral acquisition. Spin-echo spectra were recorded using a Carr-Purcell-</w:t>
      </w:r>
      <w:proofErr w:type="spellStart"/>
      <w:r>
        <w:rPr>
          <w:rFonts w:cs="Times New Roman"/>
        </w:rPr>
        <w:t>Meibo</w:t>
      </w:r>
      <w:bookmarkStart w:id="0" w:name="_GoBack"/>
      <w:bookmarkEnd w:id="0"/>
      <w:r>
        <w:rPr>
          <w:rFonts w:cs="Times New Roman"/>
        </w:rPr>
        <w:t>om</w:t>
      </w:r>
      <w:proofErr w:type="spellEnd"/>
      <w:r>
        <w:rPr>
          <w:rFonts w:cs="Times New Roman"/>
        </w:rPr>
        <w:t>-Gill (</w:t>
      </w:r>
      <w:proofErr w:type="spellStart"/>
      <w:r>
        <w:rPr>
          <w:rFonts w:cs="Times New Roman"/>
        </w:rPr>
        <w:t>cpmg</w:t>
      </w:r>
      <w:proofErr w:type="spellEnd"/>
      <w:r>
        <w:rPr>
          <w:rFonts w:cs="Times New Roman"/>
        </w:rPr>
        <w:t xml:space="preserve">) pulse sequence (cpmgpr1d; Bruker) with 4s water suppression prior to a 90° excitation pulse. T2 filtering was obtained using a delay of 0.6 </w:t>
      </w:r>
      <w:proofErr w:type="spellStart"/>
      <w:r>
        <w:rPr>
          <w:rFonts w:cs="Times New Roman"/>
        </w:rPr>
        <w:t>ms</w:t>
      </w:r>
      <w:proofErr w:type="spellEnd"/>
      <w:r>
        <w:rPr>
          <w:rFonts w:cs="Times New Roman"/>
        </w:rPr>
        <w:t xml:space="preserve"> between each 180˚ pulse to suppress macromolecules and lipid signals and enhance signal from small molecules. This resulted in an effective TE of 77 </w:t>
      </w:r>
      <w:proofErr w:type="spellStart"/>
      <w:r>
        <w:rPr>
          <w:rFonts w:cs="Times New Roman"/>
        </w:rPr>
        <w:t>ms.</w:t>
      </w:r>
      <w:proofErr w:type="spellEnd"/>
      <w:r>
        <w:rPr>
          <w:rFonts w:cs="Times New Roman"/>
        </w:rPr>
        <w:t xml:space="preserve"> </w:t>
      </w:r>
      <w:proofErr w:type="gramStart"/>
      <w:r>
        <w:rPr>
          <w:rFonts w:cs="Times New Roman"/>
        </w:rPr>
        <w:t>A</w:t>
      </w:r>
      <w:proofErr w:type="gramEnd"/>
      <w:r>
        <w:rPr>
          <w:rFonts w:cs="Times New Roman"/>
        </w:rPr>
        <w:t xml:space="preserve"> total of 256 scans over a spectral region of 12 kHz was collected into 72k complex data points with an acquisition time of 3.07 s. The FIDs were multiplied by a 0.30 Hz exponential weighting function and Fourier transformed into 64k real points. Phase correction was performed automatically for each spectrum using TopSpin 3.1 (Bruker). Further preprocessing of the HR MAS spectra were performed in </w:t>
      </w:r>
      <w:proofErr w:type="spellStart"/>
      <w:r>
        <w:rPr>
          <w:rFonts w:cs="Times New Roman"/>
        </w:rPr>
        <w:t>Matlab</w:t>
      </w:r>
      <w:proofErr w:type="spellEnd"/>
      <w:r>
        <w:rPr>
          <w:rFonts w:cs="Times New Roman"/>
        </w:rPr>
        <w:t xml:space="preserve"> R2013b (The </w:t>
      </w:r>
      <w:proofErr w:type="spellStart"/>
      <w:r>
        <w:rPr>
          <w:rFonts w:cs="Times New Roman"/>
        </w:rPr>
        <w:t>Mathworks</w:t>
      </w:r>
      <w:proofErr w:type="spellEnd"/>
      <w:r>
        <w:rPr>
          <w:rFonts w:cs="Times New Roman"/>
        </w:rPr>
        <w:t xml:space="preserve">, Inc., USA). Chemical shifts were referenced to the creatine peak at 3.92 ppm. Baseline correction was performed using asymmetric least squares </w:t>
      </w:r>
      <w:r>
        <w:rPr>
          <w:rFonts w:cs="Times New Roman"/>
        </w:rPr>
        <w:fldChar w:fldCharType="begin"/>
      </w:r>
      <w:r w:rsidR="0084542F">
        <w:rPr>
          <w:rFonts w:cs="Times New Roman"/>
        </w:rPr>
        <w:instrText xml:space="preserve"> ADDIN EN.CITE &lt;EndNote&gt;&lt;Cite&gt;&lt;Author&gt;Eilers&lt;/Author&gt;&lt;Year&gt;2004&lt;/Year&gt;&lt;RecNum&gt;30&lt;/RecNum&gt;&lt;DisplayText&gt;[2]&lt;/DisplayText&gt;&lt;record&gt;&lt;rec-number&gt;30&lt;/rec-number&gt;&lt;foreign-keys&gt;&lt;key app="EN" db-id="tatd9a52yes9xpezsd7pseexerf2vfsrz5sx"&gt;30&lt;/key&gt;&lt;/foreign-keys&gt;&lt;ref-type name="Journal Article"&gt;17&lt;/ref-type&gt;&lt;contributors&gt;&lt;authors&gt;&lt;author&gt;Eilers, Paul HC&lt;/author&gt;&lt;/authors&gt;&lt;/contributors&gt;&lt;titles&gt;&lt;title&gt;Parametric time warping&lt;/title&gt;&lt;secondary-title&gt;Anal Chem&lt;/secondary-title&gt;&lt;/titles&gt;&lt;periodical&gt;&lt;full-title&gt;Anal Chem&lt;/full-title&gt;&lt;/periodical&gt;&lt;pages&gt;404-411&lt;/pages&gt;&lt;volume&gt;76&lt;/volume&gt;&lt;number&gt;2&lt;/number&gt;&lt;dates&gt;&lt;year&gt;2004&lt;/year&gt;&lt;/dates&gt;&lt;isbn&gt;0003-2700&lt;/isbn&gt;&lt;urls&gt;&lt;/urls&gt;&lt;/record&gt;&lt;/Cite&gt;&lt;/EndNote&gt;</w:instrText>
      </w:r>
      <w:r>
        <w:rPr>
          <w:rFonts w:cs="Times New Roman"/>
        </w:rPr>
        <w:fldChar w:fldCharType="separate"/>
      </w:r>
      <w:r w:rsidR="0084542F">
        <w:rPr>
          <w:rFonts w:cs="Times New Roman"/>
          <w:noProof/>
        </w:rPr>
        <w:t>[</w:t>
      </w:r>
      <w:hyperlink w:anchor="_ENREF_2" w:tooltip="Eilers, 2004 #30" w:history="1">
        <w:r w:rsidR="0084542F">
          <w:rPr>
            <w:rFonts w:cs="Times New Roman"/>
            <w:noProof/>
          </w:rPr>
          <w:t>2</w:t>
        </w:r>
      </w:hyperlink>
      <w:r w:rsidR="0084542F">
        <w:rPr>
          <w:rFonts w:cs="Times New Roman"/>
          <w:noProof/>
        </w:rPr>
        <w:t>]</w:t>
      </w:r>
      <w:r>
        <w:rPr>
          <w:rFonts w:cs="Times New Roman"/>
        </w:rPr>
        <w:fldChar w:fldCharType="end"/>
      </w:r>
      <w:r>
        <w:rPr>
          <w:rFonts w:cs="Times New Roman"/>
        </w:rPr>
        <w:t xml:space="preserve"> with parameters </w:t>
      </w:r>
      <w:r>
        <w:rPr>
          <w:rFonts w:ascii="Cambria Math" w:hAnsi="Cambria Math" w:cs="Cambria Math"/>
        </w:rPr>
        <w:t>𝜆</w:t>
      </w:r>
      <w:r>
        <w:rPr>
          <w:rFonts w:cs="Times New Roman"/>
        </w:rPr>
        <w:t xml:space="preserve"> = 1e7 and p = 0.0001, and baseline offset was adjusted by setting the minimum value of each spectrum to zero by subtracting the lowest value. Peak alignment was performed using icoshift </w:t>
      </w:r>
      <w:r>
        <w:rPr>
          <w:rFonts w:cs="Times New Roman"/>
        </w:rPr>
        <w:fldChar w:fldCharType="begin"/>
      </w:r>
      <w:r w:rsidR="0084542F">
        <w:rPr>
          <w:rFonts w:cs="Times New Roman"/>
        </w:rPr>
        <w:instrText xml:space="preserve"> ADDIN EN.CITE &lt;EndNote&gt;&lt;Cite&gt;&lt;Author&gt;Savorani&lt;/Author&gt;&lt;Year&gt;2010&lt;/Year&gt;&lt;RecNum&gt;31&lt;/RecNum&gt;&lt;DisplayText&gt;[3]&lt;/DisplayText&gt;&lt;record&gt;&lt;rec-number&gt;31&lt;/rec-number&gt;&lt;foreign-keys&gt;&lt;key app="EN" db-id="tatd9a52yes9xpezsd7pseexerf2vfsrz5sx"&gt;31&lt;/key&gt;&lt;/foreign-keys&gt;&lt;ref-type name="Journal Article"&gt;17&lt;/ref-type&gt;&lt;contributors&gt;&lt;authors&gt;&lt;author&gt;Savorani, Francesco&lt;/author&gt;&lt;author&gt;Tomasi, Giorgio&lt;/author&gt;&lt;author&gt;Engelsen, Søren Balling&lt;/author&gt;&lt;/authors&gt;&lt;/contributors&gt;&lt;titles&gt;&lt;title&gt;icoshift: A versatile tool for the rapid alignment of 1D NMR spectra&lt;/title&gt;&lt;secondary-title&gt;J Magn Reson&lt;/secondary-title&gt;&lt;/titles&gt;&lt;periodical&gt;&lt;full-title&gt;J Magn Reson&lt;/full-title&gt;&lt;/periodical&gt;&lt;pages&gt;190-202&lt;/pages&gt;&lt;volume&gt;202&lt;/volume&gt;&lt;number&gt;2&lt;/number&gt;&lt;dates&gt;&lt;year&gt;2010&lt;/year&gt;&lt;/dates&gt;&lt;isbn&gt;1090-7807&lt;/isbn&gt;&lt;urls&gt;&lt;/urls&gt;&lt;/record&gt;&lt;/Cite&gt;&lt;/EndNote&gt;</w:instrText>
      </w:r>
      <w:r>
        <w:rPr>
          <w:rFonts w:cs="Times New Roman"/>
        </w:rPr>
        <w:fldChar w:fldCharType="separate"/>
      </w:r>
      <w:r w:rsidR="0084542F">
        <w:rPr>
          <w:rFonts w:cs="Times New Roman"/>
          <w:noProof/>
        </w:rPr>
        <w:t>[</w:t>
      </w:r>
      <w:hyperlink w:anchor="_ENREF_3" w:tooltip="Savorani, 2010 #31" w:history="1">
        <w:r w:rsidR="0084542F">
          <w:rPr>
            <w:rFonts w:cs="Times New Roman"/>
            <w:noProof/>
          </w:rPr>
          <w:t>3</w:t>
        </w:r>
      </w:hyperlink>
      <w:r w:rsidR="0084542F">
        <w:rPr>
          <w:rFonts w:cs="Times New Roman"/>
          <w:noProof/>
        </w:rPr>
        <w:t>]</w:t>
      </w:r>
      <w:r>
        <w:rPr>
          <w:rFonts w:cs="Times New Roman"/>
        </w:rPr>
        <w:fldChar w:fldCharType="end"/>
      </w:r>
      <w:r>
        <w:rPr>
          <w:rFonts w:cs="Times New Roman"/>
        </w:rPr>
        <w:t>.</w:t>
      </w:r>
    </w:p>
    <w:p w:rsidR="009B52DD" w:rsidRDefault="009B52DD">
      <w:pPr>
        <w:spacing w:line="480" w:lineRule="auto"/>
        <w:rPr>
          <w:rFonts w:cs="Times New Roman"/>
        </w:rPr>
      </w:pPr>
      <w:r>
        <w:rPr>
          <w:rFonts w:cs="Times New Roman"/>
          <w:b/>
          <w:bCs/>
        </w:rPr>
        <w:t xml:space="preserve">Reverse Phase Protein Array (RPPA). </w:t>
      </w:r>
      <w:r>
        <w:rPr>
          <w:rFonts w:cs="Times New Roman"/>
        </w:rPr>
        <w:t xml:space="preserve">Tumor tissue was lysed by homogenization in lysis buffer containing proteinase inhibitors and phosphatase inhibitors. The tumor lysates were diluted in 1.33 mg/ml concentration as assessed by </w:t>
      </w:r>
      <w:proofErr w:type="spellStart"/>
      <w:r>
        <w:rPr>
          <w:rFonts w:cs="Times New Roman"/>
        </w:rPr>
        <w:t>bicinchonic</w:t>
      </w:r>
      <w:proofErr w:type="spellEnd"/>
      <w:r>
        <w:rPr>
          <w:rFonts w:cs="Times New Roman"/>
        </w:rPr>
        <w:t xml:space="preserve"> acid assay (BCA) and boiled in 1% SDS and 2-mercaptoethanol. </w:t>
      </w:r>
      <w:r>
        <w:rPr>
          <w:rFonts w:cs="Times New Roman"/>
        </w:rPr>
        <w:lastRenderedPageBreak/>
        <w:t xml:space="preserve">Supernatants were manually diluted in five serial 2-fold dilutions with lysis buffer. The samples were spotted onto and immobilized on nitrocellulose-coated FAST slides. The slides were probed with 151 primary antibodies (Supplementary Table 1) in appropriate dilutions. The signal intensity was captured by a biotin conjugated secondary antibody and was amplified by </w:t>
      </w:r>
      <w:proofErr w:type="spellStart"/>
      <w:r>
        <w:rPr>
          <w:rFonts w:cs="Times New Roman"/>
        </w:rPr>
        <w:t>Dako</w:t>
      </w:r>
      <w:proofErr w:type="spellEnd"/>
      <w:r>
        <w:rPr>
          <w:rFonts w:cs="Times New Roman"/>
        </w:rPr>
        <w:t xml:space="preserve"> </w:t>
      </w:r>
      <w:proofErr w:type="spellStart"/>
      <w:r>
        <w:rPr>
          <w:rFonts w:cs="Times New Roman"/>
        </w:rPr>
        <w:t>Cytomation-catalysed</w:t>
      </w:r>
      <w:proofErr w:type="spellEnd"/>
      <w:r>
        <w:rPr>
          <w:rFonts w:cs="Times New Roman"/>
        </w:rPr>
        <w:t xml:space="preserve"> system (</w:t>
      </w:r>
      <w:proofErr w:type="spellStart"/>
      <w:r>
        <w:rPr>
          <w:rFonts w:cs="Times New Roman"/>
        </w:rPr>
        <w:t>Dako</w:t>
      </w:r>
      <w:proofErr w:type="spellEnd"/>
      <w:r>
        <w:rPr>
          <w:rFonts w:cs="Times New Roman"/>
        </w:rPr>
        <w:t xml:space="preserve">, </w:t>
      </w:r>
      <w:proofErr w:type="spellStart"/>
      <w:r>
        <w:rPr>
          <w:rFonts w:cs="Times New Roman"/>
        </w:rPr>
        <w:t>Glostrup</w:t>
      </w:r>
      <w:proofErr w:type="spellEnd"/>
      <w:r>
        <w:rPr>
          <w:rFonts w:cs="Times New Roman"/>
        </w:rPr>
        <w:t xml:space="preserve">, Denmark). Slides were scanned, analyzed and quantitated using </w:t>
      </w:r>
      <w:proofErr w:type="spellStart"/>
      <w:r>
        <w:rPr>
          <w:rFonts w:cs="Times New Roman"/>
        </w:rPr>
        <w:t>MicroVigene</w:t>
      </w:r>
      <w:proofErr w:type="spellEnd"/>
      <w:r>
        <w:rPr>
          <w:rFonts w:cs="Times New Roman"/>
        </w:rPr>
        <w:t xml:space="preserve"> software (</w:t>
      </w:r>
      <w:proofErr w:type="spellStart"/>
      <w:r>
        <w:rPr>
          <w:rFonts w:cs="Times New Roman"/>
        </w:rPr>
        <w:t>VigeneTech</w:t>
      </w:r>
      <w:proofErr w:type="spellEnd"/>
      <w:r>
        <w:rPr>
          <w:rFonts w:cs="Times New Roman"/>
        </w:rPr>
        <w:t xml:space="preserve"> Inc., </w:t>
      </w:r>
      <w:proofErr w:type="spellStart"/>
      <w:r>
        <w:rPr>
          <w:rFonts w:cs="Times New Roman"/>
        </w:rPr>
        <w:t>Carlise</w:t>
      </w:r>
      <w:proofErr w:type="spellEnd"/>
      <w:r>
        <w:rPr>
          <w:rFonts w:cs="Times New Roman"/>
        </w:rPr>
        <w:t xml:space="preserve">, MA, USA) to generate spot signal intensities. These were then processed by the R package </w:t>
      </w:r>
      <w:proofErr w:type="spellStart"/>
      <w:r>
        <w:rPr>
          <w:rFonts w:cs="Times New Roman"/>
        </w:rPr>
        <w:t>SuperCurve</w:t>
      </w:r>
      <w:proofErr w:type="spellEnd"/>
      <w:r>
        <w:rPr>
          <w:rFonts w:cs="Times New Roman"/>
        </w:rPr>
        <w:t xml:space="preserve"> /version 1.01. The protein concentrations were derived from the </w:t>
      </w:r>
      <w:proofErr w:type="spellStart"/>
      <w:r>
        <w:rPr>
          <w:rFonts w:cs="Times New Roman"/>
        </w:rPr>
        <w:t>supercurve</w:t>
      </w:r>
      <w:proofErr w:type="spellEnd"/>
      <w:r>
        <w:rPr>
          <w:rFonts w:cs="Times New Roman"/>
        </w:rPr>
        <w:t xml:space="preserve"> for each sample by curve fitting, log2-transformed, and the relative concentrations were normalized by median centering of the samples for each of the antibodies </w:t>
      </w:r>
      <w:r>
        <w:rPr>
          <w:rFonts w:cs="Times New Roman"/>
        </w:rPr>
        <w:fldChar w:fldCharType="begin"/>
      </w:r>
      <w:r w:rsidR="0084542F">
        <w:rPr>
          <w:rFonts w:cs="Times New Roman"/>
        </w:rPr>
        <w:instrText xml:space="preserve"> ADDIN EN.CITE &lt;EndNote&gt;&lt;Cite&gt;&lt;Author&gt;Aure&lt;/Author&gt;&lt;Year&gt;2015&lt;/Year&gt;&lt;RecNum&gt;65&lt;/RecNum&gt;&lt;DisplayText&gt;[4]&lt;/DisplayText&gt;&lt;record&gt;&lt;rec-number&gt;65&lt;/rec-number&gt;&lt;foreign-keys&gt;&lt;key app="EN" db-id="tatd9a52yes9xpezsd7pseexerf2vfsrz5sx"&gt;65&lt;/key&gt;&lt;/foreign-keys&gt;&lt;ref-type name="Journal Article"&gt;17&lt;/ref-type&gt;&lt;contributors&gt;&lt;authors&gt;&lt;author&gt;Aure, Miriam Ragle&lt;/author&gt;&lt;author&gt;Jernström, Sandra&lt;/author&gt;&lt;author&gt;Krohn, Marit&lt;/author&gt;&lt;author&gt;Vollan, Hans Kristian Moen&lt;/author&gt;&lt;author&gt;Due, Eldri U&lt;/author&gt;&lt;author&gt;Rødland, Einar&lt;/author&gt;&lt;author&gt;Kåresen, Rolf&lt;/author&gt;&lt;author&gt;Ram, Prahlad&lt;/author&gt;&lt;author&gt;Lu, Yiling&lt;/author&gt;&lt;author&gt;Mills, Gordon B&lt;/author&gt;&lt;/authors&gt;&lt;/contributors&gt;&lt;titles&gt;&lt;title&gt;Integrated analysis reveals microRNA networks coordinately expressed with key proteins in breast cancer&lt;/title&gt;&lt;secondary-title&gt;Genome Med&lt;/secondary-title&gt;&lt;/titles&gt;&lt;periodical&gt;&lt;full-title&gt;Genome Med&lt;/full-title&gt;&lt;/periodical&gt;&lt;volume&gt;7&lt;/volume&gt;&lt;number&gt;1&lt;/number&gt;&lt;dates&gt;&lt;year&gt;2015&lt;/year&gt;&lt;/dates&gt;&lt;urls&gt;&lt;/urls&gt;&lt;/record&gt;&lt;/Cite&gt;&lt;/EndNote&gt;</w:instrText>
      </w:r>
      <w:r>
        <w:rPr>
          <w:rFonts w:cs="Times New Roman"/>
        </w:rPr>
        <w:fldChar w:fldCharType="separate"/>
      </w:r>
      <w:r w:rsidR="0084542F">
        <w:rPr>
          <w:rFonts w:cs="Times New Roman"/>
          <w:noProof/>
        </w:rPr>
        <w:t>[</w:t>
      </w:r>
      <w:hyperlink w:anchor="_ENREF_4" w:tooltip="Aure, 2015 #65" w:history="1">
        <w:r w:rsidR="0084542F">
          <w:rPr>
            <w:rFonts w:cs="Times New Roman"/>
            <w:noProof/>
          </w:rPr>
          <w:t>4</w:t>
        </w:r>
      </w:hyperlink>
      <w:r w:rsidR="0084542F">
        <w:rPr>
          <w:rFonts w:cs="Times New Roman"/>
          <w:noProof/>
        </w:rPr>
        <w:t>]</w:t>
      </w:r>
      <w:r>
        <w:rPr>
          <w:rFonts w:cs="Times New Roman"/>
        </w:rPr>
        <w:fldChar w:fldCharType="end"/>
      </w:r>
      <w:r>
        <w:rPr>
          <w:rFonts w:cs="Times New Roman"/>
        </w:rPr>
        <w:t>.</w:t>
      </w:r>
    </w:p>
    <w:p w:rsidR="009B52DD" w:rsidRDefault="009B52DD">
      <w:pPr>
        <w:spacing w:line="480" w:lineRule="auto"/>
        <w:rPr>
          <w:rFonts w:cs="Times New Roman"/>
        </w:rPr>
      </w:pPr>
      <w:proofErr w:type="gramStart"/>
      <w:r>
        <w:rPr>
          <w:rFonts w:cs="Times New Roman"/>
          <w:b/>
          <w:bCs/>
        </w:rPr>
        <w:t>Statistical analysis.</w:t>
      </w:r>
      <w:proofErr w:type="gramEnd"/>
      <w:r>
        <w:rPr>
          <w:rFonts w:cs="Times New Roman"/>
          <w:b/>
          <w:bCs/>
        </w:rPr>
        <w:t xml:space="preserve"> </w:t>
      </w:r>
      <w:r>
        <w:rPr>
          <w:rFonts w:cs="Times New Roman"/>
        </w:rPr>
        <w:t xml:space="preserve">PLS-DA was performed on mean centered spectra using double cross validation </w:t>
      </w:r>
      <w:r>
        <w:rPr>
          <w:rFonts w:cs="Times New Roman"/>
        </w:rPr>
        <w:fldChar w:fldCharType="begin"/>
      </w:r>
      <w:r w:rsidR="0084542F">
        <w:rPr>
          <w:rFonts w:cs="Times New Roman"/>
        </w:rPr>
        <w:instrText xml:space="preserve"> ADDIN EN.CITE &lt;EndNote&gt;&lt;Cite&gt;&lt;Author&gt;Smilde&lt;/Author&gt;&lt;Year&gt;2013&lt;/Year&gt;&lt;RecNum&gt;36&lt;/RecNum&gt;&lt;DisplayText&gt;[5]&lt;/DisplayText&gt;&lt;record&gt;&lt;rec-number&gt;36&lt;/rec-number&gt;&lt;foreign-keys&gt;&lt;key app="EN" db-id="tatd9a52yes9xpezsd7pseexerf2vfsrz5sx"&gt;36&lt;/key&gt;&lt;/foreign-keys&gt;&lt;ref-type name="Book Section"&gt;5&lt;/ref-type&gt;&lt;contributors&gt;&lt;authors&gt;&lt;author&gt;Smilde, Age K&lt;/author&gt;&lt;author&gt;Hendriks, Margriet M W B&lt;/author&gt;&lt;author&gt;Westerhuis, Johan A&lt;/author&gt;&lt;author&gt;Hoefsloot, Huub C J&lt;/author&gt;&lt;/authors&gt;&lt;secondary-authors&gt;&lt;author&gt;Lämmerhofer, Michael&lt;/author&gt;&lt;author&gt;Weckwerth, Wolfram&lt;/author&gt;&lt;/secondary-authors&gt;&lt;/contributors&gt;&lt;titles&gt;&lt;title&gt;Data processing in metabolomics&lt;/title&gt;&lt;secondary-title&gt;Metabolomics in practice: successful strategies to generate and analyze metabolic data&lt;/secondary-title&gt;&lt;/titles&gt;&lt;dates&gt;&lt;year&gt;2013&lt;/year&gt;&lt;/dates&gt;&lt;publisher&gt;John Wiley &amp;amp; Sons&lt;/publisher&gt;&lt;isbn&gt;3527655891&lt;/isbn&gt;&lt;urls&gt;&lt;/urls&gt;&lt;/record&gt;&lt;/Cite&gt;&lt;/EndNote&gt;</w:instrText>
      </w:r>
      <w:r>
        <w:rPr>
          <w:rFonts w:cs="Times New Roman"/>
        </w:rPr>
        <w:fldChar w:fldCharType="separate"/>
      </w:r>
      <w:r w:rsidR="0084542F">
        <w:rPr>
          <w:rFonts w:cs="Times New Roman"/>
          <w:noProof/>
        </w:rPr>
        <w:t>[</w:t>
      </w:r>
      <w:hyperlink w:anchor="_ENREF_5" w:tooltip="Smilde, 2013 #36" w:history="1">
        <w:r w:rsidR="0084542F">
          <w:rPr>
            <w:rFonts w:cs="Times New Roman"/>
            <w:noProof/>
          </w:rPr>
          <w:t>5</w:t>
        </w:r>
      </w:hyperlink>
      <w:r w:rsidR="0084542F">
        <w:rPr>
          <w:rFonts w:cs="Times New Roman"/>
          <w:noProof/>
        </w:rPr>
        <w:t>]</w:t>
      </w:r>
      <w:r>
        <w:rPr>
          <w:rFonts w:cs="Times New Roman"/>
        </w:rPr>
        <w:fldChar w:fldCharType="end"/>
      </w:r>
      <w:r>
        <w:rPr>
          <w:rFonts w:cs="Times New Roman"/>
        </w:rPr>
        <w:t xml:space="preserve">. </w:t>
      </w:r>
      <w:r w:rsidR="00E41FFF">
        <w:rPr>
          <w:rFonts w:cs="Times New Roman"/>
        </w:rPr>
        <w:t>In the outer loop, t</w:t>
      </w:r>
      <w:r>
        <w:rPr>
          <w:rFonts w:cs="Times New Roman"/>
        </w:rPr>
        <w:t>he model was built on randomly chosen training samples (80 % of the spectra) and used to predict the class of the remaining independent test samples (20 % of the spectra).</w:t>
      </w:r>
      <w:r w:rsidR="00E41FFF">
        <w:rPr>
          <w:rFonts w:cs="Times New Roman"/>
        </w:rPr>
        <w:t xml:space="preserve"> The outer loop was repeated 20 times in total. For each outer loop, 20 </w:t>
      </w:r>
      <w:r w:rsidR="00335362">
        <w:rPr>
          <w:rFonts w:cs="Times New Roman"/>
        </w:rPr>
        <w:t>repetition</w:t>
      </w:r>
      <w:r w:rsidR="00E41FFF">
        <w:rPr>
          <w:rFonts w:cs="Times New Roman"/>
        </w:rPr>
        <w:t xml:space="preserve"> of the inner loop was performed. Here, the training set was again divided into an inner set of training (80 % of the samples) and test (20 % of the samples) samples. The average classification result is calculated based on the outer loop, while the inner loop was used </w:t>
      </w:r>
      <w:r w:rsidR="00335362">
        <w:rPr>
          <w:rFonts w:cs="Times New Roman"/>
        </w:rPr>
        <w:t xml:space="preserve">to </w:t>
      </w:r>
      <w:r w:rsidR="00E41FFF">
        <w:rPr>
          <w:rFonts w:cs="Times New Roman"/>
        </w:rPr>
        <w:t>determine the optimal number of LVs.</w:t>
      </w:r>
      <w:r>
        <w:rPr>
          <w:rFonts w:cs="Times New Roman"/>
        </w:rPr>
        <w:t xml:space="preserve"> To validate that the result is not achieved simply by random predictions, permutation testing was performed. Here Y-data (class labels for the samples) are permutated to resemble random classification. For each permutation 20 random training and test sets are chosen as described for the PLS-DA model. This was repeated 1000 times before the error distribution was compared with the classification error for the original data. P values ≤ 0.01 were considered significant. PCA and PLS-DA were performed in </w:t>
      </w:r>
      <w:proofErr w:type="spellStart"/>
      <w:r>
        <w:rPr>
          <w:rFonts w:cs="Times New Roman"/>
        </w:rPr>
        <w:t>Matlab</w:t>
      </w:r>
      <w:proofErr w:type="spellEnd"/>
      <w:r>
        <w:rPr>
          <w:rFonts w:cs="Times New Roman"/>
        </w:rPr>
        <w:t xml:space="preserve"> using </w:t>
      </w:r>
      <w:proofErr w:type="spellStart"/>
      <w:r>
        <w:rPr>
          <w:rFonts w:cs="Times New Roman"/>
        </w:rPr>
        <w:t>PLS_Toolbox</w:t>
      </w:r>
      <w:proofErr w:type="spellEnd"/>
      <w:r>
        <w:rPr>
          <w:rFonts w:cs="Times New Roman"/>
        </w:rPr>
        <w:t xml:space="preserve"> 7.5.2 (Eigenvector Research, Inc., Wenatchee, USA).</w:t>
      </w:r>
    </w:p>
    <w:p w:rsidR="009B52DD" w:rsidRDefault="009B52DD">
      <w:pPr>
        <w:spacing w:line="480" w:lineRule="auto"/>
        <w:rPr>
          <w:rFonts w:cs="Times New Roman"/>
        </w:rPr>
      </w:pPr>
    </w:p>
    <w:p w:rsidR="009B52DD" w:rsidRDefault="009B52DD">
      <w:pPr>
        <w:spacing w:line="480" w:lineRule="auto"/>
        <w:rPr>
          <w:rFonts w:cs="Times New Roman"/>
          <w:b/>
          <w:bCs/>
        </w:rPr>
      </w:pPr>
      <w:r>
        <w:rPr>
          <w:rFonts w:cs="Times New Roman"/>
          <w:b/>
          <w:bCs/>
        </w:rPr>
        <w:br w:type="page"/>
      </w:r>
    </w:p>
    <w:p w:rsidR="009B52DD" w:rsidRDefault="00AF5130">
      <w:pPr>
        <w:spacing w:line="480" w:lineRule="auto"/>
        <w:rPr>
          <w:rFonts w:cs="Times New Roman"/>
        </w:rPr>
      </w:pPr>
      <w:r>
        <w:rPr>
          <w:rFonts w:cs="Times New Roman"/>
          <w:b/>
          <w:bCs/>
        </w:rPr>
        <w:lastRenderedPageBreak/>
        <w:t>Additional</w:t>
      </w:r>
      <w:r w:rsidR="009B52DD">
        <w:rPr>
          <w:rFonts w:cs="Times New Roman"/>
          <w:b/>
          <w:bCs/>
        </w:rPr>
        <w:t xml:space="preserve"> References</w:t>
      </w:r>
    </w:p>
    <w:p w:rsidR="0084542F" w:rsidRPr="005A772B" w:rsidRDefault="009B52DD" w:rsidP="0084542F">
      <w:pPr>
        <w:spacing w:after="0" w:line="240" w:lineRule="auto"/>
        <w:ind w:left="720" w:hanging="720"/>
        <w:rPr>
          <w:rFonts w:cs="Times New Roman"/>
          <w:noProof/>
        </w:rPr>
      </w:pPr>
      <w:r>
        <w:rPr>
          <w:rFonts w:cs="Times New Roman"/>
        </w:rPr>
        <w:fldChar w:fldCharType="begin"/>
      </w:r>
      <w:r>
        <w:rPr>
          <w:rFonts w:cs="Times New Roman"/>
        </w:rPr>
        <w:instrText xml:space="preserve"> ADDIN EN.REFLIST </w:instrText>
      </w:r>
      <w:r>
        <w:rPr>
          <w:rFonts w:cs="Times New Roman"/>
        </w:rPr>
        <w:fldChar w:fldCharType="separate"/>
      </w:r>
      <w:bookmarkStart w:id="1" w:name="_ENREF_1"/>
      <w:r w:rsidR="0084542F" w:rsidRPr="005A772B">
        <w:rPr>
          <w:rFonts w:cs="Times New Roman"/>
          <w:noProof/>
        </w:rPr>
        <w:t>1.</w:t>
      </w:r>
      <w:r w:rsidR="0084542F" w:rsidRPr="005A772B">
        <w:rPr>
          <w:rFonts w:cs="Times New Roman"/>
          <w:noProof/>
        </w:rPr>
        <w:tab/>
        <w:t xml:space="preserve">Giskeødegård, G.F., M.D. Cao, and T.F. Bathen, </w:t>
      </w:r>
      <w:r w:rsidR="0084542F" w:rsidRPr="005A772B">
        <w:rPr>
          <w:rFonts w:cs="Times New Roman"/>
          <w:i/>
          <w:noProof/>
        </w:rPr>
        <w:t>High-Resolution Magic-Angle-Spinning NMR Spectroscopy of Intact Tissue</w:t>
      </w:r>
      <w:r w:rsidR="0084542F" w:rsidRPr="005A772B">
        <w:rPr>
          <w:rFonts w:cs="Times New Roman"/>
          <w:noProof/>
        </w:rPr>
        <w:t xml:space="preserve">, in </w:t>
      </w:r>
      <w:r w:rsidR="0084542F" w:rsidRPr="005A772B">
        <w:rPr>
          <w:rFonts w:cs="Times New Roman"/>
          <w:i/>
          <w:noProof/>
        </w:rPr>
        <w:t>Metabonomics: Methods and Protocols</w:t>
      </w:r>
      <w:r w:rsidR="0084542F" w:rsidRPr="005A772B">
        <w:rPr>
          <w:rFonts w:cs="Times New Roman"/>
          <w:noProof/>
        </w:rPr>
        <w:t>, J.T. Bjerrum, Editor 2015, Springer New York. p. 37-50.</w:t>
      </w:r>
      <w:bookmarkEnd w:id="1"/>
    </w:p>
    <w:p w:rsidR="0084542F" w:rsidRPr="005A772B" w:rsidRDefault="0084542F" w:rsidP="0084542F">
      <w:pPr>
        <w:spacing w:after="0" w:line="240" w:lineRule="auto"/>
        <w:ind w:left="720" w:hanging="720"/>
        <w:rPr>
          <w:rFonts w:cs="Times New Roman"/>
          <w:noProof/>
        </w:rPr>
      </w:pPr>
      <w:bookmarkStart w:id="2" w:name="_ENREF_2"/>
      <w:r w:rsidRPr="005A772B">
        <w:rPr>
          <w:rFonts w:cs="Times New Roman"/>
          <w:noProof/>
        </w:rPr>
        <w:t>2.</w:t>
      </w:r>
      <w:r w:rsidRPr="005A772B">
        <w:rPr>
          <w:rFonts w:cs="Times New Roman"/>
          <w:noProof/>
        </w:rPr>
        <w:tab/>
        <w:t xml:space="preserve">Eilers, P.H., </w:t>
      </w:r>
      <w:r w:rsidRPr="005A772B">
        <w:rPr>
          <w:rFonts w:cs="Times New Roman"/>
          <w:i/>
          <w:noProof/>
        </w:rPr>
        <w:t>Parametric time warping.</w:t>
      </w:r>
      <w:r w:rsidRPr="005A772B">
        <w:rPr>
          <w:rFonts w:cs="Times New Roman"/>
          <w:noProof/>
        </w:rPr>
        <w:t xml:space="preserve"> Anal Chem, 2004. </w:t>
      </w:r>
      <w:r w:rsidRPr="005A772B">
        <w:rPr>
          <w:rFonts w:cs="Times New Roman"/>
          <w:b/>
          <w:noProof/>
        </w:rPr>
        <w:t>76</w:t>
      </w:r>
      <w:r w:rsidRPr="005A772B">
        <w:rPr>
          <w:rFonts w:cs="Times New Roman"/>
          <w:noProof/>
        </w:rPr>
        <w:t>(2): p. 404-411.</w:t>
      </w:r>
      <w:bookmarkEnd w:id="2"/>
    </w:p>
    <w:p w:rsidR="0084542F" w:rsidRPr="005A772B" w:rsidRDefault="0084542F" w:rsidP="0084542F">
      <w:pPr>
        <w:spacing w:after="0" w:line="240" w:lineRule="auto"/>
        <w:ind w:left="720" w:hanging="720"/>
        <w:rPr>
          <w:rFonts w:cs="Times New Roman"/>
          <w:noProof/>
        </w:rPr>
      </w:pPr>
      <w:bookmarkStart w:id="3" w:name="_ENREF_3"/>
      <w:r w:rsidRPr="005A772B">
        <w:rPr>
          <w:rFonts w:cs="Times New Roman"/>
          <w:noProof/>
        </w:rPr>
        <w:t>3.</w:t>
      </w:r>
      <w:r w:rsidRPr="005A772B">
        <w:rPr>
          <w:rFonts w:cs="Times New Roman"/>
          <w:noProof/>
        </w:rPr>
        <w:tab/>
        <w:t xml:space="preserve">Savorani, F., G. Tomasi, and S.B. Engelsen, </w:t>
      </w:r>
      <w:r w:rsidRPr="005A772B">
        <w:rPr>
          <w:rFonts w:cs="Times New Roman"/>
          <w:i/>
          <w:noProof/>
        </w:rPr>
        <w:t>icoshift: A versatile tool for the rapid alignment of 1D NMR spectra.</w:t>
      </w:r>
      <w:r w:rsidRPr="005A772B">
        <w:rPr>
          <w:rFonts w:cs="Times New Roman"/>
          <w:noProof/>
        </w:rPr>
        <w:t xml:space="preserve"> J Magn Reson, 2010. </w:t>
      </w:r>
      <w:r w:rsidRPr="005A772B">
        <w:rPr>
          <w:rFonts w:cs="Times New Roman"/>
          <w:b/>
          <w:noProof/>
        </w:rPr>
        <w:t>202</w:t>
      </w:r>
      <w:r w:rsidRPr="005A772B">
        <w:rPr>
          <w:rFonts w:cs="Times New Roman"/>
          <w:noProof/>
        </w:rPr>
        <w:t>(2): p. 190-202.</w:t>
      </w:r>
      <w:bookmarkEnd w:id="3"/>
    </w:p>
    <w:p w:rsidR="0084542F" w:rsidRPr="005A772B" w:rsidRDefault="0084542F" w:rsidP="0084542F">
      <w:pPr>
        <w:spacing w:after="0" w:line="240" w:lineRule="auto"/>
        <w:ind w:left="720" w:hanging="720"/>
        <w:rPr>
          <w:rFonts w:cs="Times New Roman"/>
          <w:noProof/>
        </w:rPr>
      </w:pPr>
      <w:bookmarkStart w:id="4" w:name="_ENREF_4"/>
      <w:r w:rsidRPr="005A772B">
        <w:rPr>
          <w:rFonts w:cs="Times New Roman"/>
          <w:noProof/>
        </w:rPr>
        <w:t>4.</w:t>
      </w:r>
      <w:r w:rsidRPr="005A772B">
        <w:rPr>
          <w:rFonts w:cs="Times New Roman"/>
          <w:noProof/>
        </w:rPr>
        <w:tab/>
        <w:t xml:space="preserve">Aure, M.R., et al., </w:t>
      </w:r>
      <w:r w:rsidRPr="005A772B">
        <w:rPr>
          <w:rFonts w:cs="Times New Roman"/>
          <w:i/>
          <w:noProof/>
        </w:rPr>
        <w:t>Integrated analysis reveals microRNA networks coordinately expressed with key proteins in breast cancer.</w:t>
      </w:r>
      <w:r w:rsidRPr="005A772B">
        <w:rPr>
          <w:rFonts w:cs="Times New Roman"/>
          <w:noProof/>
        </w:rPr>
        <w:t xml:space="preserve"> Genome Med, 2015. </w:t>
      </w:r>
      <w:r w:rsidRPr="005A772B">
        <w:rPr>
          <w:rFonts w:cs="Times New Roman"/>
          <w:b/>
          <w:noProof/>
        </w:rPr>
        <w:t>7</w:t>
      </w:r>
      <w:r w:rsidRPr="005A772B">
        <w:rPr>
          <w:rFonts w:cs="Times New Roman"/>
          <w:noProof/>
        </w:rPr>
        <w:t>(1).</w:t>
      </w:r>
      <w:bookmarkEnd w:id="4"/>
    </w:p>
    <w:p w:rsidR="0084542F" w:rsidRPr="005A772B" w:rsidRDefault="0084542F" w:rsidP="0084542F">
      <w:pPr>
        <w:spacing w:line="240" w:lineRule="auto"/>
        <w:ind w:left="720" w:hanging="720"/>
        <w:rPr>
          <w:rFonts w:cs="Times New Roman"/>
          <w:noProof/>
        </w:rPr>
      </w:pPr>
      <w:bookmarkStart w:id="5" w:name="_ENREF_5"/>
      <w:r w:rsidRPr="005A772B">
        <w:rPr>
          <w:rFonts w:cs="Times New Roman"/>
          <w:noProof/>
        </w:rPr>
        <w:t>5.</w:t>
      </w:r>
      <w:r w:rsidRPr="005A772B">
        <w:rPr>
          <w:rFonts w:cs="Times New Roman"/>
          <w:noProof/>
        </w:rPr>
        <w:tab/>
        <w:t xml:space="preserve">Smilde, A.K., et al., </w:t>
      </w:r>
      <w:r w:rsidRPr="005A772B">
        <w:rPr>
          <w:rFonts w:cs="Times New Roman"/>
          <w:i/>
          <w:noProof/>
        </w:rPr>
        <w:t>Data processing in metabolomics</w:t>
      </w:r>
      <w:r w:rsidRPr="005A772B">
        <w:rPr>
          <w:rFonts w:cs="Times New Roman"/>
          <w:noProof/>
        </w:rPr>
        <w:t xml:space="preserve">, in </w:t>
      </w:r>
      <w:r w:rsidRPr="005A772B">
        <w:rPr>
          <w:rFonts w:cs="Times New Roman"/>
          <w:i/>
          <w:noProof/>
        </w:rPr>
        <w:t>Metabolomics in practice: successful strategies to generate and analyze metabolic data</w:t>
      </w:r>
      <w:r w:rsidRPr="005A772B">
        <w:rPr>
          <w:rFonts w:cs="Times New Roman"/>
          <w:noProof/>
        </w:rPr>
        <w:t>, M. Lämmerhofer and W. Weckwerth, Editors. 2013, John Wiley &amp; Sons.</w:t>
      </w:r>
      <w:bookmarkEnd w:id="5"/>
    </w:p>
    <w:p w:rsidR="0084542F" w:rsidRDefault="0084542F" w:rsidP="0084542F">
      <w:pPr>
        <w:spacing w:line="240" w:lineRule="auto"/>
        <w:rPr>
          <w:rFonts w:cs="Times New Roman"/>
          <w:noProof/>
        </w:rPr>
      </w:pPr>
    </w:p>
    <w:p w:rsidR="009B52DD" w:rsidRDefault="009B52DD">
      <w:pPr>
        <w:spacing w:line="480" w:lineRule="auto"/>
        <w:ind w:left="360"/>
        <w:rPr>
          <w:rFonts w:cs="Times New Roman"/>
        </w:rPr>
      </w:pPr>
      <w:r>
        <w:rPr>
          <w:rFonts w:cs="Times New Roman"/>
        </w:rPr>
        <w:fldChar w:fldCharType="end"/>
      </w:r>
    </w:p>
    <w:sectPr w:rsidR="009B52DD" w:rsidSect="00FF75C8">
      <w:pgSz w:w="12240" w:h="15840"/>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94F9A"/>
    <w:multiLevelType w:val="hybridMultilevel"/>
    <w:tmpl w:val="2446FD0E"/>
    <w:lvl w:ilvl="0" w:tplc="75A25062">
      <w:start w:val="1"/>
      <w:numFmt w:val="decimal"/>
      <w:lvlText w:val="Supplementary data %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nsid w:val="564E420C"/>
    <w:multiLevelType w:val="hybridMultilevel"/>
    <w:tmpl w:val="4956D840"/>
    <w:lvl w:ilvl="0" w:tplc="75A25062">
      <w:start w:val="1"/>
      <w:numFmt w:val="decimal"/>
      <w:lvlText w:val="Supplementary data %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6B7D6619"/>
    <w:multiLevelType w:val="hybridMultilevel"/>
    <w:tmpl w:val="56461B4A"/>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hyphenationZone w:val="425"/>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atd9a52yes9xpezsd7pseexerf2vfsrz5sx&quot;&gt;Merged EndNote Library THH&lt;record-ids&gt;&lt;item&gt;30&lt;/item&gt;&lt;item&gt;31&lt;/item&gt;&lt;item&gt;36&lt;/item&gt;&lt;item&gt;56&lt;/item&gt;&lt;item&gt;65&lt;/item&gt;&lt;/record-ids&gt;&lt;/item&gt;&lt;/Libraries&gt;"/>
  </w:docVars>
  <w:rsids>
    <w:rsidRoot w:val="009B52DD"/>
    <w:rsid w:val="00040D3B"/>
    <w:rsid w:val="00045ECA"/>
    <w:rsid w:val="0004654B"/>
    <w:rsid w:val="00080990"/>
    <w:rsid w:val="000C386B"/>
    <w:rsid w:val="001254B8"/>
    <w:rsid w:val="00166FCA"/>
    <w:rsid w:val="00217724"/>
    <w:rsid w:val="00227970"/>
    <w:rsid w:val="0025696A"/>
    <w:rsid w:val="00335362"/>
    <w:rsid w:val="0035769D"/>
    <w:rsid w:val="003E211E"/>
    <w:rsid w:val="003E3D85"/>
    <w:rsid w:val="004558E3"/>
    <w:rsid w:val="004E3001"/>
    <w:rsid w:val="0050747F"/>
    <w:rsid w:val="00570F60"/>
    <w:rsid w:val="005923C9"/>
    <w:rsid w:val="005A772B"/>
    <w:rsid w:val="005B6483"/>
    <w:rsid w:val="00600B59"/>
    <w:rsid w:val="00613B00"/>
    <w:rsid w:val="00711F2A"/>
    <w:rsid w:val="0073242C"/>
    <w:rsid w:val="0084542F"/>
    <w:rsid w:val="0087176E"/>
    <w:rsid w:val="00903134"/>
    <w:rsid w:val="00912DA8"/>
    <w:rsid w:val="0093476B"/>
    <w:rsid w:val="0095319D"/>
    <w:rsid w:val="009B52DD"/>
    <w:rsid w:val="009F3864"/>
    <w:rsid w:val="00AF2CAD"/>
    <w:rsid w:val="00AF5130"/>
    <w:rsid w:val="00B37AFC"/>
    <w:rsid w:val="00BE7B2D"/>
    <w:rsid w:val="00BF78B2"/>
    <w:rsid w:val="00C2146D"/>
    <w:rsid w:val="00D63AF0"/>
    <w:rsid w:val="00E41FFF"/>
    <w:rsid w:val="00E55F36"/>
    <w:rsid w:val="00EA1768"/>
    <w:rsid w:val="00ED039B"/>
    <w:rsid w:val="00F05940"/>
    <w:rsid w:val="00F341CD"/>
    <w:rsid w:val="00FF75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semiHidden="0" w:unhideWhenUsed="0"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Plain Text"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hAnsi="Times New Roman"/>
      <w:lang w:val="en-US" w:eastAsia="en-US"/>
    </w:rPr>
  </w:style>
  <w:style w:type="paragraph" w:styleId="Heading1">
    <w:name w:val="heading 1"/>
    <w:basedOn w:val="Normal"/>
    <w:next w:val="Normal"/>
    <w:link w:val="Heading1Char"/>
    <w:uiPriority w:val="99"/>
    <w:qFormat/>
    <w:pPr>
      <w:keepNext/>
      <w:keepLines/>
      <w:spacing w:before="480" w:after="0"/>
      <w:outlineLvl w:val="0"/>
    </w:pPr>
    <w:rPr>
      <w:b/>
      <w:bCs/>
      <w:sz w:val="28"/>
      <w:szCs w:val="28"/>
    </w:rPr>
  </w:style>
  <w:style w:type="paragraph" w:styleId="Heading2">
    <w:name w:val="heading 2"/>
    <w:basedOn w:val="Normal"/>
    <w:next w:val="Normal"/>
    <w:link w:val="Heading2Char"/>
    <w:uiPriority w:val="99"/>
    <w:qFormat/>
    <w:pPr>
      <w:keepNext/>
      <w:keepLines/>
      <w:spacing w:before="200" w:after="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imes New Roman" w:hAnsi="Times New Roman" w:cs="Times New Roman"/>
      <w:b/>
      <w:bCs/>
      <w:color w:val="auto"/>
      <w:sz w:val="28"/>
      <w:szCs w:val="28"/>
    </w:rPr>
  </w:style>
  <w:style w:type="character" w:customStyle="1" w:styleId="Heading2Char">
    <w:name w:val="Heading 2 Char"/>
    <w:basedOn w:val="DefaultParagraphFont"/>
    <w:link w:val="Heading2"/>
    <w:uiPriority w:val="99"/>
    <w:rPr>
      <w:rFonts w:ascii="Times New Roman" w:hAnsi="Times New Roman" w:cs="Times New Roman"/>
      <w:b/>
      <w:bCs/>
      <w:color w:val="auto"/>
      <w:sz w:val="26"/>
      <w:szCs w:val="26"/>
    </w:rPr>
  </w:style>
  <w:style w:type="paragraph" w:styleId="NormalWeb">
    <w:name w:val="Normal (Web)"/>
    <w:basedOn w:val="Normal"/>
    <w:uiPriority w:val="99"/>
    <w:pPr>
      <w:spacing w:before="100" w:beforeAutospacing="1" w:after="100" w:afterAutospacing="1" w:line="240" w:lineRule="auto"/>
    </w:pPr>
    <w:rPr>
      <w:sz w:val="24"/>
      <w:szCs w:val="24"/>
    </w:rPr>
  </w:style>
  <w:style w:type="character" w:customStyle="1" w:styleId="western">
    <w:name w:val="western"/>
    <w:basedOn w:val="DefaultParagraphFont"/>
    <w:rPr>
      <w:rFonts w:ascii="Times New Roman" w:hAnsi="Times New Roman" w:cs="Times New Roman"/>
    </w:rPr>
  </w:style>
  <w:style w:type="character" w:styleId="Strong">
    <w:name w:val="Strong"/>
    <w:basedOn w:val="DefaultParagraphFont"/>
    <w:uiPriority w:val="99"/>
    <w:qFormat/>
    <w:rPr>
      <w:rFonts w:ascii="Times New Roman" w:hAnsi="Times New Roman" w:cs="Times New Roman"/>
      <w:b/>
      <w:bCs/>
    </w:rPr>
  </w:style>
  <w:style w:type="paragraph" w:styleId="Caption">
    <w:name w:val="caption"/>
    <w:basedOn w:val="Normal"/>
    <w:next w:val="Normal"/>
    <w:uiPriority w:val="99"/>
    <w:qFormat/>
    <w:pPr>
      <w:spacing w:line="240" w:lineRule="auto"/>
    </w:pPr>
    <w:rPr>
      <w:b/>
      <w:bCs/>
      <w:sz w:val="18"/>
      <w:szCs w:val="18"/>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pPr>
      <w:spacing w:after="0"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character" w:styleId="Hyperlink">
    <w:name w:val="Hyperlink"/>
    <w:basedOn w:val="DefaultParagraphFont"/>
    <w:uiPriority w:val="99"/>
    <w:rPr>
      <w:rFonts w:ascii="Times New Roman" w:hAnsi="Times New Roman" w:cs="Times New Roman"/>
      <w:color w:val="0000FF"/>
      <w:u w:val="single"/>
    </w:rPr>
  </w:style>
  <w:style w:type="character" w:customStyle="1" w:styleId="st">
    <w:name w:val="st"/>
    <w:basedOn w:val="DefaultParagraphFont"/>
    <w:uiPriority w:val="99"/>
    <w:rPr>
      <w:rFonts w:ascii="Times New Roman" w:hAnsi="Times New Roman" w:cs="Times New Roman"/>
    </w:rPr>
  </w:style>
  <w:style w:type="paragraph" w:styleId="PlainText">
    <w:name w:val="Plain Text"/>
    <w:basedOn w:val="Normal"/>
    <w:link w:val="PlainTextChar"/>
    <w:uiPriority w:val="99"/>
    <w:pPr>
      <w:spacing w:after="0" w:line="240" w:lineRule="auto"/>
    </w:pPr>
    <w:rPr>
      <w:rFonts w:ascii="Consolas" w:hAnsi="Consolas" w:cs="Consolas"/>
      <w:sz w:val="21"/>
      <w:szCs w:val="21"/>
      <w:lang w:val="nb-NO"/>
    </w:rPr>
  </w:style>
  <w:style w:type="character" w:customStyle="1" w:styleId="PlainTextChar">
    <w:name w:val="Plain Text Char"/>
    <w:basedOn w:val="DefaultParagraphFont"/>
    <w:link w:val="PlainText"/>
    <w:uiPriority w:val="99"/>
    <w:semiHidden/>
    <w:rsid w:val="009B52DD"/>
    <w:rPr>
      <w:rFonts w:ascii="Courier New" w:hAnsi="Courier New" w:cs="Courier New"/>
      <w:sz w:val="20"/>
      <w:szCs w:val="20"/>
      <w:lang w:val="en-US" w:eastAsia="en-US"/>
    </w:rPr>
  </w:style>
  <w:style w:type="paragraph" w:styleId="Revision">
    <w:name w:val="Revision"/>
    <w:hidden/>
    <w:uiPriority w:val="99"/>
    <w:semiHidden/>
    <w:rsid w:val="00E41FFF"/>
    <w:rPr>
      <w:rFonts w:ascii="Times New Roman" w:hAnsi="Times New Roman"/>
      <w:lang w:val="en-US" w:eastAsia="en-US"/>
    </w:rPr>
  </w:style>
  <w:style w:type="character" w:styleId="LineNumber">
    <w:name w:val="line number"/>
    <w:basedOn w:val="DefaultParagraphFont"/>
    <w:uiPriority w:val="99"/>
    <w:semiHidden/>
    <w:unhideWhenUsed/>
    <w:rsid w:val="00FF75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semiHidden="0" w:unhideWhenUsed="0"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Plain Text"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hAnsi="Times New Roman"/>
      <w:lang w:val="en-US" w:eastAsia="en-US"/>
    </w:rPr>
  </w:style>
  <w:style w:type="paragraph" w:styleId="Heading1">
    <w:name w:val="heading 1"/>
    <w:basedOn w:val="Normal"/>
    <w:next w:val="Normal"/>
    <w:link w:val="Heading1Char"/>
    <w:uiPriority w:val="99"/>
    <w:qFormat/>
    <w:pPr>
      <w:keepNext/>
      <w:keepLines/>
      <w:spacing w:before="480" w:after="0"/>
      <w:outlineLvl w:val="0"/>
    </w:pPr>
    <w:rPr>
      <w:b/>
      <w:bCs/>
      <w:sz w:val="28"/>
      <w:szCs w:val="28"/>
    </w:rPr>
  </w:style>
  <w:style w:type="paragraph" w:styleId="Heading2">
    <w:name w:val="heading 2"/>
    <w:basedOn w:val="Normal"/>
    <w:next w:val="Normal"/>
    <w:link w:val="Heading2Char"/>
    <w:uiPriority w:val="99"/>
    <w:qFormat/>
    <w:pPr>
      <w:keepNext/>
      <w:keepLines/>
      <w:spacing w:before="200" w:after="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imes New Roman" w:hAnsi="Times New Roman" w:cs="Times New Roman"/>
      <w:b/>
      <w:bCs/>
      <w:color w:val="auto"/>
      <w:sz w:val="28"/>
      <w:szCs w:val="28"/>
    </w:rPr>
  </w:style>
  <w:style w:type="character" w:customStyle="1" w:styleId="Heading2Char">
    <w:name w:val="Heading 2 Char"/>
    <w:basedOn w:val="DefaultParagraphFont"/>
    <w:link w:val="Heading2"/>
    <w:uiPriority w:val="99"/>
    <w:rPr>
      <w:rFonts w:ascii="Times New Roman" w:hAnsi="Times New Roman" w:cs="Times New Roman"/>
      <w:b/>
      <w:bCs/>
      <w:color w:val="auto"/>
      <w:sz w:val="26"/>
      <w:szCs w:val="26"/>
    </w:rPr>
  </w:style>
  <w:style w:type="paragraph" w:styleId="NormalWeb">
    <w:name w:val="Normal (Web)"/>
    <w:basedOn w:val="Normal"/>
    <w:uiPriority w:val="99"/>
    <w:pPr>
      <w:spacing w:before="100" w:beforeAutospacing="1" w:after="100" w:afterAutospacing="1" w:line="240" w:lineRule="auto"/>
    </w:pPr>
    <w:rPr>
      <w:sz w:val="24"/>
      <w:szCs w:val="24"/>
    </w:rPr>
  </w:style>
  <w:style w:type="character" w:customStyle="1" w:styleId="western">
    <w:name w:val="western"/>
    <w:basedOn w:val="DefaultParagraphFont"/>
    <w:rPr>
      <w:rFonts w:ascii="Times New Roman" w:hAnsi="Times New Roman" w:cs="Times New Roman"/>
    </w:rPr>
  </w:style>
  <w:style w:type="character" w:styleId="Strong">
    <w:name w:val="Strong"/>
    <w:basedOn w:val="DefaultParagraphFont"/>
    <w:uiPriority w:val="99"/>
    <w:qFormat/>
    <w:rPr>
      <w:rFonts w:ascii="Times New Roman" w:hAnsi="Times New Roman" w:cs="Times New Roman"/>
      <w:b/>
      <w:bCs/>
    </w:rPr>
  </w:style>
  <w:style w:type="paragraph" w:styleId="Caption">
    <w:name w:val="caption"/>
    <w:basedOn w:val="Normal"/>
    <w:next w:val="Normal"/>
    <w:uiPriority w:val="99"/>
    <w:qFormat/>
    <w:pPr>
      <w:spacing w:line="240" w:lineRule="auto"/>
    </w:pPr>
    <w:rPr>
      <w:b/>
      <w:bCs/>
      <w:sz w:val="18"/>
      <w:szCs w:val="18"/>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pPr>
      <w:spacing w:after="0"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character" w:styleId="Hyperlink">
    <w:name w:val="Hyperlink"/>
    <w:basedOn w:val="DefaultParagraphFont"/>
    <w:uiPriority w:val="99"/>
    <w:rPr>
      <w:rFonts w:ascii="Times New Roman" w:hAnsi="Times New Roman" w:cs="Times New Roman"/>
      <w:color w:val="0000FF"/>
      <w:u w:val="single"/>
    </w:rPr>
  </w:style>
  <w:style w:type="character" w:customStyle="1" w:styleId="st">
    <w:name w:val="st"/>
    <w:basedOn w:val="DefaultParagraphFont"/>
    <w:uiPriority w:val="99"/>
    <w:rPr>
      <w:rFonts w:ascii="Times New Roman" w:hAnsi="Times New Roman" w:cs="Times New Roman"/>
    </w:rPr>
  </w:style>
  <w:style w:type="paragraph" w:styleId="PlainText">
    <w:name w:val="Plain Text"/>
    <w:basedOn w:val="Normal"/>
    <w:link w:val="PlainTextChar"/>
    <w:uiPriority w:val="99"/>
    <w:pPr>
      <w:spacing w:after="0" w:line="240" w:lineRule="auto"/>
    </w:pPr>
    <w:rPr>
      <w:rFonts w:ascii="Consolas" w:hAnsi="Consolas" w:cs="Consolas"/>
      <w:sz w:val="21"/>
      <w:szCs w:val="21"/>
      <w:lang w:val="nb-NO"/>
    </w:rPr>
  </w:style>
  <w:style w:type="character" w:customStyle="1" w:styleId="PlainTextChar">
    <w:name w:val="Plain Text Char"/>
    <w:basedOn w:val="DefaultParagraphFont"/>
    <w:link w:val="PlainText"/>
    <w:uiPriority w:val="99"/>
    <w:semiHidden/>
    <w:rsid w:val="009B52DD"/>
    <w:rPr>
      <w:rFonts w:ascii="Courier New" w:hAnsi="Courier New" w:cs="Courier New"/>
      <w:sz w:val="20"/>
      <w:szCs w:val="20"/>
      <w:lang w:val="en-US" w:eastAsia="en-US"/>
    </w:rPr>
  </w:style>
  <w:style w:type="paragraph" w:styleId="Revision">
    <w:name w:val="Revision"/>
    <w:hidden/>
    <w:uiPriority w:val="99"/>
    <w:semiHidden/>
    <w:rsid w:val="00E41FFF"/>
    <w:rPr>
      <w:rFonts w:ascii="Times New Roman" w:hAnsi="Times New Roman"/>
      <w:lang w:val="en-US" w:eastAsia="en-US"/>
    </w:rPr>
  </w:style>
  <w:style w:type="character" w:styleId="LineNumber">
    <w:name w:val="line number"/>
    <w:basedOn w:val="DefaultParagraphFont"/>
    <w:uiPriority w:val="99"/>
    <w:semiHidden/>
    <w:unhideWhenUsed/>
    <w:rsid w:val="00FF7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0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8979</Characters>
  <Application>Microsoft Office Word</Application>
  <DocSecurity>4</DocSecurity>
  <Lines>74</Lines>
  <Paragraphs>19</Paragraphs>
  <ScaleCrop>false</ScaleCrop>
  <HeadingPairs>
    <vt:vector size="2" baseType="variant">
      <vt:variant>
        <vt:lpstr>Title</vt:lpstr>
      </vt:variant>
      <vt:variant>
        <vt:i4>1</vt:i4>
      </vt:variant>
    </vt:vector>
  </HeadingPairs>
  <TitlesOfParts>
    <vt:vector size="1" baseType="lpstr">
      <vt:lpstr>SUPPLEMENTARY INFORMATION:</vt:lpstr>
    </vt:vector>
  </TitlesOfParts>
  <Company>DMF</Company>
  <LinksUpToDate>false</LinksUpToDate>
  <CharactersWithSpaces>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creator>Tonje Husby Haukaas</dc:creator>
  <cp:lastModifiedBy>Van Der Linden, Monique, BioMed Central Ltd.</cp:lastModifiedBy>
  <cp:revision>2</cp:revision>
  <cp:lastPrinted>2015-05-19T06:12:00Z</cp:lastPrinted>
  <dcterms:created xsi:type="dcterms:W3CDTF">2016-08-22T10:55:00Z</dcterms:created>
  <dcterms:modified xsi:type="dcterms:W3CDTF">2016-08-22T10:55:00Z</dcterms:modified>
</cp:coreProperties>
</file>