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9B" w:rsidRPr="00BD4799" w:rsidRDefault="00651E9B" w:rsidP="00651E9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D4799">
        <w:rPr>
          <w:rFonts w:ascii="Arial" w:hAnsi="Arial" w:cs="Arial"/>
          <w:noProof/>
          <w:color w:val="000000" w:themeColor="text1"/>
          <w:sz w:val="24"/>
          <w:szCs w:val="24"/>
          <w:lang w:eastAsia="en-AU"/>
        </w:rPr>
        <w:drawing>
          <wp:inline distT="0" distB="0" distL="0" distR="0" wp14:anchorId="29A9C290" wp14:editId="7099DC63">
            <wp:extent cx="5269230" cy="7985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798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E9B" w:rsidRPr="00BD4799" w:rsidRDefault="00651E9B" w:rsidP="00651E9B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</w:pPr>
      <w:bookmarkStart w:id="0" w:name="_GoBack"/>
      <w:proofErr w:type="gramStart"/>
      <w:r w:rsidRPr="00FF3E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AU"/>
        </w:rPr>
        <w:t>Additional file 3.</w:t>
      </w:r>
      <w:proofErr w:type="gramEnd"/>
      <w:r w:rsidRPr="00FF3E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AU"/>
        </w:rPr>
        <w:t xml:space="preserve"> Figure S2.</w:t>
      </w:r>
      <w:bookmarkEnd w:id="0"/>
      <w:r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 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Steady-state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yield 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estimates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(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mol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 per 100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mol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 glucose) 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generated from 13C enrichment data of intracellular metabolites using </w:t>
      </w:r>
      <w:proofErr w:type="spellStart"/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OpenFLUX</w:t>
      </w:r>
      <w:proofErr w:type="spellEnd"/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. </w:t>
      </w:r>
      <w:proofErr w:type="gramStart"/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1 – Control; 2 – TNF</w:t>
      </w:r>
      <w:r w:rsidRPr="00BD4799">
        <w:rPr>
          <w:rFonts w:ascii="Symbol" w:eastAsia="Times New Roman" w:hAnsi="Symbol" w:cs="Arial"/>
          <w:color w:val="000000" w:themeColor="text1"/>
          <w:sz w:val="24"/>
          <w:szCs w:val="24"/>
          <w:lang w:eastAsia="en-AU"/>
        </w:rPr>
        <w:sym w:font="Symbol" w:char="F061"/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; 3 – TGF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sym w:font="Symbol" w:char="F062"/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; 4 – TNF</w:t>
      </w:r>
      <w:r w:rsidRPr="00BD4799">
        <w:rPr>
          <w:rFonts w:ascii="Symbol" w:eastAsia="Times New Roman" w:hAnsi="Symbol" w:cs="Arial"/>
          <w:color w:val="000000" w:themeColor="text1"/>
          <w:sz w:val="24"/>
          <w:szCs w:val="24"/>
          <w:lang w:eastAsia="en-AU"/>
        </w:rPr>
        <w:sym w:font="Symbol" w:char="F061"/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 + TGF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sym w:font="Symbol" w:char="F062"/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.</w:t>
      </w:r>
      <w:proofErr w:type="gramEnd"/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 (A) Least-square estimates of fluxes showing optimum and Monte-Carlo (1000 iteration) results. Stars represent 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lastRenderedPageBreak/>
        <w:t>optimum values, box-whisker plots show 2.5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en-AU"/>
        </w:rPr>
        <w:t>th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, 25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en-AU"/>
        </w:rPr>
        <w:t>th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, 50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en-AU"/>
        </w:rPr>
        <w:t>th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, 75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en-AU"/>
        </w:rPr>
        <w:t>th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 and 97.5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  <w:lang w:eastAsia="en-AU"/>
        </w:rPr>
        <w:t>th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 percentile values. (B) Metabolic model used for flux estimates. Experimental (left) and simulated (right) enrichment data shown as stacked bar graphs.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 Reaction numbers (e.g. R1) are detailed in Additional file 5.</w:t>
      </w:r>
    </w:p>
    <w:p w:rsidR="00E659EF" w:rsidRDefault="00E659EF"/>
    <w:sectPr w:rsidR="00E65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9B"/>
    <w:rsid w:val="00651E9B"/>
    <w:rsid w:val="00E6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E9B"/>
    <w:pPr>
      <w:spacing w:after="160" w:line="259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E9B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E9B"/>
    <w:pPr>
      <w:spacing w:after="160" w:line="259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1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E9B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Menghan Liu</dc:creator>
  <cp:lastModifiedBy>Menghan Liu</cp:lastModifiedBy>
  <cp:revision>1</cp:revision>
  <dcterms:created xsi:type="dcterms:W3CDTF">2016-04-07T08:43:00Z</dcterms:created>
  <dcterms:modified xsi:type="dcterms:W3CDTF">2016-04-07T08:44:00Z</dcterms:modified>
</cp:coreProperties>
</file>