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FD4" w:rsidRPr="00BD4799" w:rsidRDefault="00EF1FD4" w:rsidP="00EF1FD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object w:dxaOrig="10903" w:dyaOrig="39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pt;height:148.75pt" o:ole="">
            <v:imagedata r:id="rId4" o:title=""/>
          </v:shape>
          <o:OLEObject Type="Embed" ProgID="Visio.Drawing.11" ShapeID="_x0000_i1025" DrawAspect="Content" ObjectID="_1535951956" r:id="rId5"/>
        </w:object>
      </w:r>
    </w:p>
    <w:p w:rsidR="00EF1FD4" w:rsidRPr="00BD4799" w:rsidRDefault="00EF1FD4" w:rsidP="00EF1FD4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AU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 xml:space="preserve">Additional file </w:t>
      </w:r>
      <w:r w:rsidR="001B5741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>5</w:t>
      </w:r>
      <w:bookmarkStart w:id="0" w:name="_GoBack"/>
      <w:bookmarkEnd w:id="0"/>
      <w:r w:rsidRPr="00BD479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>.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 xml:space="preserve"> </w:t>
      </w:r>
      <w:r w:rsidRPr="00FF3E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>Figure S</w:t>
      </w:r>
      <w:r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>3</w:t>
      </w:r>
      <w:r w:rsidRPr="00FF3E9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>.</w:t>
      </w:r>
      <w:r w:rsidRPr="00BD4799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n-AU"/>
        </w:rPr>
        <w:t xml:space="preserve"> </w:t>
      </w:r>
      <w:r w:rsidRPr="00BD479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AU"/>
        </w:rPr>
        <w:t xml:space="preserve">Extracellular </w:t>
      </w: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n-AU"/>
        </w:rPr>
        <w:t>lactate and pyruvate labelled by [U-13C]-glucose</w:t>
      </w:r>
    </w:p>
    <w:p w:rsidR="00EF1FD4" w:rsidRDefault="00EF1FD4" w:rsidP="00EF1FD4">
      <w:pP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</w:pP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Panc-1 cells were cultured in the presence of 40 ng/ml TNF</w:t>
      </w:r>
      <w:r w:rsidRPr="00BD4799">
        <w:rPr>
          <w:rFonts w:ascii="Symbol" w:eastAsia="Times New Roman" w:hAnsi="Symbol" w:cs="Arial"/>
          <w:color w:val="000000" w:themeColor="text1"/>
          <w:sz w:val="24"/>
          <w:szCs w:val="24"/>
          <w:lang w:eastAsia="en-AU"/>
        </w:rPr>
        <w:t>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or 10 ng/ml TGF</w:t>
      </w:r>
      <w:r w:rsidRPr="00BD4799">
        <w:rPr>
          <w:rFonts w:ascii="Symbol" w:eastAsia="Times New Roman" w:hAnsi="Symbol" w:cs="Arial"/>
          <w:color w:val="000000" w:themeColor="text1"/>
          <w:sz w:val="24"/>
          <w:szCs w:val="24"/>
          <w:lang w:eastAsia="en-AU"/>
        </w:rPr>
        <w:t>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or both for 72 hours prior to the star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t of the labelling experiment. </w:t>
      </w:r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Concentration of extracellular lactate and pyruvate showing the different enrichment fractions m0 (unlabelled), m1, m2 and m3 (fully labelled). Shaded bars show accumulation of lactate and pyruvate derived from glucose. </w:t>
      </w:r>
      <w:proofErr w:type="gramStart"/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>m1</w:t>
      </w:r>
      <w:proofErr w:type="gramEnd"/>
      <w:r w:rsidRPr="00BD4799">
        <w:rPr>
          <w:rFonts w:ascii="Arial" w:eastAsia="Times New Roman" w:hAnsi="Arial" w:cs="Arial"/>
          <w:color w:val="000000" w:themeColor="text1"/>
          <w:sz w:val="24"/>
          <w:szCs w:val="24"/>
          <w:lang w:eastAsia="en-AU"/>
        </w:rPr>
        <w:t xml:space="preserve"> and m2 of pyruvate omitted due to isobaric interference. Overlaying trend lines show the performance of a Monte-Carlo least-square flux analysis approach to fit the dataset (1000 iterations).</w:t>
      </w:r>
    </w:p>
    <w:p w:rsidR="00E659EF" w:rsidRDefault="00E659EF"/>
    <w:sectPr w:rsidR="00E65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FD4"/>
    <w:rsid w:val="001B5741"/>
    <w:rsid w:val="00E659EF"/>
    <w:rsid w:val="00E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80ECFC85-BE3D-4E16-8BC7-6426961A5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1FD4"/>
    <w:pPr>
      <w:spacing w:after="160" w:line="259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New South Wales</Company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Menghan Liu</dc:creator>
  <cp:lastModifiedBy>Processing, Data</cp:lastModifiedBy>
  <cp:revision>2</cp:revision>
  <dcterms:created xsi:type="dcterms:W3CDTF">2016-04-07T08:44:00Z</dcterms:created>
  <dcterms:modified xsi:type="dcterms:W3CDTF">2016-09-21T00:33:00Z</dcterms:modified>
</cp:coreProperties>
</file>