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20FF5" w14:textId="77777777" w:rsidR="00152565" w:rsidRPr="006D2F1E" w:rsidRDefault="00152565" w:rsidP="00152565">
      <w:pPr>
        <w:spacing w:line="480" w:lineRule="auto"/>
        <w:rPr>
          <w:rFonts w:ascii="Times" w:hAnsi="Times"/>
          <w:b/>
          <w:sz w:val="24"/>
          <w:szCs w:val="24"/>
        </w:rPr>
      </w:pPr>
      <w:r w:rsidRPr="006D2F1E">
        <w:rPr>
          <w:rFonts w:ascii="Times" w:hAnsi="Times"/>
          <w:b/>
          <w:sz w:val="24"/>
          <w:szCs w:val="24"/>
        </w:rPr>
        <w:t>Supplementary Material</w:t>
      </w:r>
    </w:p>
    <w:p w14:paraId="1BFAFD7A" w14:textId="77777777" w:rsidR="00152565" w:rsidRPr="006D2F1E" w:rsidRDefault="00152565" w:rsidP="00152565">
      <w:pPr>
        <w:spacing w:line="480" w:lineRule="auto"/>
        <w:rPr>
          <w:rFonts w:ascii="Times" w:hAnsi="Times"/>
          <w:b/>
          <w:sz w:val="24"/>
          <w:szCs w:val="24"/>
        </w:rPr>
      </w:pPr>
    </w:p>
    <w:p w14:paraId="06DAF223" w14:textId="19EE1225" w:rsidR="00152565" w:rsidRPr="006D2F1E" w:rsidRDefault="00965D51" w:rsidP="00152565">
      <w:pPr>
        <w:spacing w:line="48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noProof/>
          <w:sz w:val="24"/>
          <w:szCs w:val="24"/>
        </w:rPr>
        <w:drawing>
          <wp:inline distT="0" distB="0" distL="0" distR="0" wp14:anchorId="5D3AE0D1" wp14:editId="41754243">
            <wp:extent cx="5943600" cy="44577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1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7E0C4" w14:textId="77777777" w:rsidR="00152565" w:rsidRPr="006D2F1E" w:rsidRDefault="00152565" w:rsidP="00152565">
      <w:pPr>
        <w:spacing w:line="480" w:lineRule="auto"/>
        <w:rPr>
          <w:rFonts w:ascii="Times" w:hAnsi="Times"/>
          <w:b/>
          <w:sz w:val="24"/>
          <w:szCs w:val="24"/>
        </w:rPr>
      </w:pPr>
    </w:p>
    <w:p w14:paraId="2FC66D96" w14:textId="67082734" w:rsidR="00152565" w:rsidRPr="006D2F1E" w:rsidRDefault="00152565" w:rsidP="00D44FD5">
      <w:pPr>
        <w:spacing w:line="480" w:lineRule="auto"/>
        <w:rPr>
          <w:rFonts w:ascii="Times" w:hAnsi="Times"/>
          <w:sz w:val="24"/>
          <w:szCs w:val="24"/>
        </w:rPr>
      </w:pPr>
      <w:r w:rsidRPr="006D2F1E">
        <w:rPr>
          <w:rFonts w:ascii="Times" w:hAnsi="Times"/>
          <w:b/>
          <w:sz w:val="18"/>
          <w:szCs w:val="18"/>
        </w:rPr>
        <w:t xml:space="preserve">Supplementary Figure 1. Relationship between target enzyme expression and response to Gemcitabine in </w:t>
      </w:r>
      <w:r w:rsidR="00D44FD5">
        <w:rPr>
          <w:rFonts w:ascii="Times" w:hAnsi="Times"/>
          <w:b/>
          <w:sz w:val="18"/>
          <w:szCs w:val="18"/>
        </w:rPr>
        <w:t xml:space="preserve">TCGA </w:t>
      </w:r>
      <w:r w:rsidRPr="006D2F1E">
        <w:rPr>
          <w:rFonts w:ascii="Times" w:hAnsi="Times"/>
          <w:b/>
          <w:sz w:val="18"/>
          <w:szCs w:val="18"/>
        </w:rPr>
        <w:t>pancreatic cancer. A)</w:t>
      </w:r>
      <w:r w:rsidRPr="006D2F1E">
        <w:rPr>
          <w:rFonts w:ascii="Times" w:hAnsi="Times"/>
          <w:sz w:val="18"/>
          <w:szCs w:val="18"/>
        </w:rPr>
        <w:t xml:space="preserve"> Kaplan-Meier plot compares progression free survival in high-RRM1 expression vs. low-RRM1 expression subgroups of TCGA PAAD patients. </w:t>
      </w:r>
      <w:r w:rsidRPr="006D2F1E">
        <w:rPr>
          <w:rFonts w:ascii="Times" w:hAnsi="Times"/>
          <w:b/>
          <w:sz w:val="18"/>
          <w:szCs w:val="18"/>
        </w:rPr>
        <w:t>B)</w:t>
      </w:r>
      <w:r w:rsidRPr="006D2F1E">
        <w:rPr>
          <w:rFonts w:ascii="Times" w:hAnsi="Times"/>
          <w:sz w:val="18"/>
          <w:szCs w:val="18"/>
        </w:rPr>
        <w:t xml:space="preserve"> Kaplan-Meier plot compares progression free survival in high-RRM2 expression vs. low-RRM2 expression subgroups</w:t>
      </w:r>
      <w:r w:rsidR="00FE4A07">
        <w:rPr>
          <w:rFonts w:ascii="Times" w:hAnsi="Times"/>
          <w:sz w:val="18"/>
          <w:szCs w:val="18"/>
        </w:rPr>
        <w:t xml:space="preserve"> in</w:t>
      </w:r>
      <w:r w:rsidR="00D44FD5">
        <w:rPr>
          <w:rFonts w:ascii="Times" w:hAnsi="Times"/>
          <w:sz w:val="18"/>
          <w:szCs w:val="18"/>
        </w:rPr>
        <w:t xml:space="preserve"> </w:t>
      </w:r>
      <w:r w:rsidR="00D44FD5" w:rsidRPr="006D2F1E">
        <w:rPr>
          <w:rFonts w:ascii="Times" w:hAnsi="Times"/>
          <w:sz w:val="18"/>
          <w:szCs w:val="18"/>
        </w:rPr>
        <w:t>TCGA PAAD</w:t>
      </w:r>
      <w:r w:rsidRPr="006D2F1E">
        <w:rPr>
          <w:rFonts w:ascii="Times" w:hAnsi="Times"/>
          <w:sz w:val="18"/>
          <w:szCs w:val="18"/>
        </w:rPr>
        <w:t xml:space="preserve"> patients.</w:t>
      </w:r>
      <w:r w:rsidR="00D44FD5">
        <w:rPr>
          <w:rFonts w:ascii="Times" w:hAnsi="Times"/>
          <w:sz w:val="18"/>
          <w:szCs w:val="18"/>
        </w:rPr>
        <w:t xml:space="preserve"> </w:t>
      </w:r>
    </w:p>
    <w:p w14:paraId="6A66D7AD" w14:textId="77777777" w:rsidR="00152565" w:rsidRPr="006D2F1E" w:rsidRDefault="00152565" w:rsidP="00152565">
      <w:pPr>
        <w:spacing w:line="480" w:lineRule="auto"/>
        <w:rPr>
          <w:rFonts w:ascii="Times" w:hAnsi="Times"/>
          <w:sz w:val="24"/>
          <w:szCs w:val="24"/>
        </w:rPr>
      </w:pPr>
    </w:p>
    <w:p w14:paraId="066CECEE" w14:textId="1772FE1A" w:rsidR="00152565" w:rsidRPr="006D2F1E" w:rsidRDefault="00152565" w:rsidP="00152565">
      <w:pPr>
        <w:spacing w:line="480" w:lineRule="auto"/>
        <w:rPr>
          <w:rFonts w:ascii="Times" w:hAnsi="Times"/>
          <w:sz w:val="24"/>
          <w:szCs w:val="24"/>
        </w:rPr>
      </w:pPr>
    </w:p>
    <w:p w14:paraId="4A7BE9B8" w14:textId="53FEC1B9" w:rsidR="00965D51" w:rsidRDefault="00965D51" w:rsidP="00CB36F2">
      <w:pPr>
        <w:spacing w:line="480" w:lineRule="auto"/>
        <w:rPr>
          <w:rFonts w:ascii="Times" w:hAnsi="Times"/>
          <w:b/>
          <w:sz w:val="18"/>
          <w:szCs w:val="18"/>
        </w:rPr>
      </w:pPr>
      <w:r>
        <w:rPr>
          <w:rFonts w:ascii="Times" w:hAnsi="Times"/>
          <w:b/>
          <w:noProof/>
          <w:sz w:val="18"/>
          <w:szCs w:val="18"/>
        </w:rPr>
        <w:lastRenderedPageBreak/>
        <w:drawing>
          <wp:inline distT="0" distB="0" distL="0" distR="0" wp14:anchorId="6F5AC313" wp14:editId="41488C38">
            <wp:extent cx="5943600" cy="4457700"/>
            <wp:effectExtent l="0" t="0" r="0" b="127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2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20878" w14:textId="77777777" w:rsidR="00965D51" w:rsidRDefault="00965D51" w:rsidP="00CB36F2">
      <w:pPr>
        <w:spacing w:line="480" w:lineRule="auto"/>
        <w:rPr>
          <w:rFonts w:ascii="Times" w:hAnsi="Times"/>
          <w:b/>
          <w:sz w:val="18"/>
          <w:szCs w:val="18"/>
        </w:rPr>
      </w:pPr>
    </w:p>
    <w:p w14:paraId="644D708A" w14:textId="073A5334" w:rsidR="00D44FD5" w:rsidRPr="006D2F1E" w:rsidRDefault="00D44FD5" w:rsidP="00CB36F2">
      <w:pPr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18"/>
          <w:szCs w:val="18"/>
        </w:rPr>
        <w:t>Supplementary Figure 2</w:t>
      </w:r>
      <w:r w:rsidRPr="006D2F1E">
        <w:rPr>
          <w:rFonts w:ascii="Times" w:hAnsi="Times"/>
          <w:b/>
          <w:sz w:val="18"/>
          <w:szCs w:val="18"/>
        </w:rPr>
        <w:t xml:space="preserve">. Relationship between target enzyme expression and </w:t>
      </w:r>
      <w:r w:rsidR="00CB36F2">
        <w:rPr>
          <w:rFonts w:ascii="Times" w:hAnsi="Times"/>
          <w:b/>
          <w:sz w:val="18"/>
          <w:szCs w:val="18"/>
        </w:rPr>
        <w:t>survival</w:t>
      </w:r>
      <w:r w:rsidRPr="006D2F1E">
        <w:rPr>
          <w:rFonts w:ascii="Times" w:hAnsi="Times"/>
          <w:b/>
          <w:sz w:val="18"/>
          <w:szCs w:val="18"/>
        </w:rPr>
        <w:t xml:space="preserve"> in </w:t>
      </w:r>
      <w:r w:rsidR="00FE4A07">
        <w:rPr>
          <w:rFonts w:ascii="Times" w:hAnsi="Times"/>
          <w:b/>
          <w:sz w:val="18"/>
          <w:szCs w:val="18"/>
        </w:rPr>
        <w:t>an independent</w:t>
      </w:r>
      <w:r>
        <w:rPr>
          <w:rFonts w:ascii="Times" w:hAnsi="Times"/>
          <w:b/>
          <w:sz w:val="18"/>
          <w:szCs w:val="18"/>
        </w:rPr>
        <w:t xml:space="preserve"> </w:t>
      </w:r>
      <w:r w:rsidRPr="006D2F1E">
        <w:rPr>
          <w:rFonts w:ascii="Times" w:hAnsi="Times"/>
          <w:b/>
          <w:sz w:val="18"/>
          <w:szCs w:val="18"/>
        </w:rPr>
        <w:t>pancreatic cancer</w:t>
      </w:r>
      <w:r>
        <w:rPr>
          <w:rFonts w:ascii="Times" w:hAnsi="Times"/>
          <w:b/>
          <w:sz w:val="18"/>
          <w:szCs w:val="18"/>
        </w:rPr>
        <w:t xml:space="preserve"> cohort</w:t>
      </w:r>
      <w:r w:rsidRPr="006D2F1E">
        <w:rPr>
          <w:rFonts w:ascii="Times" w:hAnsi="Times"/>
          <w:b/>
          <w:sz w:val="18"/>
          <w:szCs w:val="18"/>
        </w:rPr>
        <w:t>. A)</w:t>
      </w:r>
      <w:r w:rsidRPr="006D2F1E">
        <w:rPr>
          <w:rFonts w:ascii="Times" w:hAnsi="Times"/>
          <w:sz w:val="18"/>
          <w:szCs w:val="18"/>
        </w:rPr>
        <w:t xml:space="preserve"> Kaplan-Meier plot compares </w:t>
      </w:r>
      <w:r w:rsidR="00CB36F2">
        <w:rPr>
          <w:rFonts w:ascii="Times" w:hAnsi="Times"/>
          <w:sz w:val="18"/>
          <w:szCs w:val="18"/>
        </w:rPr>
        <w:t>overall</w:t>
      </w:r>
      <w:r w:rsidRPr="006D2F1E">
        <w:rPr>
          <w:rFonts w:ascii="Times" w:hAnsi="Times"/>
          <w:sz w:val="18"/>
          <w:szCs w:val="18"/>
        </w:rPr>
        <w:t xml:space="preserve"> survival in high-RRM1 expression vs. low-RRM1 expression subgroups of patients. </w:t>
      </w:r>
      <w:r w:rsidRPr="006D2F1E">
        <w:rPr>
          <w:rFonts w:ascii="Times" w:hAnsi="Times"/>
          <w:b/>
          <w:sz w:val="18"/>
          <w:szCs w:val="18"/>
        </w:rPr>
        <w:t>B)</w:t>
      </w:r>
      <w:r w:rsidRPr="006D2F1E">
        <w:rPr>
          <w:rFonts w:ascii="Times" w:hAnsi="Times"/>
          <w:sz w:val="18"/>
          <w:szCs w:val="18"/>
        </w:rPr>
        <w:t xml:space="preserve"> Kaplan-Meier plot compares </w:t>
      </w:r>
      <w:r w:rsidR="00CB36F2">
        <w:rPr>
          <w:rFonts w:ascii="Times" w:hAnsi="Times"/>
          <w:sz w:val="18"/>
          <w:szCs w:val="18"/>
        </w:rPr>
        <w:t>overall</w:t>
      </w:r>
      <w:r w:rsidRPr="006D2F1E">
        <w:rPr>
          <w:rFonts w:ascii="Times" w:hAnsi="Times"/>
          <w:sz w:val="18"/>
          <w:szCs w:val="18"/>
        </w:rPr>
        <w:t xml:space="preserve"> survival in high-RRM2 expression vs. low-RRM2 expression subgroups of patients.</w:t>
      </w:r>
      <w:r>
        <w:rPr>
          <w:rFonts w:ascii="Times" w:hAnsi="Times"/>
          <w:sz w:val="18"/>
          <w:szCs w:val="18"/>
        </w:rPr>
        <w:t xml:space="preserve"> </w:t>
      </w:r>
      <w:r>
        <w:rPr>
          <w:rFonts w:ascii="Times" w:hAnsi="Times"/>
          <w:b/>
          <w:sz w:val="18"/>
          <w:szCs w:val="18"/>
        </w:rPr>
        <w:t>C</w:t>
      </w:r>
      <w:r w:rsidRPr="006D2F1E">
        <w:rPr>
          <w:rFonts w:ascii="Times" w:hAnsi="Times"/>
          <w:b/>
          <w:sz w:val="18"/>
          <w:szCs w:val="18"/>
        </w:rPr>
        <w:t>)</w:t>
      </w:r>
      <w:r w:rsidRPr="006D2F1E">
        <w:rPr>
          <w:rFonts w:ascii="Times" w:hAnsi="Times"/>
          <w:sz w:val="18"/>
          <w:szCs w:val="18"/>
        </w:rPr>
        <w:t xml:space="preserve"> Kaplan-Meier plot compares </w:t>
      </w:r>
      <w:r w:rsidR="00CB36F2">
        <w:rPr>
          <w:rFonts w:ascii="Times" w:hAnsi="Times"/>
          <w:sz w:val="18"/>
          <w:szCs w:val="18"/>
        </w:rPr>
        <w:t>overall</w:t>
      </w:r>
      <w:r w:rsidRPr="006D2F1E">
        <w:rPr>
          <w:rFonts w:ascii="Times" w:hAnsi="Times"/>
          <w:sz w:val="18"/>
          <w:szCs w:val="18"/>
        </w:rPr>
        <w:t xml:space="preserve"> survival in subgroups </w:t>
      </w:r>
      <w:r>
        <w:rPr>
          <w:rFonts w:ascii="Times" w:hAnsi="Times"/>
          <w:sz w:val="18"/>
          <w:szCs w:val="18"/>
        </w:rPr>
        <w:t xml:space="preserve">of </w:t>
      </w:r>
      <w:r w:rsidRPr="006D2F1E">
        <w:rPr>
          <w:rFonts w:ascii="Times" w:hAnsi="Times"/>
          <w:sz w:val="18"/>
          <w:szCs w:val="18"/>
        </w:rPr>
        <w:t>patients</w:t>
      </w:r>
      <w:r>
        <w:rPr>
          <w:rFonts w:ascii="Times" w:hAnsi="Times"/>
          <w:sz w:val="18"/>
          <w:szCs w:val="18"/>
        </w:rPr>
        <w:t xml:space="preserve"> divided based on our gene signature</w:t>
      </w:r>
      <w:r w:rsidR="00CB36F2">
        <w:rPr>
          <w:rFonts w:ascii="Times" w:hAnsi="Times"/>
          <w:sz w:val="18"/>
          <w:szCs w:val="18"/>
        </w:rPr>
        <w:t xml:space="preserve"> (see Methods)</w:t>
      </w:r>
      <w:r w:rsidRPr="006D2F1E">
        <w:rPr>
          <w:rFonts w:ascii="Times" w:hAnsi="Times"/>
          <w:sz w:val="18"/>
          <w:szCs w:val="18"/>
        </w:rPr>
        <w:t>.</w:t>
      </w:r>
    </w:p>
    <w:p w14:paraId="3C1AAFC2" w14:textId="5A0A9D9D" w:rsidR="00D44FD5" w:rsidRDefault="00D44FD5" w:rsidP="00D44FD5">
      <w:pPr>
        <w:spacing w:line="480" w:lineRule="auto"/>
        <w:rPr>
          <w:rFonts w:ascii="Times" w:hAnsi="Times"/>
          <w:sz w:val="18"/>
          <w:szCs w:val="18"/>
        </w:rPr>
      </w:pPr>
    </w:p>
    <w:p w14:paraId="2465DBEC" w14:textId="77777777" w:rsidR="00D44FD5" w:rsidRDefault="00D44FD5" w:rsidP="00152565">
      <w:pPr>
        <w:spacing w:line="480" w:lineRule="auto"/>
        <w:rPr>
          <w:rFonts w:ascii="Times" w:hAnsi="Times"/>
          <w:sz w:val="18"/>
          <w:szCs w:val="18"/>
        </w:rPr>
      </w:pPr>
    </w:p>
    <w:p w14:paraId="1738225A" w14:textId="77777777" w:rsidR="00965D51" w:rsidRDefault="00965D51" w:rsidP="00152565">
      <w:pPr>
        <w:spacing w:line="480" w:lineRule="auto"/>
        <w:rPr>
          <w:rFonts w:ascii="Times" w:hAnsi="Times"/>
          <w:sz w:val="18"/>
          <w:szCs w:val="18"/>
        </w:rPr>
      </w:pPr>
    </w:p>
    <w:p w14:paraId="4EF59C9E" w14:textId="77777777" w:rsidR="00965D51" w:rsidRDefault="00965D51" w:rsidP="00152565">
      <w:pPr>
        <w:spacing w:line="480" w:lineRule="auto"/>
        <w:rPr>
          <w:rFonts w:ascii="Times" w:hAnsi="Times"/>
          <w:sz w:val="18"/>
          <w:szCs w:val="18"/>
        </w:rPr>
      </w:pPr>
    </w:p>
    <w:p w14:paraId="3F864B4A" w14:textId="77777777" w:rsidR="00965D51" w:rsidRDefault="00965D51" w:rsidP="00152565">
      <w:pPr>
        <w:spacing w:line="480" w:lineRule="auto"/>
        <w:rPr>
          <w:rFonts w:ascii="Times" w:hAnsi="Times"/>
          <w:sz w:val="18"/>
          <w:szCs w:val="18"/>
        </w:rPr>
      </w:pPr>
    </w:p>
    <w:p w14:paraId="1E033352" w14:textId="25CB74E2" w:rsidR="00965D51" w:rsidRDefault="00965D51" w:rsidP="00152565">
      <w:pPr>
        <w:spacing w:line="480" w:lineRule="auto"/>
        <w:rPr>
          <w:rFonts w:ascii="Times" w:hAnsi="Times"/>
          <w:sz w:val="18"/>
          <w:szCs w:val="18"/>
        </w:rPr>
      </w:pPr>
      <w:r>
        <w:rPr>
          <w:rFonts w:ascii="Times" w:hAnsi="Times"/>
          <w:noProof/>
          <w:sz w:val="18"/>
          <w:szCs w:val="18"/>
        </w:rPr>
        <w:drawing>
          <wp:inline distT="0" distB="0" distL="0" distR="0" wp14:anchorId="094FBC06" wp14:editId="62FE7242">
            <wp:extent cx="5943600" cy="4457700"/>
            <wp:effectExtent l="0" t="0" r="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3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1B37" w14:textId="66D56A8F" w:rsidR="00152565" w:rsidRPr="006D2F1E" w:rsidRDefault="0002451F" w:rsidP="00152565">
      <w:pPr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18"/>
          <w:szCs w:val="18"/>
        </w:rPr>
        <w:t>Supplementary Figure 3</w:t>
      </w:r>
      <w:r w:rsidR="00152565" w:rsidRPr="006D2F1E">
        <w:rPr>
          <w:rFonts w:ascii="Times" w:hAnsi="Times"/>
          <w:b/>
          <w:sz w:val="18"/>
          <w:szCs w:val="18"/>
        </w:rPr>
        <w:t>. Identifying gene expression signatures of sensitivity to Gemcitabine in pancreatic cancer cell lines. A)</w:t>
      </w:r>
      <w:r w:rsidR="00152565" w:rsidRPr="006D2F1E">
        <w:rPr>
          <w:rFonts w:ascii="Times" w:hAnsi="Times"/>
          <w:sz w:val="18"/>
          <w:szCs w:val="18"/>
        </w:rPr>
        <w:t xml:space="preserve"> Schematic of the step-wise filtering used for gene selection in pancreatic cancer (COSMIC PAAD). </w:t>
      </w:r>
      <w:r w:rsidR="00152565" w:rsidRPr="006D2F1E">
        <w:rPr>
          <w:rFonts w:ascii="Times" w:hAnsi="Times"/>
          <w:b/>
          <w:sz w:val="18"/>
          <w:szCs w:val="18"/>
        </w:rPr>
        <w:t>B)</w:t>
      </w:r>
      <w:r w:rsidR="00152565" w:rsidRPr="006D2F1E">
        <w:rPr>
          <w:rFonts w:ascii="Times" w:hAnsi="Times"/>
          <w:sz w:val="18"/>
          <w:szCs w:val="18"/>
        </w:rPr>
        <w:t xml:space="preserve"> Hierarchical clustering </w:t>
      </w:r>
      <w:proofErr w:type="spellStart"/>
      <w:r w:rsidR="00152565" w:rsidRPr="006D2F1E">
        <w:rPr>
          <w:rFonts w:ascii="Times" w:hAnsi="Times"/>
          <w:sz w:val="18"/>
          <w:szCs w:val="18"/>
        </w:rPr>
        <w:t>heatmap</w:t>
      </w:r>
      <w:proofErr w:type="spellEnd"/>
      <w:r w:rsidR="00152565" w:rsidRPr="006D2F1E">
        <w:rPr>
          <w:rFonts w:ascii="Times" w:hAnsi="Times"/>
          <w:sz w:val="18"/>
          <w:szCs w:val="18"/>
        </w:rPr>
        <w:t xml:space="preserve"> of the discretized gene favorability scores. Columns represent genes and rows represent individuals. Favorable scores are shown by the color red (F=1), unfavorable by blue (F= -1), and neutral by yellow (F=0) (see Methods). </w:t>
      </w:r>
      <w:r w:rsidR="00152565" w:rsidRPr="006D2F1E">
        <w:rPr>
          <w:rFonts w:ascii="Times" w:hAnsi="Times"/>
          <w:b/>
          <w:sz w:val="18"/>
          <w:szCs w:val="18"/>
        </w:rPr>
        <w:t>C)</w:t>
      </w:r>
      <w:r w:rsidR="00152565" w:rsidRPr="006D2F1E">
        <w:rPr>
          <w:rFonts w:ascii="Times" w:hAnsi="Times"/>
          <w:sz w:val="18"/>
          <w:szCs w:val="18"/>
        </w:rPr>
        <w:t xml:space="preserve"> Box-plots comparing the resistance to Gemcitabine (log IC-50 values) between the two cell line subgroups identified in part B (error bars show the range of the data points in each group).</w:t>
      </w:r>
    </w:p>
    <w:p w14:paraId="3382BBA9" w14:textId="77777777" w:rsidR="00152565" w:rsidRPr="006D2F1E" w:rsidRDefault="00152565" w:rsidP="00152565">
      <w:pPr>
        <w:spacing w:line="480" w:lineRule="auto"/>
        <w:rPr>
          <w:rFonts w:ascii="Times" w:hAnsi="Times"/>
          <w:sz w:val="24"/>
          <w:szCs w:val="24"/>
        </w:rPr>
      </w:pPr>
    </w:p>
    <w:p w14:paraId="39662274" w14:textId="77777777" w:rsidR="00152565" w:rsidRPr="006D2F1E" w:rsidRDefault="00152565" w:rsidP="00152565">
      <w:pPr>
        <w:spacing w:line="480" w:lineRule="auto"/>
        <w:rPr>
          <w:rFonts w:ascii="Times" w:hAnsi="Times"/>
          <w:sz w:val="24"/>
          <w:szCs w:val="24"/>
        </w:rPr>
      </w:pPr>
    </w:p>
    <w:p w14:paraId="626CA99A" w14:textId="77777777" w:rsidR="00544F11" w:rsidRDefault="00FE4A07">
      <w:bookmarkStart w:id="0" w:name="_GoBack"/>
      <w:bookmarkEnd w:id="0"/>
    </w:p>
    <w:sectPr w:rsidR="00544F11" w:rsidSect="00326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65"/>
    <w:rsid w:val="0002451F"/>
    <w:rsid w:val="00137CE8"/>
    <w:rsid w:val="00152565"/>
    <w:rsid w:val="00276E59"/>
    <w:rsid w:val="0032645F"/>
    <w:rsid w:val="005175BD"/>
    <w:rsid w:val="007155B8"/>
    <w:rsid w:val="00965D51"/>
    <w:rsid w:val="00CB36F2"/>
    <w:rsid w:val="00D44FD5"/>
    <w:rsid w:val="00EC7C30"/>
    <w:rsid w:val="00FE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388DC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52565"/>
    <w:pPr>
      <w:spacing w:after="200" w:line="276" w:lineRule="auto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1365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Jason Locasale</cp:lastModifiedBy>
  <cp:revision>2</cp:revision>
  <dcterms:created xsi:type="dcterms:W3CDTF">2017-09-27T19:28:00Z</dcterms:created>
  <dcterms:modified xsi:type="dcterms:W3CDTF">2017-09-27T19:28:00Z</dcterms:modified>
</cp:coreProperties>
</file>