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E94" w:rsidRDefault="00454E94" w:rsidP="00454E94">
      <w:pPr>
        <w:spacing w:line="480" w:lineRule="auto"/>
        <w:jc w:val="both"/>
        <w:rPr>
          <w:rFonts w:ascii="Arial" w:hAnsi="Arial" w:cs="Arial"/>
          <w:b/>
          <w:sz w:val="24"/>
        </w:rPr>
      </w:pPr>
      <w:r w:rsidRPr="00226297">
        <w:rPr>
          <w:rFonts w:ascii="Arial" w:hAnsi="Arial" w:cs="Arial"/>
          <w:b/>
          <w:sz w:val="24"/>
        </w:rPr>
        <w:t>Additional Fi</w:t>
      </w:r>
      <w:r>
        <w:rPr>
          <w:rFonts w:ascii="Arial" w:hAnsi="Arial" w:cs="Arial"/>
          <w:b/>
          <w:sz w:val="24"/>
        </w:rPr>
        <w:t xml:space="preserve">le </w:t>
      </w:r>
      <w:r w:rsidR="00DC4E04">
        <w:rPr>
          <w:rFonts w:ascii="Arial" w:hAnsi="Arial" w:cs="Arial"/>
          <w:b/>
          <w:sz w:val="24"/>
        </w:rPr>
        <w:t>8</w:t>
      </w:r>
      <w:bookmarkStart w:id="0" w:name="_GoBack"/>
      <w:bookmarkEnd w:id="0"/>
      <w:r w:rsidRPr="00226297">
        <w:rPr>
          <w:rFonts w:ascii="Arial" w:hAnsi="Arial" w:cs="Arial"/>
          <w:b/>
          <w:sz w:val="24"/>
        </w:rPr>
        <w:t>: Figure S</w:t>
      </w:r>
      <w:r>
        <w:rPr>
          <w:rFonts w:ascii="Arial" w:hAnsi="Arial" w:cs="Arial"/>
          <w:b/>
          <w:sz w:val="24"/>
        </w:rPr>
        <w:t>7</w:t>
      </w:r>
    </w:p>
    <w:p w:rsidR="00454E94" w:rsidRPr="00B26338" w:rsidRDefault="00454E94" w:rsidP="00454E94">
      <w:pPr>
        <w:spacing w:line="48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noProof/>
          <w:sz w:val="24"/>
        </w:rPr>
        <w:drawing>
          <wp:inline distT="0" distB="0" distL="0" distR="0">
            <wp:extent cx="4991100" cy="1905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E94" w:rsidRDefault="00454E94" w:rsidP="00454E94">
      <w:pPr>
        <w:spacing w:line="48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Figure </w:t>
      </w:r>
      <w:r w:rsidR="00236C3C">
        <w:rPr>
          <w:rFonts w:ascii="Arial" w:hAnsi="Arial" w:cs="Arial"/>
          <w:b/>
          <w:sz w:val="24"/>
        </w:rPr>
        <w:t>S</w:t>
      </w:r>
      <w:r>
        <w:rPr>
          <w:rFonts w:ascii="Arial" w:hAnsi="Arial" w:cs="Arial"/>
          <w:b/>
          <w:sz w:val="24"/>
        </w:rPr>
        <w:t xml:space="preserve">7: Effect of LDLc on sorafenib mediated signalling. a </w:t>
      </w:r>
      <w:r>
        <w:rPr>
          <w:rFonts w:ascii="Arial" w:hAnsi="Arial" w:cs="Arial"/>
          <w:sz w:val="24"/>
        </w:rPr>
        <w:t xml:space="preserve">HepG2 and HuH-7 cells were seeded and allowed to adhere. Cells were cultured in DMEM containing 5% LPDS for overnight. Cells were pre-treated with LDLc (100 µg/ml) for 2 h in fresh DMEM containing 5% LPDS followed by treatment of sorafenib (5 µM) for 1 h, as indicated. Whole cell lysates were resolved on SDS-PAGE and expression of pERK, ERK and </w:t>
      </w:r>
      <w:r>
        <w:rPr>
          <w:rFonts w:cs="Arial"/>
          <w:sz w:val="24"/>
        </w:rPr>
        <w:t>β</w:t>
      </w:r>
      <w:r>
        <w:rPr>
          <w:rFonts w:ascii="Arial" w:hAnsi="Arial" w:cs="Arial"/>
          <w:sz w:val="24"/>
        </w:rPr>
        <w:t xml:space="preserve">-Actin were analyzed by Western blot. </w:t>
      </w:r>
      <w:r w:rsidRPr="001A2A04">
        <w:rPr>
          <w:rFonts w:ascii="Arial" w:hAnsi="Arial" w:cs="Arial"/>
          <w:b/>
          <w:sz w:val="24"/>
        </w:rPr>
        <w:t>B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Band intensities of pERK from three independent experiments were measured by densitometry and normalized with band intensities of ERK. The results are depicted in a bar graph as mean ± standard deviation; **p &lt; 0.01 and ***p&lt;0.001 denote significant differences in the groups.</w:t>
      </w:r>
    </w:p>
    <w:p w:rsidR="00ED3CCE" w:rsidRDefault="00ED3CCE"/>
    <w:sectPr w:rsidR="00ED3C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454E94"/>
    <w:rsid w:val="00236C3C"/>
    <w:rsid w:val="00454E94"/>
    <w:rsid w:val="00DC4E04"/>
    <w:rsid w:val="00E16FDE"/>
    <w:rsid w:val="00ED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4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E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4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E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TBANIGA</dc:creator>
  <cp:lastModifiedBy>Torres, Sandra</cp:lastModifiedBy>
  <cp:revision>3</cp:revision>
  <dcterms:created xsi:type="dcterms:W3CDTF">2018-09-28T01:59:00Z</dcterms:created>
  <dcterms:modified xsi:type="dcterms:W3CDTF">2018-10-03T16:42:00Z</dcterms:modified>
</cp:coreProperties>
</file>