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0A4FD" w14:textId="6CB72632" w:rsidR="00921DFA" w:rsidRPr="00D51AB8" w:rsidRDefault="00921DFA" w:rsidP="00D51AB8">
      <w:pPr>
        <w:pStyle w:val="NoSpacing"/>
        <w:spacing w:line="480" w:lineRule="auto"/>
        <w:rPr>
          <w:rFonts w:ascii="Arial" w:hAnsi="Arial" w:cs="Arial"/>
          <w:b/>
          <w:i/>
          <w:lang w:val="en-US"/>
        </w:rPr>
      </w:pPr>
      <w:r w:rsidRPr="00D15B1C">
        <w:rPr>
          <w:rFonts w:ascii="Arial" w:hAnsi="Arial" w:cs="Arial"/>
          <w:b/>
          <w:i/>
          <w:lang w:val="en-US"/>
        </w:rPr>
        <w:t xml:space="preserve">Supplementary figures </w:t>
      </w:r>
      <w:r w:rsidR="008C0D9A">
        <w:rPr>
          <w:rFonts w:ascii="Arial" w:hAnsi="Arial" w:cs="Arial"/>
          <w:b/>
          <w:i/>
          <w:lang w:val="en-US"/>
        </w:rPr>
        <w:t>and tables</w:t>
      </w:r>
    </w:p>
    <w:p w14:paraId="40EFCDEE" w14:textId="6F43DA4B" w:rsidR="00971575" w:rsidRPr="00BA4376" w:rsidRDefault="00EC2A82" w:rsidP="00D51AB8">
      <w:pPr>
        <w:pStyle w:val="NoSpacing"/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BA4376">
        <w:rPr>
          <w:rFonts w:ascii="Arial" w:hAnsi="Arial" w:cs="Arial"/>
          <w:b/>
          <w:sz w:val="22"/>
          <w:szCs w:val="22"/>
          <w:lang w:val="en-US"/>
        </w:rPr>
        <w:t>Supplementary figure 1:</w:t>
      </w:r>
    </w:p>
    <w:p w14:paraId="461A7265" w14:textId="1F06446D" w:rsidR="001B30CE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eastAsia="de-DE"/>
        </w:rPr>
        <w:drawing>
          <wp:inline distT="0" distB="0" distL="0" distR="0" wp14:anchorId="4E7BCCBC" wp14:editId="5A0D5ED7">
            <wp:extent cx="3637503" cy="35239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Biom_Supplementary Fi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419" cy="352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45906" w14:textId="0A9A5181" w:rsidR="00EC2A82" w:rsidRDefault="00EC2A82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99B88E4" w14:textId="77777777" w:rsidR="00420684" w:rsidRDefault="00380DD2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380DD2">
        <w:rPr>
          <w:rFonts w:ascii="Arial" w:hAnsi="Arial" w:cs="Arial"/>
          <w:b/>
          <w:sz w:val="22"/>
          <w:szCs w:val="22"/>
          <w:lang w:val="en-US"/>
        </w:rPr>
        <w:t xml:space="preserve">Supplementary figure 1: </w:t>
      </w:r>
      <w:r w:rsidR="00420684">
        <w:rPr>
          <w:rFonts w:ascii="Arial" w:hAnsi="Arial" w:cs="Arial"/>
          <w:b/>
          <w:sz w:val="22"/>
          <w:szCs w:val="22"/>
          <w:lang w:val="en-US"/>
        </w:rPr>
        <w:t>Gene expression analysis in different PDAC model</w:t>
      </w:r>
    </w:p>
    <w:p w14:paraId="204CB777" w14:textId="5F3D591F" w:rsidR="00380DD2" w:rsidRPr="00D05F7D" w:rsidRDefault="00420684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</w:t>
      </w:r>
      <w:r w:rsidR="00E66007" w:rsidRPr="00420684">
        <w:rPr>
          <w:rFonts w:ascii="Arial" w:hAnsi="Arial" w:cs="Arial"/>
          <w:b/>
          <w:sz w:val="22"/>
          <w:szCs w:val="22"/>
          <w:lang w:val="en-US"/>
        </w:rPr>
        <w:t>)</w:t>
      </w:r>
      <w:r w:rsidR="00E66007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25743C" w:rsidRPr="0025743C">
        <w:rPr>
          <w:rFonts w:ascii="Arial" w:hAnsi="Arial" w:cs="Arial"/>
          <w:sz w:val="22"/>
          <w:szCs w:val="22"/>
          <w:lang w:val="en-US"/>
        </w:rPr>
        <w:t>qPCR analysis of</w:t>
      </w:r>
      <w:r w:rsidR="00380DD2" w:rsidRPr="00380DD2">
        <w:rPr>
          <w:rFonts w:ascii="Arial" w:hAnsi="Arial" w:cs="Arial"/>
          <w:sz w:val="22"/>
          <w:szCs w:val="22"/>
          <w:lang w:val="en-US"/>
        </w:rPr>
        <w:t xml:space="preserve"> epithelial marker E-cadherin (</w:t>
      </w:r>
      <w:r w:rsidR="00380DD2" w:rsidRPr="00380DD2">
        <w:rPr>
          <w:rFonts w:ascii="Arial" w:hAnsi="Arial" w:cs="Arial"/>
          <w:i/>
          <w:sz w:val="22"/>
          <w:szCs w:val="22"/>
          <w:lang w:val="en-US"/>
        </w:rPr>
        <w:t>CDH1</w:t>
      </w:r>
      <w:r w:rsidR="00380DD2" w:rsidRPr="00380DD2">
        <w:rPr>
          <w:rFonts w:ascii="Arial" w:hAnsi="Arial" w:cs="Arial"/>
          <w:sz w:val="22"/>
          <w:szCs w:val="22"/>
          <w:lang w:val="en-US"/>
        </w:rPr>
        <w:t>) and mesenchymal marker Vimentin (</w:t>
      </w:r>
      <w:r w:rsidR="00380DD2" w:rsidRPr="00380DD2">
        <w:rPr>
          <w:rFonts w:ascii="Arial" w:hAnsi="Arial" w:cs="Arial"/>
          <w:i/>
          <w:sz w:val="22"/>
          <w:szCs w:val="22"/>
          <w:lang w:val="en-US"/>
        </w:rPr>
        <w:t>VIM</w:t>
      </w:r>
      <w:r w:rsidR="00380DD2" w:rsidRPr="00380DD2">
        <w:rPr>
          <w:rFonts w:ascii="Arial" w:hAnsi="Arial" w:cs="Arial"/>
          <w:sz w:val="22"/>
          <w:szCs w:val="22"/>
          <w:lang w:val="en-US"/>
        </w:rPr>
        <w:t xml:space="preserve">) in classical and QM PDAC cells. </w:t>
      </w:r>
      <w:r w:rsidR="009640CB">
        <w:rPr>
          <w:rFonts w:ascii="Arial" w:hAnsi="Arial" w:cs="Arial"/>
          <w:sz w:val="22"/>
          <w:szCs w:val="22"/>
          <w:lang w:val="en-US"/>
        </w:rPr>
        <w:t xml:space="preserve">In general, higher expression of E-cadherin in classical and Vimentin in </w:t>
      </w:r>
      <w:r w:rsidR="00380DD2">
        <w:rPr>
          <w:rFonts w:ascii="Arial" w:hAnsi="Arial" w:cs="Arial"/>
          <w:sz w:val="22"/>
          <w:szCs w:val="22"/>
          <w:lang w:val="en-US"/>
        </w:rPr>
        <w:t>QM cells</w:t>
      </w:r>
      <w:r w:rsidR="009640CB">
        <w:rPr>
          <w:rFonts w:ascii="Arial" w:hAnsi="Arial" w:cs="Arial"/>
          <w:sz w:val="22"/>
          <w:szCs w:val="22"/>
          <w:lang w:val="en-US"/>
        </w:rPr>
        <w:t xml:space="preserve"> observed</w:t>
      </w:r>
      <w:r w:rsidR="00380DD2">
        <w:rPr>
          <w:rFonts w:ascii="Arial" w:hAnsi="Arial" w:cs="Arial"/>
          <w:sz w:val="22"/>
          <w:szCs w:val="22"/>
          <w:lang w:val="en-US"/>
        </w:rPr>
        <w:t>.</w:t>
      </w:r>
      <w:r w:rsidR="00E33200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A69007C" w14:textId="096331D6" w:rsidR="00380DD2" w:rsidRDefault="00380DD2" w:rsidP="00D51AB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</w:p>
    <w:p w14:paraId="0298B5F3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17103839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794C55A0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783CCCB5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D5D9034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4C09081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723630AC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5B145BA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03CC3A5E" w14:textId="77777777" w:rsidR="00471181" w:rsidRDefault="00471181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5E98F390" w14:textId="1DE1C097" w:rsidR="001B30CE" w:rsidRDefault="00D05F7D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D05F7D">
        <w:rPr>
          <w:rFonts w:ascii="Arial" w:hAnsi="Arial" w:cs="Arial"/>
          <w:b/>
          <w:sz w:val="22"/>
          <w:szCs w:val="22"/>
          <w:lang w:val="en-US"/>
        </w:rPr>
        <w:lastRenderedPageBreak/>
        <w:t>Supplementary figure 2:</w:t>
      </w:r>
    </w:p>
    <w:p w14:paraId="1EA3E28F" w14:textId="460B4A55" w:rsidR="00420684" w:rsidRDefault="00420684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eastAsia="de-DE"/>
        </w:rPr>
        <w:drawing>
          <wp:inline distT="0" distB="0" distL="0" distR="0" wp14:anchorId="3A2F818F" wp14:editId="343F4F1F">
            <wp:extent cx="5756910" cy="6873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Biom_Supplementary Figure 2_Lactate_31052021_PDX ICF sampl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B033" w14:textId="3F7968C6" w:rsidR="00D05F7D" w:rsidRPr="00D05F7D" w:rsidRDefault="00D05F7D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019DCA15" w14:textId="550B8D30" w:rsidR="00420684" w:rsidRPr="006756EA" w:rsidRDefault="00380DD2" w:rsidP="00D51AB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380DD2">
        <w:rPr>
          <w:rFonts w:ascii="Arial" w:hAnsi="Arial" w:cs="Arial"/>
          <w:b/>
          <w:sz w:val="22"/>
          <w:szCs w:val="22"/>
          <w:lang w:val="en-US"/>
        </w:rPr>
        <w:t xml:space="preserve">Supplementary figure </w:t>
      </w:r>
      <w:r w:rsidR="00AF3B4A">
        <w:rPr>
          <w:rFonts w:ascii="Arial" w:hAnsi="Arial" w:cs="Arial"/>
          <w:b/>
          <w:sz w:val="22"/>
          <w:szCs w:val="22"/>
          <w:lang w:val="en-US"/>
        </w:rPr>
        <w:t>2</w:t>
      </w:r>
      <w:r w:rsidRPr="00380DD2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="00420684">
        <w:rPr>
          <w:rFonts w:ascii="Arial" w:hAnsi="Arial" w:cs="Arial"/>
          <w:b/>
          <w:sz w:val="22"/>
          <w:szCs w:val="22"/>
          <w:lang w:val="en-US"/>
        </w:rPr>
        <w:t xml:space="preserve"> Glycolysis and lactate metabolism in PDAC. a</w:t>
      </w:r>
      <w:r w:rsidR="00420684" w:rsidRPr="00380DD2">
        <w:rPr>
          <w:rFonts w:ascii="Arial" w:hAnsi="Arial" w:cs="Arial"/>
          <w:sz w:val="22"/>
          <w:szCs w:val="22"/>
          <w:lang w:val="en-US"/>
        </w:rPr>
        <w:t>)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Gene expression analysis for glycolytic genes in PDX and patient PDAC samples (Illumina HT12 bead-array).</w:t>
      </w:r>
      <w:r w:rsidR="007410D3">
        <w:rPr>
          <w:rFonts w:ascii="Arial" w:hAnsi="Arial" w:cs="Arial"/>
          <w:sz w:val="22"/>
          <w:szCs w:val="22"/>
          <w:lang w:val="en-US"/>
        </w:rPr>
        <w:t xml:space="preserve"> SLC16A3 presents higher expression than SLC16A1 in both sample cohorts, PDX and bulk patient PDAC.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</w:t>
      </w:r>
      <w:r w:rsidR="00420684" w:rsidRPr="00420684">
        <w:rPr>
          <w:rFonts w:ascii="Arial" w:hAnsi="Arial" w:cs="Arial"/>
          <w:b/>
          <w:sz w:val="22"/>
          <w:szCs w:val="22"/>
          <w:lang w:val="en-US"/>
        </w:rPr>
        <w:t>b)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OCR levels measured for cell lines and PDCs after 7 hours </w:t>
      </w:r>
      <w:r w:rsidR="00420684">
        <w:rPr>
          <w:rFonts w:ascii="Arial" w:hAnsi="Arial" w:cs="Arial"/>
          <w:sz w:val="22"/>
          <w:szCs w:val="22"/>
          <w:lang w:val="en-US"/>
        </w:rPr>
        <w:lastRenderedPageBreak/>
        <w:t>of cultivation in media without glucose or glutamine</w:t>
      </w:r>
      <w:r w:rsidR="007410D3">
        <w:rPr>
          <w:rFonts w:ascii="Arial" w:hAnsi="Arial" w:cs="Arial"/>
          <w:sz w:val="22"/>
          <w:szCs w:val="22"/>
          <w:lang w:val="en-US"/>
        </w:rPr>
        <w:t>, “basal media”. For 6 hours cells were in DMEM or RPMI without glucose/glutamine but with 1% FBS, the last 7</w:t>
      </w:r>
      <w:r w:rsidR="007410D3" w:rsidRPr="007410D3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7410D3">
        <w:rPr>
          <w:rFonts w:ascii="Arial" w:hAnsi="Arial" w:cs="Arial"/>
          <w:sz w:val="22"/>
          <w:szCs w:val="22"/>
          <w:lang w:val="en-US"/>
        </w:rPr>
        <w:t xml:space="preserve"> hour in Seahorse DMEM or RPMI media without glucose, glutamine or FBS</w:t>
      </w:r>
      <w:r w:rsidR="00420684">
        <w:rPr>
          <w:rFonts w:ascii="Arial" w:hAnsi="Arial" w:cs="Arial"/>
          <w:sz w:val="22"/>
          <w:szCs w:val="22"/>
          <w:lang w:val="en-US"/>
        </w:rPr>
        <w:t>. HPAC, HPAFII, HUPT4 and PDC89 present high relative OCR levels suggesting</w:t>
      </w:r>
      <w:r w:rsidR="006756EA">
        <w:rPr>
          <w:rFonts w:ascii="Arial" w:hAnsi="Arial" w:cs="Arial"/>
          <w:sz w:val="22"/>
          <w:szCs w:val="22"/>
          <w:lang w:val="en-US"/>
        </w:rPr>
        <w:t xml:space="preserve"> oxidation of alternative fuels</w:t>
      </w:r>
      <w:r w:rsidR="00420684">
        <w:rPr>
          <w:rFonts w:ascii="Arial" w:hAnsi="Arial" w:cs="Arial"/>
          <w:sz w:val="22"/>
          <w:szCs w:val="22"/>
          <w:lang w:val="en-US"/>
        </w:rPr>
        <w:t>. Presented are</w:t>
      </w:r>
      <w:r w:rsidR="00420684" w:rsidRPr="00B77FA5">
        <w:rPr>
          <w:rFonts w:ascii="Arial" w:hAnsi="Arial" w:cs="Arial"/>
          <w:sz w:val="22"/>
          <w:szCs w:val="22"/>
          <w:lang w:val="en-US"/>
        </w:rPr>
        <w:t xml:space="preserve"> </w:t>
      </w:r>
      <w:r w:rsidR="00420684">
        <w:rPr>
          <w:rFonts w:ascii="Arial" w:hAnsi="Arial" w:cs="Arial"/>
          <w:sz w:val="22"/>
          <w:szCs w:val="22"/>
          <w:lang w:val="en-US"/>
        </w:rPr>
        <w:t>OCR values (</w:t>
      </w:r>
      <w:proofErr w:type="spellStart"/>
      <w:r w:rsidR="00420684">
        <w:rPr>
          <w:rFonts w:ascii="Arial" w:hAnsi="Arial" w:cs="Arial"/>
          <w:sz w:val="22"/>
          <w:szCs w:val="22"/>
          <w:lang w:val="en-US"/>
        </w:rPr>
        <w:t>mean+SD</w:t>
      </w:r>
      <w:proofErr w:type="spellEnd"/>
      <w:r w:rsidR="00420684">
        <w:rPr>
          <w:rFonts w:ascii="Arial" w:hAnsi="Arial" w:cs="Arial"/>
          <w:sz w:val="22"/>
          <w:szCs w:val="22"/>
          <w:lang w:val="en-US"/>
        </w:rPr>
        <w:t>) calculated from 3 technical replicates per cell line in one experiment. OCR values normalized to 10000 seeded cells. At least 2 independent experiments performed;</w:t>
      </w:r>
      <w:r w:rsidR="006756EA">
        <w:rPr>
          <w:rFonts w:ascii="Arial" w:hAnsi="Arial" w:cs="Arial"/>
          <w:sz w:val="22"/>
          <w:szCs w:val="22"/>
          <w:lang w:val="en-US"/>
        </w:rPr>
        <w:t xml:space="preserve"> </w:t>
      </w:r>
      <w:r w:rsidR="00420684">
        <w:rPr>
          <w:rFonts w:ascii="Arial" w:hAnsi="Arial" w:cs="Arial"/>
          <w:b/>
          <w:sz w:val="22"/>
          <w:szCs w:val="22"/>
          <w:lang w:val="en-US"/>
        </w:rPr>
        <w:t>c)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Measurement of lactate concentrations in the media. PSN1(QM), </w:t>
      </w:r>
      <w:r w:rsidR="00420684" w:rsidRPr="00380DD2">
        <w:rPr>
          <w:rFonts w:ascii="Arial" w:hAnsi="Arial" w:cs="Arial"/>
          <w:sz w:val="22"/>
          <w:szCs w:val="22"/>
          <w:lang w:val="en-US"/>
        </w:rPr>
        <w:t>PaTu8988T (QM)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and</w:t>
      </w:r>
      <w:r w:rsidR="00420684" w:rsidRPr="00380DD2">
        <w:rPr>
          <w:rFonts w:ascii="Arial" w:hAnsi="Arial" w:cs="Arial"/>
          <w:sz w:val="22"/>
          <w:szCs w:val="22"/>
          <w:lang w:val="en-US"/>
        </w:rPr>
        <w:t xml:space="preserve"> PaTu8988S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</w:t>
      </w:r>
      <w:r w:rsidR="00420684" w:rsidRPr="00380DD2">
        <w:rPr>
          <w:rFonts w:ascii="Arial" w:hAnsi="Arial" w:cs="Arial"/>
          <w:sz w:val="22"/>
          <w:szCs w:val="22"/>
          <w:lang w:val="en-US"/>
        </w:rPr>
        <w:t>(classical) PDAC cells were cultivated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in DMEM medium (5mM glucose, 2 </w:t>
      </w:r>
      <w:proofErr w:type="spellStart"/>
      <w:r w:rsidR="00420684">
        <w:rPr>
          <w:rFonts w:ascii="Arial" w:hAnsi="Arial" w:cs="Arial"/>
          <w:sz w:val="22"/>
          <w:szCs w:val="22"/>
          <w:lang w:val="en-US"/>
        </w:rPr>
        <w:t>mM</w:t>
      </w:r>
      <w:proofErr w:type="spellEnd"/>
      <w:r w:rsidR="00420684">
        <w:rPr>
          <w:rFonts w:ascii="Arial" w:hAnsi="Arial" w:cs="Arial"/>
          <w:sz w:val="22"/>
          <w:szCs w:val="22"/>
          <w:lang w:val="en-US"/>
        </w:rPr>
        <w:t xml:space="preserve"> glutamine, 5% FBS) for 4 days. At defined time points an aliquot of media was collected, cells harvested and counted, and lactate and glucose concentration was measured. In PSN1 and PaTu8988T cells, lactate concentrations first increase (48-72h) corresponding to initial secretion, and then decrease (72h) indicating consumption of locally produced lactate once glucose is deprived. Effects </w:t>
      </w:r>
      <w:r w:rsidR="005B64FE">
        <w:rPr>
          <w:rFonts w:ascii="Arial" w:hAnsi="Arial" w:cs="Arial"/>
          <w:sz w:val="22"/>
          <w:szCs w:val="22"/>
          <w:lang w:val="en-US"/>
        </w:rPr>
        <w:t>not visible</w:t>
      </w:r>
      <w:r w:rsidR="00420684">
        <w:rPr>
          <w:rFonts w:ascii="Arial" w:hAnsi="Arial" w:cs="Arial"/>
          <w:sz w:val="22"/>
          <w:szCs w:val="22"/>
          <w:lang w:val="en-US"/>
        </w:rPr>
        <w:t xml:space="preserve"> in classical PaTu8988S cells due to slower consumption of glucose. Absolute measured (mmol/l) and cell number normalized (mmol/l/1 million cells) lactate concentrations are presented.</w:t>
      </w:r>
    </w:p>
    <w:p w14:paraId="1E1E0B22" w14:textId="77777777" w:rsidR="00420684" w:rsidRDefault="00420684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06A6161C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75115188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0A800B60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54A62862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C21C53C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143EFEBF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112FAF16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03D365FE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7B7D97D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8984C8E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21F3D202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5E3C5DB6" w14:textId="77777777" w:rsidR="008C0D9A" w:rsidRDefault="008C0D9A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0FFC4922" w14:textId="691B7AA1" w:rsidR="00CA12A6" w:rsidRDefault="00D05F7D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D05F7D">
        <w:rPr>
          <w:rFonts w:ascii="Arial" w:hAnsi="Arial" w:cs="Arial"/>
          <w:b/>
          <w:sz w:val="22"/>
          <w:szCs w:val="22"/>
          <w:lang w:val="en-US"/>
        </w:rPr>
        <w:lastRenderedPageBreak/>
        <w:t>Supplementary figure 3:</w:t>
      </w:r>
    </w:p>
    <w:p w14:paraId="443513B2" w14:textId="2381DE90" w:rsidR="00DA70BB" w:rsidRDefault="00D238D4" w:rsidP="00DA70BB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ins w:id="0" w:author="Microsoft Office-Anwender" w:date="2022-11-17T16:08:00Z">
        <w:r w:rsidRPr="00D238D4">
          <w:rPr>
            <w:rFonts w:ascii="Arial" w:hAnsi="Arial" w:cs="Arial"/>
            <w:noProof/>
            <w:sz w:val="22"/>
            <w:szCs w:val="22"/>
            <w:lang w:eastAsia="de-DE"/>
          </w:rPr>
          <w:drawing>
            <wp:anchor distT="0" distB="0" distL="114300" distR="114300" simplePos="0" relativeHeight="251659264" behindDoc="0" locked="0" layoutInCell="1" allowOverlap="1" wp14:anchorId="2C4360C4" wp14:editId="5C813D54">
              <wp:simplePos x="0" y="0"/>
              <wp:positionH relativeFrom="column">
                <wp:posOffset>67310</wp:posOffset>
              </wp:positionH>
              <wp:positionV relativeFrom="paragraph">
                <wp:posOffset>1864360</wp:posOffset>
              </wp:positionV>
              <wp:extent cx="6167755" cy="3468370"/>
              <wp:effectExtent l="0" t="0" r="4445" b="11430"/>
              <wp:wrapSquare wrapText="bothSides"/>
              <wp:docPr id="2" name="Bild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RS_Paper_Lac_Pyr.tiff"/>
                      <pic:cNvPicPr/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755" cy="34683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DA70BB">
        <w:rPr>
          <w:rFonts w:ascii="Arial" w:hAnsi="Arial" w:cs="Arial"/>
          <w:b/>
          <w:noProof/>
          <w:sz w:val="22"/>
          <w:szCs w:val="22"/>
          <w:lang w:eastAsia="de-DE"/>
        </w:rPr>
        <w:drawing>
          <wp:inline distT="0" distB="0" distL="0" distR="0" wp14:anchorId="2C1D6C09" wp14:editId="732AC2B4">
            <wp:extent cx="5576406" cy="1789043"/>
            <wp:effectExtent l="0" t="0" r="1206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C_Supplementary Figure 3_revised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779"/>
                    <a:stretch/>
                  </pic:blipFill>
                  <pic:spPr bwMode="auto">
                    <a:xfrm>
                      <a:off x="0" y="0"/>
                      <a:ext cx="5610825" cy="180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16F24" w14:textId="7C7EB20F" w:rsidR="00B266C8" w:rsidRDefault="00706448" w:rsidP="00DA70BB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DA70BB">
        <w:rPr>
          <w:rFonts w:ascii="Arial" w:hAnsi="Arial" w:cs="Arial"/>
          <w:b/>
          <w:sz w:val="22"/>
          <w:szCs w:val="22"/>
          <w:lang w:val="en-US"/>
        </w:rPr>
        <w:t xml:space="preserve">Supplementary figure </w:t>
      </w:r>
      <w:r w:rsidR="006756EA" w:rsidRPr="00DA70BB">
        <w:rPr>
          <w:rFonts w:ascii="Arial" w:hAnsi="Arial" w:cs="Arial"/>
          <w:b/>
          <w:sz w:val="22"/>
          <w:szCs w:val="22"/>
          <w:lang w:val="en-US"/>
        </w:rPr>
        <w:t>3</w:t>
      </w:r>
      <w:r w:rsidRPr="00DA70BB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="00B266C8" w:rsidRPr="00D82232">
        <w:rPr>
          <w:rFonts w:ascii="Arial" w:hAnsi="Arial" w:cs="Arial"/>
          <w:b/>
          <w:sz w:val="22"/>
          <w:szCs w:val="22"/>
          <w:lang w:val="en-US"/>
        </w:rPr>
        <w:t>HP-[1-</w:t>
      </w:r>
      <w:r w:rsidR="00B266C8" w:rsidRPr="00D82232">
        <w:rPr>
          <w:rFonts w:ascii="Arial" w:hAnsi="Arial" w:cs="Arial"/>
          <w:b/>
          <w:sz w:val="22"/>
          <w:szCs w:val="22"/>
          <w:vertAlign w:val="superscript"/>
          <w:lang w:val="en-US"/>
        </w:rPr>
        <w:t>13</w:t>
      </w:r>
      <w:r w:rsidR="00B266C8" w:rsidRPr="00D82232">
        <w:rPr>
          <w:rFonts w:ascii="Arial" w:hAnsi="Arial" w:cs="Arial"/>
          <w:b/>
          <w:sz w:val="22"/>
          <w:szCs w:val="22"/>
          <w:lang w:val="en-US"/>
        </w:rPr>
        <w:t>C]</w:t>
      </w:r>
      <w:r w:rsidR="00B266C8" w:rsidRPr="00B266C8">
        <w:rPr>
          <w:rFonts w:ascii="Arial" w:hAnsi="Arial" w:cs="Arial"/>
          <w:b/>
          <w:sz w:val="22"/>
          <w:szCs w:val="22"/>
          <w:lang w:val="en-US"/>
        </w:rPr>
        <w:t>pyruvate</w:t>
      </w:r>
      <w:r w:rsidR="00B266C8">
        <w:rPr>
          <w:rFonts w:ascii="Arial" w:hAnsi="Arial" w:cs="Arial"/>
          <w:b/>
          <w:sz w:val="22"/>
          <w:szCs w:val="22"/>
          <w:lang w:val="en-US"/>
        </w:rPr>
        <w:t>/lactate uptake in rat xenografts</w:t>
      </w:r>
    </w:p>
    <w:p w14:paraId="2A238D36" w14:textId="4B57A06C" w:rsidR="00B266C8" w:rsidRDefault="006756EA" w:rsidP="00B266C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DA70BB">
        <w:rPr>
          <w:rFonts w:ascii="Arial" w:hAnsi="Arial" w:cs="Arial"/>
          <w:b/>
          <w:sz w:val="22"/>
          <w:szCs w:val="22"/>
          <w:lang w:val="en-US"/>
        </w:rPr>
        <w:t>a</w:t>
      </w:r>
      <w:r w:rsidR="00706448" w:rsidRPr="00DA70BB">
        <w:rPr>
          <w:rFonts w:ascii="Arial" w:hAnsi="Arial" w:cs="Arial"/>
          <w:sz w:val="22"/>
          <w:szCs w:val="22"/>
          <w:lang w:val="en-US"/>
        </w:rPr>
        <w:t xml:space="preserve">) H&amp;E histological staining of PSN1 and HPAC </w:t>
      </w:r>
      <w:r w:rsidR="00B762A8" w:rsidRPr="00DA70BB">
        <w:rPr>
          <w:rFonts w:ascii="Arial" w:hAnsi="Arial" w:cs="Arial"/>
          <w:sz w:val="22"/>
          <w:szCs w:val="22"/>
          <w:lang w:val="en-US"/>
        </w:rPr>
        <w:t>xeno</w:t>
      </w:r>
      <w:r w:rsidR="00B762A8">
        <w:rPr>
          <w:rFonts w:ascii="Arial" w:hAnsi="Arial" w:cs="Arial"/>
          <w:sz w:val="22"/>
          <w:szCs w:val="22"/>
          <w:lang w:val="en-US"/>
        </w:rPr>
        <w:t>grafted</w:t>
      </w:r>
      <w:r w:rsidR="00B762A8" w:rsidRPr="00DA70BB">
        <w:rPr>
          <w:rFonts w:ascii="Arial" w:hAnsi="Arial" w:cs="Arial"/>
          <w:sz w:val="22"/>
          <w:szCs w:val="22"/>
          <w:lang w:val="en-US"/>
        </w:rPr>
        <w:t xml:space="preserve"> </w:t>
      </w:r>
      <w:r w:rsidR="00706448" w:rsidRPr="00DA70BB">
        <w:rPr>
          <w:rFonts w:ascii="Arial" w:hAnsi="Arial" w:cs="Arial"/>
          <w:sz w:val="22"/>
          <w:szCs w:val="22"/>
          <w:lang w:val="en-US"/>
        </w:rPr>
        <w:t xml:space="preserve">tumors used for </w:t>
      </w:r>
      <w:r w:rsidR="00706448" w:rsidRPr="00DA70BB">
        <w:rPr>
          <w:rFonts w:ascii="Arial" w:hAnsi="Arial" w:cs="Arial"/>
          <w:sz w:val="22"/>
          <w:szCs w:val="22"/>
          <w:vertAlign w:val="superscript"/>
          <w:lang w:val="en-US"/>
        </w:rPr>
        <w:t>13</w:t>
      </w:r>
      <w:r w:rsidR="00706448" w:rsidRPr="00DA70BB">
        <w:rPr>
          <w:rFonts w:ascii="Arial" w:hAnsi="Arial" w:cs="Arial"/>
          <w:sz w:val="22"/>
          <w:szCs w:val="22"/>
          <w:lang w:val="en-US"/>
        </w:rPr>
        <w:t xml:space="preserve">C-hyperpolarized </w:t>
      </w:r>
      <w:r w:rsidR="00966EE0" w:rsidRPr="00DA70BB">
        <w:rPr>
          <w:rFonts w:ascii="Arial" w:hAnsi="Arial" w:cs="Arial"/>
          <w:sz w:val="22"/>
          <w:szCs w:val="22"/>
          <w:lang w:val="en-US"/>
        </w:rPr>
        <w:t xml:space="preserve">HP-MRS </w:t>
      </w:r>
      <w:r w:rsidR="00706448" w:rsidRPr="00DA70BB">
        <w:rPr>
          <w:rFonts w:ascii="Arial" w:hAnsi="Arial" w:cs="Arial"/>
          <w:sz w:val="22"/>
          <w:szCs w:val="22"/>
          <w:lang w:val="en-US"/>
        </w:rPr>
        <w:t>in rats</w:t>
      </w:r>
      <w:r w:rsidR="00706448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Undifferentiated PSN1 tumors and </w:t>
      </w:r>
      <w:r w:rsidR="009640CB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more</w:t>
      </w:r>
      <w:r w:rsidR="00706448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glandular, differentiated HPAC tumors.</w:t>
      </w:r>
      <w:r w:rsidR="00D05F7D" w:rsidRPr="00A40D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B266C8" w:rsidRPr="00A40D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b) 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Left:</w:t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Time curves of SNR of injected HP-[1-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13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C]pyruvate summed up with SNR of converted HP-[1-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13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C]lactate representing the total amount of injected HP-metabolites in animals shown in </w:t>
      </w:r>
      <w:r w:rsidR="00CB0675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f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igure 5A. The sum was used in order to adjust for the different HP-[1-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13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C]pyruvate signal loss due to more rapid conversion rate in PSN1 tha</w:t>
      </w:r>
      <w:bookmarkStart w:id="1" w:name="_GoBack"/>
      <w:bookmarkEnd w:id="1"/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n in HPAC tumors. Right: </w:t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b/>
          <w:color w:val="000000" w:themeColor="text1"/>
          <w:sz w:val="22"/>
          <w:szCs w:val="22"/>
          <w:vertAlign w:val="subscript"/>
          <w:lang w:val="en-US"/>
        </w:rPr>
        <w:softHyphen/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Time curves of signal to noise ratios (SNR) of HP-[1-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13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C]lactate injected into animals presented in </w:t>
      </w:r>
      <w:r w:rsidR="00CB0675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>f</w:t>
      </w:r>
      <w:r w:rsidR="007771EF" w:rsidRPr="00A40D2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igure 5c.  </w:t>
      </w:r>
      <w:r w:rsidR="00B266C8" w:rsidRPr="00DA70BB">
        <w:rPr>
          <w:rFonts w:ascii="Arial" w:hAnsi="Arial" w:cs="Arial"/>
          <w:sz w:val="22"/>
          <w:szCs w:val="22"/>
          <w:lang w:val="en-US"/>
        </w:rPr>
        <w:t>Both injections were preformed within the same imaging session one after the other (first HP-[1-</w:t>
      </w:r>
      <w:r w:rsidR="00B266C8" w:rsidRPr="00DA70BB">
        <w:rPr>
          <w:rFonts w:ascii="Arial" w:hAnsi="Arial" w:cs="Arial"/>
          <w:sz w:val="22"/>
          <w:szCs w:val="22"/>
          <w:vertAlign w:val="superscript"/>
          <w:lang w:val="en-US"/>
        </w:rPr>
        <w:t>13</w:t>
      </w:r>
      <w:r w:rsidR="00B266C8" w:rsidRPr="00DA70BB">
        <w:rPr>
          <w:rFonts w:ascii="Arial" w:hAnsi="Arial" w:cs="Arial"/>
          <w:sz w:val="22"/>
          <w:szCs w:val="22"/>
          <w:lang w:val="en-US"/>
        </w:rPr>
        <w:t>C]lactate, than HP-[1-</w:t>
      </w:r>
      <w:r w:rsidR="00B266C8" w:rsidRPr="00DA70BB">
        <w:rPr>
          <w:rFonts w:ascii="Arial" w:hAnsi="Arial" w:cs="Arial"/>
          <w:sz w:val="22"/>
          <w:szCs w:val="22"/>
          <w:vertAlign w:val="superscript"/>
          <w:lang w:val="en-US"/>
        </w:rPr>
        <w:t>13</w:t>
      </w:r>
      <w:r w:rsidR="00B266C8" w:rsidRPr="00DA70BB">
        <w:rPr>
          <w:rFonts w:ascii="Arial" w:hAnsi="Arial" w:cs="Arial"/>
          <w:sz w:val="22"/>
          <w:szCs w:val="22"/>
          <w:lang w:val="en-US"/>
        </w:rPr>
        <w:t xml:space="preserve">C]pyruvate) without changes of the animal position or acquisition planning. All surveillance parameters like </w:t>
      </w:r>
      <w:r w:rsidR="00B266C8" w:rsidRPr="00DA70BB">
        <w:rPr>
          <w:rFonts w:ascii="Arial" w:hAnsi="Arial" w:cs="Arial"/>
          <w:sz w:val="22"/>
          <w:szCs w:val="22"/>
          <w:lang w:val="en-US"/>
        </w:rPr>
        <w:lastRenderedPageBreak/>
        <w:t>temperature and beating rate were controlled and kept within the same range between the acquisitions.</w:t>
      </w:r>
    </w:p>
    <w:p w14:paraId="459B4FDA" w14:textId="2CF68DB2" w:rsidR="00DA70BB" w:rsidRDefault="00DA70BB" w:rsidP="00DA70BB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D82232">
        <w:rPr>
          <w:rFonts w:ascii="Arial" w:hAnsi="Arial" w:cs="Arial"/>
          <w:b/>
          <w:sz w:val="22"/>
          <w:szCs w:val="22"/>
          <w:lang w:val="en-US"/>
        </w:rPr>
        <w:t>Supplementary figure 4:</w:t>
      </w:r>
    </w:p>
    <w:p w14:paraId="09A6BCE2" w14:textId="79261C19" w:rsidR="00B266C8" w:rsidRPr="00D82232" w:rsidRDefault="00B266C8" w:rsidP="00D82232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eastAsia="de-DE"/>
        </w:rPr>
        <w:drawing>
          <wp:inline distT="0" distB="0" distL="0" distR="0" wp14:anchorId="4610D5B4" wp14:editId="4CE7D8A7">
            <wp:extent cx="5491728" cy="3512744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C_Supplementary Figure 4_revised_high magnificatio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828" cy="35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9D29" w14:textId="3642F630" w:rsidR="00B266C8" w:rsidRPr="00D82232" w:rsidRDefault="00B266C8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D82232">
        <w:rPr>
          <w:rFonts w:ascii="Arial" w:hAnsi="Arial" w:cs="Arial"/>
          <w:b/>
          <w:sz w:val="22"/>
          <w:szCs w:val="22"/>
          <w:lang w:val="en-US"/>
        </w:rPr>
        <w:t>Supplementary figure 4: Immunohistochemistry for HIF1A and MCT4</w:t>
      </w:r>
    </w:p>
    <w:p w14:paraId="08F296B9" w14:textId="21B05B02" w:rsidR="00706448" w:rsidRDefault="00B41843" w:rsidP="00D51AB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Immunohistochemistry for </w:t>
      </w:r>
      <w:r w:rsidR="00782B8D">
        <w:rPr>
          <w:rFonts w:ascii="Arial" w:hAnsi="Arial" w:cs="Arial"/>
          <w:sz w:val="22"/>
          <w:szCs w:val="22"/>
          <w:lang w:val="en-US"/>
        </w:rPr>
        <w:t xml:space="preserve">HIF1A and MCT4 on murine </w:t>
      </w:r>
      <w:r w:rsidR="00B762A8">
        <w:rPr>
          <w:rFonts w:ascii="Arial" w:hAnsi="Arial" w:cs="Arial"/>
          <w:sz w:val="22"/>
          <w:szCs w:val="22"/>
          <w:lang w:val="en-US"/>
        </w:rPr>
        <w:t xml:space="preserve">xenografted </w:t>
      </w:r>
      <w:r w:rsidR="00782B8D">
        <w:rPr>
          <w:rFonts w:ascii="Arial" w:hAnsi="Arial" w:cs="Arial"/>
          <w:sz w:val="22"/>
          <w:szCs w:val="22"/>
          <w:lang w:val="en-US"/>
        </w:rPr>
        <w:t>tumor tissues of human PDAC cells lines</w:t>
      </w:r>
      <w:r w:rsidR="00F067D5">
        <w:rPr>
          <w:rFonts w:ascii="Arial" w:hAnsi="Arial" w:cs="Arial"/>
          <w:sz w:val="22"/>
          <w:szCs w:val="22"/>
          <w:lang w:val="en-US"/>
        </w:rPr>
        <w:t>, one tumor per cell line stained</w:t>
      </w:r>
      <w:r w:rsidR="00782B8D">
        <w:rPr>
          <w:rFonts w:ascii="Arial" w:hAnsi="Arial" w:cs="Arial"/>
          <w:sz w:val="22"/>
          <w:szCs w:val="22"/>
          <w:lang w:val="en-US"/>
        </w:rPr>
        <w:t>. HIF1A nuclear staining</w:t>
      </w:r>
      <w:r w:rsidR="00E04CC3">
        <w:rPr>
          <w:rFonts w:ascii="Arial" w:hAnsi="Arial" w:cs="Arial"/>
          <w:sz w:val="22"/>
          <w:szCs w:val="22"/>
          <w:lang w:val="en-US"/>
        </w:rPr>
        <w:t xml:space="preserve"> (brown </w:t>
      </w:r>
      <w:r w:rsidR="00130737">
        <w:rPr>
          <w:rFonts w:ascii="Arial" w:hAnsi="Arial" w:cs="Arial"/>
          <w:sz w:val="22"/>
          <w:szCs w:val="22"/>
          <w:lang w:val="en-US"/>
        </w:rPr>
        <w:t xml:space="preserve">horse radish peroxidase-diaminobenzidine (HRP-DAB) </w:t>
      </w:r>
      <w:r w:rsidR="00E04CC3">
        <w:rPr>
          <w:rFonts w:ascii="Arial" w:hAnsi="Arial" w:cs="Arial"/>
          <w:sz w:val="22"/>
          <w:szCs w:val="22"/>
          <w:lang w:val="en-US"/>
        </w:rPr>
        <w:t>signals)</w:t>
      </w:r>
      <w:r w:rsidR="00782B8D">
        <w:rPr>
          <w:rFonts w:ascii="Arial" w:hAnsi="Arial" w:cs="Arial"/>
          <w:sz w:val="22"/>
          <w:szCs w:val="22"/>
          <w:lang w:val="en-US"/>
        </w:rPr>
        <w:t xml:space="preserve"> in tumor cells is detectable only in QM </w:t>
      </w:r>
      <w:r w:rsidR="00B07311">
        <w:rPr>
          <w:rFonts w:ascii="Arial" w:hAnsi="Arial" w:cs="Arial"/>
          <w:sz w:val="22"/>
          <w:szCs w:val="22"/>
          <w:lang w:val="en-US"/>
        </w:rPr>
        <w:t>xe</w:t>
      </w:r>
      <w:r w:rsidR="00130737">
        <w:rPr>
          <w:rFonts w:ascii="Arial" w:hAnsi="Arial" w:cs="Arial"/>
          <w:sz w:val="22"/>
          <w:szCs w:val="22"/>
          <w:lang w:val="en-US"/>
        </w:rPr>
        <w:t>no</w:t>
      </w:r>
      <w:r w:rsidR="00B07311">
        <w:rPr>
          <w:rFonts w:ascii="Arial" w:hAnsi="Arial" w:cs="Arial"/>
          <w:sz w:val="22"/>
          <w:szCs w:val="22"/>
          <w:lang w:val="en-US"/>
        </w:rPr>
        <w:t>grafts</w:t>
      </w:r>
      <w:r w:rsidR="00782B8D">
        <w:rPr>
          <w:rFonts w:ascii="Arial" w:hAnsi="Arial" w:cs="Arial"/>
          <w:sz w:val="22"/>
          <w:szCs w:val="22"/>
          <w:lang w:val="en-US"/>
        </w:rPr>
        <w:t xml:space="preserve"> (PSN1, MIAPa</w:t>
      </w:r>
      <w:r w:rsidR="00B07311">
        <w:rPr>
          <w:rFonts w:ascii="Arial" w:hAnsi="Arial" w:cs="Arial"/>
          <w:sz w:val="22"/>
          <w:szCs w:val="22"/>
          <w:lang w:val="en-US"/>
        </w:rPr>
        <w:t>c</w:t>
      </w:r>
      <w:r w:rsidR="00782B8D">
        <w:rPr>
          <w:rFonts w:ascii="Arial" w:hAnsi="Arial" w:cs="Arial"/>
          <w:sz w:val="22"/>
          <w:szCs w:val="22"/>
          <w:lang w:val="en-US"/>
        </w:rPr>
        <w:t xml:space="preserve">a2, PaTu8988T and Kp4). Some </w:t>
      </w:r>
      <w:r w:rsidR="00130737">
        <w:rPr>
          <w:rFonts w:ascii="Arial" w:hAnsi="Arial" w:cs="Arial"/>
          <w:sz w:val="22"/>
          <w:szCs w:val="22"/>
          <w:lang w:val="en-US"/>
        </w:rPr>
        <w:t xml:space="preserve">HRP-DAB positive </w:t>
      </w:r>
      <w:r w:rsidR="00782B8D">
        <w:rPr>
          <w:rFonts w:ascii="Arial" w:hAnsi="Arial" w:cs="Arial"/>
          <w:sz w:val="22"/>
          <w:szCs w:val="22"/>
          <w:lang w:val="en-US"/>
        </w:rPr>
        <w:t xml:space="preserve">signals are detected in the stroma of PaTu8988S and HPAF II xenografts, probably due to non-specific binding of mouse generated HIF1A antibody to murine stroma. Specific membrane-associated MCT4 positive signals are detectable in all tumors, with </w:t>
      </w:r>
      <w:r w:rsidR="004A50F4">
        <w:rPr>
          <w:rFonts w:ascii="Arial" w:hAnsi="Arial" w:cs="Arial"/>
          <w:sz w:val="22"/>
          <w:szCs w:val="22"/>
          <w:lang w:val="en-US"/>
        </w:rPr>
        <w:t xml:space="preserve">somewhat </w:t>
      </w:r>
      <w:r w:rsidR="00782B8D">
        <w:rPr>
          <w:rFonts w:ascii="Arial" w:hAnsi="Arial" w:cs="Arial"/>
          <w:sz w:val="22"/>
          <w:szCs w:val="22"/>
          <w:lang w:val="en-US"/>
        </w:rPr>
        <w:t xml:space="preserve">stronger signals intensities in PSN1, MIAPaca2 and KP4 QM tumors. </w:t>
      </w:r>
      <w:r w:rsidR="00E04CC3">
        <w:rPr>
          <w:rFonts w:ascii="Arial" w:hAnsi="Arial" w:cs="Arial"/>
          <w:sz w:val="22"/>
          <w:szCs w:val="22"/>
          <w:lang w:val="en-US"/>
        </w:rPr>
        <w:t>Scale bar-100µM.</w:t>
      </w:r>
    </w:p>
    <w:p w14:paraId="5E287AA1" w14:textId="77777777" w:rsidR="00130737" w:rsidRPr="00D05F7D" w:rsidRDefault="00130737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9AE22AB" w14:textId="2AEE1A12" w:rsidR="00542C6F" w:rsidRPr="00542C6F" w:rsidRDefault="00542C6F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542C6F">
        <w:rPr>
          <w:rFonts w:ascii="Arial" w:hAnsi="Arial" w:cs="Arial"/>
          <w:b/>
          <w:sz w:val="22"/>
          <w:szCs w:val="22"/>
          <w:lang w:val="en-US"/>
        </w:rPr>
        <w:t>Supplementary table 1:</w:t>
      </w:r>
    </w:p>
    <w:p w14:paraId="6575E171" w14:textId="7F7A1148" w:rsidR="00542C6F" w:rsidRDefault="00542C6F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542C6F">
        <w:rPr>
          <w:rFonts w:ascii="Arial" w:hAnsi="Arial" w:cs="Arial"/>
          <w:sz w:val="22"/>
          <w:szCs w:val="22"/>
          <w:lang w:val="en-US"/>
        </w:rPr>
        <w:t xml:space="preserve">List of genes </w:t>
      </w:r>
      <w:r>
        <w:rPr>
          <w:rFonts w:ascii="Arial" w:hAnsi="Arial" w:cs="Arial"/>
          <w:sz w:val="22"/>
          <w:szCs w:val="22"/>
          <w:lang w:val="en-US"/>
        </w:rPr>
        <w:t xml:space="preserve">used as assigners </w:t>
      </w:r>
      <w:r w:rsidRPr="00542C6F">
        <w:rPr>
          <w:rFonts w:ascii="Arial" w:hAnsi="Arial" w:cs="Arial"/>
          <w:sz w:val="22"/>
          <w:szCs w:val="22"/>
          <w:lang w:val="en-US"/>
        </w:rPr>
        <w:t xml:space="preserve">for the </w:t>
      </w:r>
      <w:proofErr w:type="spellStart"/>
      <w:r w:rsidRPr="00542C6F">
        <w:rPr>
          <w:rFonts w:ascii="Arial" w:hAnsi="Arial" w:cs="Arial"/>
          <w:sz w:val="22"/>
          <w:szCs w:val="22"/>
          <w:lang w:val="en-US"/>
        </w:rPr>
        <w:t>Collisson</w:t>
      </w:r>
      <w:proofErr w:type="spellEnd"/>
      <w:r w:rsidRPr="00542C6F">
        <w:rPr>
          <w:rFonts w:ascii="Arial" w:hAnsi="Arial" w:cs="Arial"/>
          <w:sz w:val="22"/>
          <w:szCs w:val="22"/>
          <w:lang w:val="en-US"/>
        </w:rPr>
        <w:t xml:space="preserve"> QM and Bailey squamous subtype (Gene Program 2)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542C6F">
        <w:rPr>
          <w:rFonts w:ascii="Arial" w:hAnsi="Arial" w:cs="Arial"/>
          <w:sz w:val="22"/>
          <w:szCs w:val="22"/>
          <w:lang w:val="en-US"/>
        </w:rPr>
        <w:t>used for GSEA analysis</w:t>
      </w:r>
      <w:r>
        <w:rPr>
          <w:rFonts w:ascii="Arial" w:hAnsi="Arial" w:cs="Arial"/>
          <w:b/>
          <w:sz w:val="22"/>
          <w:szCs w:val="22"/>
          <w:lang w:val="en-US"/>
        </w:rPr>
        <w:t xml:space="preserve"> . </w:t>
      </w:r>
    </w:p>
    <w:p w14:paraId="08F602FA" w14:textId="77777777" w:rsidR="00616025" w:rsidRDefault="00616025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193A370A" w14:textId="4BCAADEA" w:rsidR="00542C6F" w:rsidRDefault="00542C6F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>Supplementary table 2:</w:t>
      </w:r>
    </w:p>
    <w:p w14:paraId="397EBE27" w14:textId="7E09699F" w:rsidR="00542C6F" w:rsidRDefault="00542C6F" w:rsidP="00D51AB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Gene Set Enrichment Analysis-l</w:t>
      </w:r>
      <w:r w:rsidRPr="00542C6F">
        <w:rPr>
          <w:rFonts w:ascii="Arial" w:hAnsi="Arial" w:cs="Arial"/>
          <w:sz w:val="22"/>
          <w:szCs w:val="22"/>
          <w:lang w:val="en-US"/>
        </w:rPr>
        <w:t xml:space="preserve">ist of all enriched gene sets in established PDAC cells, primary cell, PDX samples and patient cohort. </w:t>
      </w:r>
      <w:r>
        <w:rPr>
          <w:rFonts w:ascii="Arial" w:hAnsi="Arial" w:cs="Arial"/>
          <w:sz w:val="22"/>
          <w:szCs w:val="22"/>
          <w:lang w:val="en-US"/>
        </w:rPr>
        <w:t>Normalized Enrichment Score (NES) &gt;1.</w:t>
      </w:r>
      <w:r w:rsidR="00CD3FDD">
        <w:rPr>
          <w:rFonts w:ascii="Arial" w:hAnsi="Arial" w:cs="Arial"/>
          <w:sz w:val="22"/>
          <w:szCs w:val="22"/>
          <w:lang w:val="en-US"/>
        </w:rPr>
        <w:t>3</w:t>
      </w:r>
      <w:r>
        <w:rPr>
          <w:rFonts w:ascii="Arial" w:hAnsi="Arial" w:cs="Arial"/>
          <w:sz w:val="22"/>
          <w:szCs w:val="22"/>
          <w:lang w:val="en-US"/>
        </w:rPr>
        <w:t xml:space="preserve"> and False Discovery Rate (FDR) &lt;0.0</w:t>
      </w:r>
      <w:r w:rsidR="00CD3FDD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6756EA">
        <w:rPr>
          <w:rFonts w:ascii="Arial" w:hAnsi="Arial" w:cs="Arial"/>
          <w:sz w:val="22"/>
          <w:szCs w:val="22"/>
          <w:lang w:val="en-US"/>
        </w:rPr>
        <w:t>were</w:t>
      </w:r>
      <w:r>
        <w:rPr>
          <w:rFonts w:ascii="Arial" w:hAnsi="Arial" w:cs="Arial"/>
          <w:sz w:val="22"/>
          <w:szCs w:val="22"/>
          <w:lang w:val="en-US"/>
        </w:rPr>
        <w:t xml:space="preserve"> used as guidelines.</w:t>
      </w:r>
    </w:p>
    <w:p w14:paraId="51FE4281" w14:textId="224A3D16" w:rsidR="00542C6F" w:rsidRDefault="00542C6F" w:rsidP="00D51AB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</w:p>
    <w:p w14:paraId="1087D80A" w14:textId="3EEDB17D" w:rsidR="00DA35B8" w:rsidRPr="008D0EAE" w:rsidRDefault="00DA35B8" w:rsidP="00D51AB8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 w:rsidRPr="008D0EAE">
        <w:rPr>
          <w:rFonts w:ascii="Arial" w:hAnsi="Arial" w:cs="Arial"/>
          <w:b/>
          <w:sz w:val="22"/>
          <w:szCs w:val="22"/>
          <w:lang w:val="en-US"/>
        </w:rPr>
        <w:t xml:space="preserve">Supplementary table </w:t>
      </w:r>
      <w:r w:rsidR="006756EA">
        <w:rPr>
          <w:rFonts w:ascii="Arial" w:hAnsi="Arial" w:cs="Arial"/>
          <w:b/>
          <w:sz w:val="22"/>
          <w:szCs w:val="22"/>
          <w:lang w:val="en-US"/>
        </w:rPr>
        <w:t>3</w:t>
      </w:r>
      <w:r w:rsidRPr="008D0EAE">
        <w:rPr>
          <w:rFonts w:ascii="Arial" w:hAnsi="Arial" w:cs="Arial"/>
          <w:b/>
          <w:sz w:val="22"/>
          <w:szCs w:val="22"/>
          <w:lang w:val="en-US"/>
        </w:rPr>
        <w:t>:</w:t>
      </w:r>
    </w:p>
    <w:p w14:paraId="7379F504" w14:textId="7E738CF5" w:rsidR="00DA35B8" w:rsidRDefault="00DA35B8" w:rsidP="00D51AB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Seeding densities of cells in seahorse experiments.</w:t>
      </w:r>
    </w:p>
    <w:p w14:paraId="04A90798" w14:textId="23959599" w:rsidR="00542C6F" w:rsidRPr="009837F3" w:rsidRDefault="00542C6F" w:rsidP="00D51AB8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</w:p>
    <w:sectPr w:rsidR="00542C6F" w:rsidRPr="009837F3" w:rsidSect="00D82232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23F4"/>
    <w:multiLevelType w:val="multilevel"/>
    <w:tmpl w:val="4A7E29A4"/>
    <w:styleLink w:val="Formatvorlage3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ascii="Cambria" w:hAnsi="Cambria" w:hint="default"/>
        <w:b/>
        <w:i w:val="0"/>
        <w:color w:val="000000" w:themeColor="text1"/>
        <w:sz w:val="26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  <w:rPr>
        <w:rFonts w:ascii="Cambria" w:hAnsi="Cambria" w:hint="default"/>
        <w:b/>
        <w:i w:val="0"/>
        <w:color w:val="000000" w:themeColor="text1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ascii="Cambria" w:hAnsi="Cambria" w:hint="default"/>
        <w:b/>
        <w:i w:val="0"/>
        <w:color w:val="000000" w:themeColor="text1"/>
        <w:sz w:val="24"/>
      </w:rPr>
    </w:lvl>
    <w:lvl w:ilvl="3">
      <w:start w:val="1"/>
      <w:numFmt w:val="decimal"/>
      <w:pStyle w:val="Heading4"/>
      <w:lvlText w:val="%1.%2.%3.%4."/>
      <w:lvlJc w:val="left"/>
      <w:pPr>
        <w:ind w:left="851" w:hanging="851"/>
      </w:pPr>
      <w:rPr>
        <w:rFonts w:ascii="Cambria" w:hAnsi="Cambria" w:hint="default"/>
        <w:b/>
        <w:i w:val="0"/>
        <w:color w:val="000000" w:themeColor="text1"/>
        <w:sz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3F4F0897"/>
    <w:multiLevelType w:val="hybridMultilevel"/>
    <w:tmpl w:val="C9ECF820"/>
    <w:lvl w:ilvl="0" w:tplc="F6BA03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-Anwender">
    <w15:presenceInfo w15:providerId="None" w15:userId="Microsoft Office-Anwen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Cancer Researc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9x95v5x9s5fde59tbxtrw2fvz09rawtdwa&quot;&gt;My EndNote Library_2020&lt;record-ids&gt;&lt;item&gt;8&lt;/item&gt;&lt;item&gt;9&lt;/item&gt;&lt;item&gt;107&lt;/item&gt;&lt;item&gt;125&lt;/item&gt;&lt;item&gt;127&lt;/item&gt;&lt;item&gt;135&lt;/item&gt;&lt;item&gt;136&lt;/item&gt;&lt;item&gt;167&lt;/item&gt;&lt;item&gt;195&lt;/item&gt;&lt;/record-ids&gt;&lt;/item&gt;&lt;/Libraries&gt;"/>
  </w:docVars>
  <w:rsids>
    <w:rsidRoot w:val="00487B56"/>
    <w:rsid w:val="0001407C"/>
    <w:rsid w:val="00020DD3"/>
    <w:rsid w:val="000231B6"/>
    <w:rsid w:val="00041C8A"/>
    <w:rsid w:val="00067991"/>
    <w:rsid w:val="0007593C"/>
    <w:rsid w:val="000900D1"/>
    <w:rsid w:val="00094B94"/>
    <w:rsid w:val="000B7EAA"/>
    <w:rsid w:val="000C2574"/>
    <w:rsid w:val="000D2F9D"/>
    <w:rsid w:val="000D7A20"/>
    <w:rsid w:val="00101401"/>
    <w:rsid w:val="00102B35"/>
    <w:rsid w:val="00104744"/>
    <w:rsid w:val="00107F32"/>
    <w:rsid w:val="001120DA"/>
    <w:rsid w:val="00130737"/>
    <w:rsid w:val="00130E29"/>
    <w:rsid w:val="00152959"/>
    <w:rsid w:val="00162DBC"/>
    <w:rsid w:val="001633D6"/>
    <w:rsid w:val="001667B9"/>
    <w:rsid w:val="00176C15"/>
    <w:rsid w:val="00181E25"/>
    <w:rsid w:val="001827B4"/>
    <w:rsid w:val="0018676D"/>
    <w:rsid w:val="0019187B"/>
    <w:rsid w:val="00192FB4"/>
    <w:rsid w:val="001A1D59"/>
    <w:rsid w:val="001A6FF3"/>
    <w:rsid w:val="001B30CE"/>
    <w:rsid w:val="001C25F1"/>
    <w:rsid w:val="001C2682"/>
    <w:rsid w:val="001D2B97"/>
    <w:rsid w:val="001D32F6"/>
    <w:rsid w:val="001F5E89"/>
    <w:rsid w:val="00202F97"/>
    <w:rsid w:val="00205747"/>
    <w:rsid w:val="0020769D"/>
    <w:rsid w:val="002267A9"/>
    <w:rsid w:val="00247AE1"/>
    <w:rsid w:val="0025743C"/>
    <w:rsid w:val="002628AE"/>
    <w:rsid w:val="00264170"/>
    <w:rsid w:val="0026564C"/>
    <w:rsid w:val="002660C4"/>
    <w:rsid w:val="00270667"/>
    <w:rsid w:val="00276288"/>
    <w:rsid w:val="002804FC"/>
    <w:rsid w:val="002A1FAB"/>
    <w:rsid w:val="002A32CA"/>
    <w:rsid w:val="002A79E1"/>
    <w:rsid w:val="002D4C07"/>
    <w:rsid w:val="002D71B0"/>
    <w:rsid w:val="002E2192"/>
    <w:rsid w:val="003042A1"/>
    <w:rsid w:val="003063C3"/>
    <w:rsid w:val="00307290"/>
    <w:rsid w:val="00310849"/>
    <w:rsid w:val="00333162"/>
    <w:rsid w:val="00333E4C"/>
    <w:rsid w:val="00336565"/>
    <w:rsid w:val="0036447D"/>
    <w:rsid w:val="003710B7"/>
    <w:rsid w:val="0037636C"/>
    <w:rsid w:val="00380DD2"/>
    <w:rsid w:val="00390F52"/>
    <w:rsid w:val="003B2BB8"/>
    <w:rsid w:val="003B371E"/>
    <w:rsid w:val="003C13EB"/>
    <w:rsid w:val="003E5404"/>
    <w:rsid w:val="003F157B"/>
    <w:rsid w:val="0040325B"/>
    <w:rsid w:val="004161F4"/>
    <w:rsid w:val="00420684"/>
    <w:rsid w:val="004230E8"/>
    <w:rsid w:val="00442C21"/>
    <w:rsid w:val="004568DB"/>
    <w:rsid w:val="00457DD5"/>
    <w:rsid w:val="00466230"/>
    <w:rsid w:val="00471181"/>
    <w:rsid w:val="00475566"/>
    <w:rsid w:val="00487B56"/>
    <w:rsid w:val="00492561"/>
    <w:rsid w:val="004A50F4"/>
    <w:rsid w:val="004B6347"/>
    <w:rsid w:val="004B6D30"/>
    <w:rsid w:val="004E5BED"/>
    <w:rsid w:val="004F33AB"/>
    <w:rsid w:val="004F407D"/>
    <w:rsid w:val="004F79C9"/>
    <w:rsid w:val="00511509"/>
    <w:rsid w:val="00520E25"/>
    <w:rsid w:val="00521C58"/>
    <w:rsid w:val="005257E3"/>
    <w:rsid w:val="00542C6F"/>
    <w:rsid w:val="00555909"/>
    <w:rsid w:val="0056158D"/>
    <w:rsid w:val="00563773"/>
    <w:rsid w:val="0056576D"/>
    <w:rsid w:val="00570A52"/>
    <w:rsid w:val="005B1130"/>
    <w:rsid w:val="005B5A0F"/>
    <w:rsid w:val="005B64FE"/>
    <w:rsid w:val="005B7626"/>
    <w:rsid w:val="005B773F"/>
    <w:rsid w:val="005C1CDA"/>
    <w:rsid w:val="005D13D6"/>
    <w:rsid w:val="005D4FFE"/>
    <w:rsid w:val="005D5B00"/>
    <w:rsid w:val="005E695E"/>
    <w:rsid w:val="005F1959"/>
    <w:rsid w:val="00616025"/>
    <w:rsid w:val="006501A7"/>
    <w:rsid w:val="006610EF"/>
    <w:rsid w:val="0067219A"/>
    <w:rsid w:val="00672BAF"/>
    <w:rsid w:val="00673625"/>
    <w:rsid w:val="006756EA"/>
    <w:rsid w:val="00696F91"/>
    <w:rsid w:val="006B63A4"/>
    <w:rsid w:val="006C2493"/>
    <w:rsid w:val="006D1396"/>
    <w:rsid w:val="006D32BA"/>
    <w:rsid w:val="006D3B26"/>
    <w:rsid w:val="006F218E"/>
    <w:rsid w:val="006F57F1"/>
    <w:rsid w:val="00706448"/>
    <w:rsid w:val="00710676"/>
    <w:rsid w:val="00721B78"/>
    <w:rsid w:val="00727597"/>
    <w:rsid w:val="007410D3"/>
    <w:rsid w:val="007578D1"/>
    <w:rsid w:val="00761B2B"/>
    <w:rsid w:val="00773DC3"/>
    <w:rsid w:val="007771EF"/>
    <w:rsid w:val="00782B8D"/>
    <w:rsid w:val="007842F9"/>
    <w:rsid w:val="0079293C"/>
    <w:rsid w:val="007B371C"/>
    <w:rsid w:val="007B6779"/>
    <w:rsid w:val="007C1B8F"/>
    <w:rsid w:val="007C2B4D"/>
    <w:rsid w:val="007E483E"/>
    <w:rsid w:val="00806505"/>
    <w:rsid w:val="00816152"/>
    <w:rsid w:val="008243DF"/>
    <w:rsid w:val="0082675D"/>
    <w:rsid w:val="00846D9B"/>
    <w:rsid w:val="00850B11"/>
    <w:rsid w:val="008550B5"/>
    <w:rsid w:val="00861AAD"/>
    <w:rsid w:val="008719A3"/>
    <w:rsid w:val="00882FBF"/>
    <w:rsid w:val="00891958"/>
    <w:rsid w:val="00892B7F"/>
    <w:rsid w:val="008B4642"/>
    <w:rsid w:val="008C0D9A"/>
    <w:rsid w:val="008C4DD1"/>
    <w:rsid w:val="008D0CFB"/>
    <w:rsid w:val="008D0EAE"/>
    <w:rsid w:val="008D7BD6"/>
    <w:rsid w:val="008E1F7F"/>
    <w:rsid w:val="008E3A7D"/>
    <w:rsid w:val="008E3A9F"/>
    <w:rsid w:val="008E5BC5"/>
    <w:rsid w:val="008F1DD4"/>
    <w:rsid w:val="008F4DD5"/>
    <w:rsid w:val="009024F4"/>
    <w:rsid w:val="00904468"/>
    <w:rsid w:val="00910320"/>
    <w:rsid w:val="00914F24"/>
    <w:rsid w:val="00921DFA"/>
    <w:rsid w:val="00931481"/>
    <w:rsid w:val="0093359C"/>
    <w:rsid w:val="009455A5"/>
    <w:rsid w:val="009640CB"/>
    <w:rsid w:val="00966EE0"/>
    <w:rsid w:val="00971575"/>
    <w:rsid w:val="0097435A"/>
    <w:rsid w:val="009837F3"/>
    <w:rsid w:val="0099132E"/>
    <w:rsid w:val="00994C83"/>
    <w:rsid w:val="0099523C"/>
    <w:rsid w:val="00995401"/>
    <w:rsid w:val="0099753E"/>
    <w:rsid w:val="009A3F9B"/>
    <w:rsid w:val="009A6F06"/>
    <w:rsid w:val="009A78D7"/>
    <w:rsid w:val="009B1ABE"/>
    <w:rsid w:val="009B1E7E"/>
    <w:rsid w:val="009C3D25"/>
    <w:rsid w:val="009D0FA7"/>
    <w:rsid w:val="009D3452"/>
    <w:rsid w:val="009D38E6"/>
    <w:rsid w:val="009F7206"/>
    <w:rsid w:val="00A25F05"/>
    <w:rsid w:val="00A40D2F"/>
    <w:rsid w:val="00A62FAB"/>
    <w:rsid w:val="00A65136"/>
    <w:rsid w:val="00A72E31"/>
    <w:rsid w:val="00A82747"/>
    <w:rsid w:val="00A832B1"/>
    <w:rsid w:val="00A83D31"/>
    <w:rsid w:val="00A8754C"/>
    <w:rsid w:val="00A90DCD"/>
    <w:rsid w:val="00A91438"/>
    <w:rsid w:val="00A91DF9"/>
    <w:rsid w:val="00A97706"/>
    <w:rsid w:val="00AA23AC"/>
    <w:rsid w:val="00AA4A2A"/>
    <w:rsid w:val="00AB1859"/>
    <w:rsid w:val="00AB281C"/>
    <w:rsid w:val="00AB3980"/>
    <w:rsid w:val="00AB4D7F"/>
    <w:rsid w:val="00AE023D"/>
    <w:rsid w:val="00AE1B55"/>
    <w:rsid w:val="00AE5B00"/>
    <w:rsid w:val="00AF3907"/>
    <w:rsid w:val="00AF3B4A"/>
    <w:rsid w:val="00AF6A8C"/>
    <w:rsid w:val="00B020BF"/>
    <w:rsid w:val="00B03DA9"/>
    <w:rsid w:val="00B05635"/>
    <w:rsid w:val="00B07311"/>
    <w:rsid w:val="00B135F2"/>
    <w:rsid w:val="00B263EA"/>
    <w:rsid w:val="00B266C8"/>
    <w:rsid w:val="00B30666"/>
    <w:rsid w:val="00B35FB5"/>
    <w:rsid w:val="00B41843"/>
    <w:rsid w:val="00B43F6E"/>
    <w:rsid w:val="00B45AE7"/>
    <w:rsid w:val="00B47EEB"/>
    <w:rsid w:val="00B762A8"/>
    <w:rsid w:val="00B85A96"/>
    <w:rsid w:val="00BA0AA8"/>
    <w:rsid w:val="00BA4376"/>
    <w:rsid w:val="00BB22B8"/>
    <w:rsid w:val="00BB50A5"/>
    <w:rsid w:val="00BB78AD"/>
    <w:rsid w:val="00BC5074"/>
    <w:rsid w:val="00BD017D"/>
    <w:rsid w:val="00BD16D9"/>
    <w:rsid w:val="00BE2CDD"/>
    <w:rsid w:val="00BE5EF7"/>
    <w:rsid w:val="00BF1C21"/>
    <w:rsid w:val="00C01466"/>
    <w:rsid w:val="00C03ADF"/>
    <w:rsid w:val="00C03FCB"/>
    <w:rsid w:val="00C11CC9"/>
    <w:rsid w:val="00C1593C"/>
    <w:rsid w:val="00C21880"/>
    <w:rsid w:val="00C21DE2"/>
    <w:rsid w:val="00C23A48"/>
    <w:rsid w:val="00C25D6C"/>
    <w:rsid w:val="00C35621"/>
    <w:rsid w:val="00C37259"/>
    <w:rsid w:val="00C61FA9"/>
    <w:rsid w:val="00C634F3"/>
    <w:rsid w:val="00C63BF2"/>
    <w:rsid w:val="00C703AA"/>
    <w:rsid w:val="00C961E3"/>
    <w:rsid w:val="00CA12A6"/>
    <w:rsid w:val="00CB0675"/>
    <w:rsid w:val="00CD02D0"/>
    <w:rsid w:val="00CD3FDD"/>
    <w:rsid w:val="00CE251A"/>
    <w:rsid w:val="00CE36BC"/>
    <w:rsid w:val="00CE40C4"/>
    <w:rsid w:val="00CF0B0B"/>
    <w:rsid w:val="00CF238C"/>
    <w:rsid w:val="00D01EB5"/>
    <w:rsid w:val="00D03958"/>
    <w:rsid w:val="00D05F7D"/>
    <w:rsid w:val="00D07E06"/>
    <w:rsid w:val="00D07F12"/>
    <w:rsid w:val="00D15B1C"/>
    <w:rsid w:val="00D238D4"/>
    <w:rsid w:val="00D27609"/>
    <w:rsid w:val="00D400F7"/>
    <w:rsid w:val="00D51AB8"/>
    <w:rsid w:val="00D52F62"/>
    <w:rsid w:val="00D576CA"/>
    <w:rsid w:val="00D60972"/>
    <w:rsid w:val="00D61785"/>
    <w:rsid w:val="00D82232"/>
    <w:rsid w:val="00D95F22"/>
    <w:rsid w:val="00DA35B8"/>
    <w:rsid w:val="00DA6B5A"/>
    <w:rsid w:val="00DA70BB"/>
    <w:rsid w:val="00DC2763"/>
    <w:rsid w:val="00DC7293"/>
    <w:rsid w:val="00DD626A"/>
    <w:rsid w:val="00DE002B"/>
    <w:rsid w:val="00DE4842"/>
    <w:rsid w:val="00DF2471"/>
    <w:rsid w:val="00DF7635"/>
    <w:rsid w:val="00E01C6D"/>
    <w:rsid w:val="00E01E6A"/>
    <w:rsid w:val="00E04CC3"/>
    <w:rsid w:val="00E11B5F"/>
    <w:rsid w:val="00E23E4F"/>
    <w:rsid w:val="00E2444F"/>
    <w:rsid w:val="00E33200"/>
    <w:rsid w:val="00E64752"/>
    <w:rsid w:val="00E66007"/>
    <w:rsid w:val="00E7499E"/>
    <w:rsid w:val="00E8743D"/>
    <w:rsid w:val="00E91159"/>
    <w:rsid w:val="00E915FF"/>
    <w:rsid w:val="00EA5C61"/>
    <w:rsid w:val="00EB1601"/>
    <w:rsid w:val="00EC2A82"/>
    <w:rsid w:val="00EC4679"/>
    <w:rsid w:val="00EE7773"/>
    <w:rsid w:val="00EF1C3E"/>
    <w:rsid w:val="00F05684"/>
    <w:rsid w:val="00F067D5"/>
    <w:rsid w:val="00F07165"/>
    <w:rsid w:val="00F20BDB"/>
    <w:rsid w:val="00F43C71"/>
    <w:rsid w:val="00F450EF"/>
    <w:rsid w:val="00F633B4"/>
    <w:rsid w:val="00F64F5F"/>
    <w:rsid w:val="00F770A2"/>
    <w:rsid w:val="00F8237D"/>
    <w:rsid w:val="00F91B32"/>
    <w:rsid w:val="00F9670B"/>
    <w:rsid w:val="00FB19A9"/>
    <w:rsid w:val="00FB3372"/>
    <w:rsid w:val="00FB6BCB"/>
    <w:rsid w:val="00FB76E3"/>
    <w:rsid w:val="00FC05B9"/>
    <w:rsid w:val="00FD1025"/>
    <w:rsid w:val="00FF2C2C"/>
    <w:rsid w:val="00FF5940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8B38"/>
  <w15:chartTrackingRefBased/>
  <w15:docId w15:val="{F2F9AC3C-C60F-2B42-9D5E-5CCCD7CE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15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290"/>
    <w:pPr>
      <w:keepNext/>
      <w:keepLines/>
      <w:numPr>
        <w:numId w:val="1"/>
      </w:numPr>
      <w:spacing w:line="36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7290"/>
    <w:pPr>
      <w:keepNext/>
      <w:keepLines/>
      <w:numPr>
        <w:ilvl w:val="1"/>
        <w:numId w:val="1"/>
      </w:numPr>
      <w:spacing w:before="20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7290"/>
    <w:pPr>
      <w:keepNext/>
      <w:keepLines/>
      <w:numPr>
        <w:ilvl w:val="2"/>
        <w:numId w:val="1"/>
      </w:numPr>
      <w:spacing w:before="200" w:line="36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7290"/>
    <w:pPr>
      <w:keepNext/>
      <w:keepLines/>
      <w:numPr>
        <w:ilvl w:val="3"/>
        <w:numId w:val="1"/>
      </w:numPr>
      <w:spacing w:before="200" w:line="360" w:lineRule="auto"/>
      <w:ind w:left="896" w:hanging="896"/>
      <w:jc w:val="both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1E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1E6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C46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679"/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6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6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6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679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679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07290"/>
    <w:rPr>
      <w:rFonts w:asciiTheme="majorHAnsi" w:eastAsiaTheme="majorEastAsia" w:hAnsiTheme="majorHAnsi" w:cstheme="majorBidi"/>
      <w:b/>
      <w:bCs/>
      <w:color w:val="000000" w:themeColor="text1"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07290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7290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07290"/>
    <w:rPr>
      <w:rFonts w:asciiTheme="majorHAnsi" w:eastAsiaTheme="majorEastAsia" w:hAnsiTheme="majorHAnsi" w:cstheme="majorBidi"/>
      <w:b/>
      <w:bCs/>
      <w:iCs/>
      <w:color w:val="000000" w:themeColor="text1"/>
      <w:szCs w:val="22"/>
    </w:rPr>
  </w:style>
  <w:style w:type="numbering" w:customStyle="1" w:styleId="Formatvorlage3">
    <w:name w:val="Formatvorlage3"/>
    <w:basedOn w:val="NoList"/>
    <w:uiPriority w:val="99"/>
    <w:rsid w:val="00307290"/>
    <w:pPr>
      <w:numPr>
        <w:numId w:val="1"/>
      </w:numPr>
    </w:pPr>
  </w:style>
  <w:style w:type="character" w:customStyle="1" w:styleId="tags">
    <w:name w:val="tags"/>
    <w:basedOn w:val="DefaultParagraphFont"/>
    <w:rsid w:val="00307290"/>
  </w:style>
  <w:style w:type="paragraph" w:customStyle="1" w:styleId="TextPaper">
    <w:name w:val="Text_Paper"/>
    <w:basedOn w:val="Normal"/>
    <w:link w:val="TextPaperZchn"/>
    <w:qFormat/>
    <w:rsid w:val="00307290"/>
    <w:pPr>
      <w:spacing w:after="160" w:line="259" w:lineRule="auto"/>
      <w:jc w:val="both"/>
    </w:pPr>
    <w:rPr>
      <w:rFonts w:eastAsiaTheme="minorHAnsi"/>
      <w:lang w:val="en-GB"/>
    </w:rPr>
  </w:style>
  <w:style w:type="character" w:customStyle="1" w:styleId="TextPaperZchn">
    <w:name w:val="Text_Paper Zchn"/>
    <w:basedOn w:val="DefaultParagraphFont"/>
    <w:link w:val="TextPaper"/>
    <w:qFormat/>
    <w:rsid w:val="00307290"/>
    <w:rPr>
      <w:rFonts w:ascii="Times New Roman" w:hAnsi="Times New Roman" w:cs="Times New Roman"/>
      <w:lang w:val="en-GB"/>
    </w:rPr>
  </w:style>
  <w:style w:type="table" w:styleId="TableGrid">
    <w:name w:val="Table Grid"/>
    <w:basedOn w:val="TableNormal"/>
    <w:uiPriority w:val="39"/>
    <w:rsid w:val="004568D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7636C"/>
    <w:pPr>
      <w:jc w:val="center"/>
    </w:pPr>
    <w:rPr>
      <w:rFonts w:ascii="Calibri" w:eastAsiaTheme="minorHAns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636C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636C"/>
    <w:rPr>
      <w:rFonts w:ascii="Calibri" w:eastAsiaTheme="minorHAns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7636C"/>
    <w:rPr>
      <w:rFonts w:ascii="Calibri" w:hAnsi="Calibri" w:cs="Calibri"/>
      <w:lang w:val="en-US"/>
    </w:rPr>
  </w:style>
  <w:style w:type="paragraph" w:styleId="NoSpacing">
    <w:name w:val="No Spacing"/>
    <w:uiPriority w:val="1"/>
    <w:qFormat/>
    <w:rsid w:val="00A8754C"/>
  </w:style>
  <w:style w:type="paragraph" w:styleId="NormalWeb">
    <w:name w:val="Normal (Web)"/>
    <w:basedOn w:val="Normal"/>
    <w:uiPriority w:val="99"/>
    <w:unhideWhenUsed/>
    <w:rsid w:val="0099132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A70BB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Light">
    <w:name w:val="Grid Table Light"/>
    <w:basedOn w:val="TableNormal"/>
    <w:uiPriority w:val="40"/>
    <w:rsid w:val="0061602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1602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1602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1602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61602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">
    <w:name w:val="Grid Table 2"/>
    <w:basedOn w:val="TableNormal"/>
    <w:uiPriority w:val="47"/>
    <w:rsid w:val="0061602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1602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61602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5Dark-Accent4">
    <w:name w:val="Grid Table 5 Dark Accent 4"/>
    <w:basedOn w:val="TableNormal"/>
    <w:uiPriority w:val="50"/>
    <w:rsid w:val="0061602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6025"/>
  </w:style>
  <w:style w:type="paragraph" w:styleId="Revision">
    <w:name w:val="Revision"/>
    <w:hidden/>
    <w:uiPriority w:val="99"/>
    <w:semiHidden/>
    <w:rsid w:val="008C0D9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9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652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T.</dc:creator>
  <cp:keywords/>
  <dc:description/>
  <cp:lastModifiedBy>Marija T.</cp:lastModifiedBy>
  <cp:revision>2</cp:revision>
  <cp:lastPrinted>2021-07-20T13:14:00Z</cp:lastPrinted>
  <dcterms:created xsi:type="dcterms:W3CDTF">2022-12-06T19:21:00Z</dcterms:created>
  <dcterms:modified xsi:type="dcterms:W3CDTF">2022-12-06T19:21:00Z</dcterms:modified>
</cp:coreProperties>
</file>