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59B56" w14:textId="77777777" w:rsidR="00307520" w:rsidRDefault="00307520" w:rsidP="00307520">
      <w:pPr>
        <w:spacing w:line="480" w:lineRule="auto"/>
        <w:jc w:val="both"/>
        <w:rPr>
          <w:rFonts w:cstheme="minorHAnsi"/>
        </w:rPr>
      </w:pPr>
      <w:r>
        <w:rPr>
          <w:rFonts w:cstheme="minorHAnsi"/>
        </w:rPr>
        <w:t>Supplementary Information</w:t>
      </w:r>
    </w:p>
    <w:p w14:paraId="3F54FFCB" w14:textId="77777777" w:rsidR="00307520" w:rsidRDefault="00307520" w:rsidP="00307520">
      <w:pPr>
        <w:spacing w:line="480" w:lineRule="auto"/>
        <w:jc w:val="both"/>
        <w:rPr>
          <w:rFonts w:cstheme="minorHAnsi"/>
        </w:rPr>
      </w:pPr>
      <w:r>
        <w:rPr>
          <w:rFonts w:cstheme="minorHAnsi"/>
        </w:rPr>
        <w:t>The mean fraction of exogenous glutamine used for GSH synthesis (n=3 to 4 experiments per cell line) was determined from the reduction in glutamine uptake (J</w:t>
      </w:r>
      <w:r w:rsidRPr="00B501CC">
        <w:rPr>
          <w:rFonts w:cstheme="minorHAnsi"/>
          <w:vertAlign w:val="subscript"/>
        </w:rPr>
        <w:t>10</w:t>
      </w:r>
      <w:r>
        <w:rPr>
          <w:rFonts w:cstheme="minorHAnsi"/>
        </w:rPr>
        <w:t xml:space="preserve">) with 50 </w:t>
      </w:r>
      <w:r>
        <w:rPr>
          <w:rFonts w:cstheme="minorHAnsi"/>
        </w:rPr>
        <w:sym w:font="Symbol" w:char="F06D"/>
      </w:r>
      <w:r>
        <w:rPr>
          <w:rFonts w:cstheme="minorHAnsi"/>
        </w:rPr>
        <w:t>M BSO referenced to paired controls without BSO. The product of the mean fractional glutamine used for GSH synthesis and J</w:t>
      </w:r>
      <w:r w:rsidRPr="00B501CC">
        <w:rPr>
          <w:rFonts w:cstheme="minorHAnsi"/>
          <w:vertAlign w:val="subscript"/>
        </w:rPr>
        <w:t>10</w:t>
      </w:r>
      <w:r>
        <w:rPr>
          <w:rFonts w:cstheme="minorHAnsi"/>
        </w:rPr>
        <w:t xml:space="preserve"> measured for each experiment with [5-</w:t>
      </w:r>
      <w:r w:rsidRPr="00B501CC">
        <w:rPr>
          <w:rFonts w:cstheme="minorHAnsi"/>
          <w:vertAlign w:val="superscript"/>
        </w:rPr>
        <w:t>13</w:t>
      </w:r>
      <w:r>
        <w:rPr>
          <w:rFonts w:cstheme="minorHAnsi"/>
        </w:rPr>
        <w:t>C] glutamine yielded flux to GSH J</w:t>
      </w:r>
      <w:r w:rsidRPr="00B501CC">
        <w:rPr>
          <w:rFonts w:cstheme="minorHAnsi"/>
          <w:vertAlign w:val="subscript"/>
        </w:rPr>
        <w:t>18</w:t>
      </w:r>
      <w:r>
        <w:rPr>
          <w:rFonts w:cstheme="minorHAnsi"/>
        </w:rPr>
        <w:t xml:space="preserve">. </w:t>
      </w:r>
    </w:p>
    <w:p w14:paraId="3AE5E883"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18</m:t>
            </m:r>
          </m:sub>
        </m:sSub>
        <m:r>
          <w:rPr>
            <w:rFonts w:ascii="Cambria Math" w:hAnsi="Cambria Math" w:cstheme="minorHAnsi"/>
            <w:sz w:val="28"/>
            <w:szCs w:val="28"/>
          </w:rPr>
          <m:t>=</m:t>
        </m:r>
        <m:d>
          <m:dPr>
            <m:ctrlPr>
              <w:rPr>
                <w:rFonts w:ascii="Cambria Math" w:hAnsi="Cambria Math" w:cstheme="minorHAnsi"/>
                <w:i/>
                <w:sz w:val="28"/>
                <w:szCs w:val="28"/>
              </w:rPr>
            </m:ctrlPr>
          </m:dPr>
          <m:e>
            <m:r>
              <w:rPr>
                <w:rFonts w:ascii="Cambria Math" w:hAnsi="Cambria Math" w:cstheme="minorHAnsi"/>
                <w:sz w:val="28"/>
                <w:szCs w:val="28"/>
              </w:rPr>
              <m:t>1-</m:t>
            </m:r>
            <m:f>
              <m:fPr>
                <m:ctrlPr>
                  <w:rPr>
                    <w:rFonts w:ascii="Cambria Math" w:hAnsi="Cambria Math" w:cstheme="minorHAnsi"/>
                    <w:i/>
                    <w:sz w:val="28"/>
                    <w:szCs w:val="28"/>
                  </w:rPr>
                </m:ctrlPr>
              </m:fPr>
              <m:num>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10</m:t>
                    </m:r>
                  </m:sub>
                  <m:sup>
                    <m:r>
                      <w:rPr>
                        <w:rFonts w:ascii="Cambria Math" w:hAnsi="Cambria Math" w:cstheme="minorHAnsi"/>
                        <w:sz w:val="28"/>
                        <w:szCs w:val="28"/>
                      </w:rPr>
                      <m:t>BSO</m:t>
                    </m:r>
                  </m:sup>
                </m:sSubSup>
              </m:num>
              <m:den>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10</m:t>
                    </m:r>
                  </m:sub>
                  <m:sup>
                    <m:r>
                      <w:rPr>
                        <w:rFonts w:ascii="Cambria Math" w:hAnsi="Cambria Math" w:cstheme="minorHAnsi"/>
                        <w:sz w:val="28"/>
                        <w:szCs w:val="28"/>
                      </w:rPr>
                      <m:t>cntl</m:t>
                    </m:r>
                  </m:sup>
                </m:sSubSup>
              </m:den>
            </m:f>
          </m:e>
        </m:d>
        <m:r>
          <w:rPr>
            <w:rFonts w:ascii="Cambria Math" w:hAnsi="Cambria Math" w:cstheme="minorHAnsi"/>
            <w:sz w:val="28"/>
            <w:szCs w:val="28"/>
          </w:rPr>
          <m:t>*</m:t>
        </m:r>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10</m:t>
            </m:r>
          </m:sub>
          <m:sup>
            <m:r>
              <w:rPr>
                <w:rFonts w:ascii="Cambria Math" w:hAnsi="Cambria Math" w:cstheme="minorHAnsi"/>
                <w:sz w:val="28"/>
                <w:szCs w:val="28"/>
              </w:rPr>
              <m:t>13C gln</m:t>
            </m:r>
          </m:sup>
        </m:sSubSup>
      </m:oMath>
      <w:r>
        <w:rPr>
          <w:rFonts w:cstheme="minorHAnsi"/>
        </w:rPr>
        <w:t xml:space="preserve">                                                                             (Eq. 11)</w:t>
      </w:r>
    </w:p>
    <w:p w14:paraId="2115B44C" w14:textId="77777777" w:rsidR="00307520" w:rsidRDefault="00307520" w:rsidP="00307520">
      <w:pPr>
        <w:spacing w:line="480" w:lineRule="auto"/>
        <w:jc w:val="both"/>
        <w:rPr>
          <w:rFonts w:cstheme="minorHAnsi"/>
        </w:rPr>
      </w:pPr>
      <w:r>
        <w:rPr>
          <w:rFonts w:cstheme="minorHAnsi"/>
        </w:rPr>
        <w:t>Similarly, the mean fraction of exogenous glutamine used for fatty acid synthesis (n=3-4 experiments per cell line) was determined from the reduction in J</w:t>
      </w:r>
      <w:r w:rsidRPr="00B501CC">
        <w:rPr>
          <w:rFonts w:cstheme="minorHAnsi"/>
          <w:vertAlign w:val="subscript"/>
        </w:rPr>
        <w:t>10</w:t>
      </w:r>
      <w:r>
        <w:rPr>
          <w:rFonts w:cstheme="minorHAnsi"/>
        </w:rPr>
        <w:t xml:space="preserve"> with 40 </w:t>
      </w:r>
      <w:r>
        <w:rPr>
          <w:rFonts w:cstheme="minorHAnsi"/>
        </w:rPr>
        <w:sym w:font="Symbol" w:char="F06D"/>
      </w:r>
      <w:r>
        <w:rPr>
          <w:rFonts w:cstheme="minorHAnsi"/>
        </w:rPr>
        <w:t>M C75 referenced to paired controls without C75. The product of the mean fractional glutamine used for fatty acid synthesis and J</w:t>
      </w:r>
      <w:r w:rsidRPr="00B501CC">
        <w:rPr>
          <w:rFonts w:cstheme="minorHAnsi"/>
          <w:vertAlign w:val="subscript"/>
        </w:rPr>
        <w:t>10</w:t>
      </w:r>
      <w:r>
        <w:rPr>
          <w:rFonts w:cstheme="minorHAnsi"/>
        </w:rPr>
        <w:t xml:space="preserve"> measured for each experiment with [5-</w:t>
      </w:r>
      <w:r w:rsidRPr="00B501CC">
        <w:rPr>
          <w:rFonts w:cstheme="minorHAnsi"/>
          <w:vertAlign w:val="superscript"/>
        </w:rPr>
        <w:t>13</w:t>
      </w:r>
      <w:r>
        <w:rPr>
          <w:rFonts w:cstheme="minorHAnsi"/>
        </w:rPr>
        <w:t>C] glutamine yielded J</w:t>
      </w:r>
      <w:r w:rsidRPr="00B501CC">
        <w:rPr>
          <w:rFonts w:cstheme="minorHAnsi"/>
          <w:vertAlign w:val="subscript"/>
        </w:rPr>
        <w:t>12r</w:t>
      </w:r>
      <w:r>
        <w:rPr>
          <w:rFonts w:cstheme="minorHAnsi"/>
        </w:rPr>
        <w:t xml:space="preserve">, the reductive carboxylation of </w:t>
      </w:r>
      <w:r>
        <w:rPr>
          <w:rFonts w:cstheme="minorHAnsi"/>
        </w:rPr>
        <w:sym w:font="Symbol" w:char="F061"/>
      </w:r>
      <w:r>
        <w:rPr>
          <w:rFonts w:cstheme="minorHAnsi"/>
        </w:rPr>
        <w:t>-ketoglutarate to citrate that contributed to fatty acid synthesis.</w:t>
      </w:r>
    </w:p>
    <w:p w14:paraId="58B27EC1" w14:textId="77777777" w:rsidR="00307520" w:rsidRDefault="00307520" w:rsidP="00307520">
      <w:pPr>
        <w:spacing w:line="480" w:lineRule="auto"/>
        <w:jc w:val="right"/>
        <w:rPr>
          <w:rFonts w:cstheme="minorHAnsi"/>
        </w:rPr>
      </w:pP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12r</m:t>
            </m:r>
          </m:sub>
        </m:sSub>
        <m:r>
          <w:rPr>
            <w:rFonts w:ascii="Cambria Math" w:hAnsi="Cambria Math" w:cstheme="minorHAnsi"/>
            <w:sz w:val="28"/>
            <w:szCs w:val="28"/>
          </w:rPr>
          <m:t>=</m:t>
        </m:r>
        <m:d>
          <m:dPr>
            <m:ctrlPr>
              <w:rPr>
                <w:rFonts w:ascii="Cambria Math" w:hAnsi="Cambria Math" w:cstheme="minorHAnsi"/>
                <w:i/>
                <w:sz w:val="28"/>
                <w:szCs w:val="28"/>
              </w:rPr>
            </m:ctrlPr>
          </m:dPr>
          <m:e>
            <m:r>
              <w:rPr>
                <w:rFonts w:ascii="Cambria Math" w:hAnsi="Cambria Math" w:cstheme="minorHAnsi"/>
                <w:sz w:val="28"/>
                <w:szCs w:val="28"/>
              </w:rPr>
              <m:t>1-</m:t>
            </m:r>
            <m:f>
              <m:fPr>
                <m:ctrlPr>
                  <w:rPr>
                    <w:rFonts w:ascii="Cambria Math" w:hAnsi="Cambria Math" w:cstheme="minorHAnsi"/>
                    <w:i/>
                    <w:sz w:val="28"/>
                    <w:szCs w:val="28"/>
                  </w:rPr>
                </m:ctrlPr>
              </m:fPr>
              <m:num>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10</m:t>
                    </m:r>
                  </m:sub>
                  <m:sup>
                    <m:r>
                      <w:rPr>
                        <w:rFonts w:ascii="Cambria Math" w:hAnsi="Cambria Math" w:cstheme="minorHAnsi"/>
                        <w:sz w:val="28"/>
                        <w:szCs w:val="28"/>
                      </w:rPr>
                      <m:t>C75</m:t>
                    </m:r>
                  </m:sup>
                </m:sSubSup>
              </m:num>
              <m:den>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10</m:t>
                    </m:r>
                  </m:sub>
                  <m:sup>
                    <m:r>
                      <w:rPr>
                        <w:rFonts w:ascii="Cambria Math" w:hAnsi="Cambria Math" w:cstheme="minorHAnsi"/>
                        <w:sz w:val="28"/>
                        <w:szCs w:val="28"/>
                      </w:rPr>
                      <m:t>cntl</m:t>
                    </m:r>
                  </m:sup>
                </m:sSubSup>
              </m:den>
            </m:f>
          </m:e>
        </m:d>
        <m:r>
          <w:rPr>
            <w:rFonts w:ascii="Cambria Math" w:hAnsi="Cambria Math" w:cstheme="minorHAnsi"/>
            <w:sz w:val="28"/>
            <w:szCs w:val="28"/>
          </w:rPr>
          <m:t>*</m:t>
        </m:r>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10</m:t>
            </m:r>
          </m:sub>
          <m:sup>
            <m:r>
              <w:rPr>
                <w:rFonts w:ascii="Cambria Math" w:hAnsi="Cambria Math" w:cstheme="minorHAnsi"/>
                <w:sz w:val="28"/>
                <w:szCs w:val="28"/>
              </w:rPr>
              <m:t>13C gln</m:t>
            </m:r>
          </m:sup>
        </m:sSubSup>
      </m:oMath>
      <w:r>
        <w:rPr>
          <w:rFonts w:cstheme="minorHAnsi"/>
        </w:rPr>
        <w:t xml:space="preserve">                                                                             (Eq. 12)</w:t>
      </w:r>
    </w:p>
    <w:p w14:paraId="52B5A654" w14:textId="77777777" w:rsidR="00307520" w:rsidRDefault="00307520" w:rsidP="00307520">
      <w:pPr>
        <w:spacing w:line="480" w:lineRule="auto"/>
        <w:jc w:val="both"/>
        <w:rPr>
          <w:rFonts w:cstheme="minorHAnsi"/>
        </w:rPr>
      </w:pPr>
      <w:r>
        <w:rPr>
          <w:rFonts w:cstheme="minorHAnsi"/>
        </w:rPr>
        <w:t>The mean fraction of exogenous glucose used for fatty acid synthesis (n=3-4 experiments per cell line) was determined from the decrease in glucose uptake (J</w:t>
      </w:r>
      <w:r w:rsidRPr="00B501CC">
        <w:rPr>
          <w:rFonts w:cstheme="minorHAnsi"/>
          <w:vertAlign w:val="subscript"/>
        </w:rPr>
        <w:t>0</w:t>
      </w:r>
      <w:r>
        <w:rPr>
          <w:rFonts w:cstheme="minorHAnsi"/>
        </w:rPr>
        <w:t xml:space="preserve">) with 40 </w:t>
      </w:r>
      <w:r>
        <w:rPr>
          <w:rFonts w:cstheme="minorHAnsi"/>
        </w:rPr>
        <w:sym w:font="Symbol" w:char="F06D"/>
      </w:r>
      <w:r>
        <w:rPr>
          <w:rFonts w:cstheme="minorHAnsi"/>
        </w:rPr>
        <w:t>M C75 referenced to paired controls without C75. In many experiments, addition of C75 reduced lactate production (J</w:t>
      </w:r>
      <w:r w:rsidRPr="00B501CC">
        <w:rPr>
          <w:rFonts w:cstheme="minorHAnsi"/>
          <w:vertAlign w:val="subscript"/>
        </w:rPr>
        <w:t>4</w:t>
      </w:r>
      <w:r>
        <w:rPr>
          <w:rFonts w:cstheme="minorHAnsi"/>
        </w:rPr>
        <w:t>), which was interpreted as a reduction in ATP turnover associated with fatty acid synthesis. As such, C75-sensitive J</w:t>
      </w:r>
      <w:r w:rsidRPr="00B501CC">
        <w:rPr>
          <w:rFonts w:cstheme="minorHAnsi"/>
          <w:vertAlign w:val="subscript"/>
        </w:rPr>
        <w:t>0</w:t>
      </w:r>
      <w:r>
        <w:rPr>
          <w:rFonts w:cstheme="minorHAnsi"/>
        </w:rPr>
        <w:t xml:space="preserve"> was corrected for C75-sensitive J</w:t>
      </w:r>
      <w:r w:rsidRPr="00B501CC">
        <w:rPr>
          <w:rFonts w:cstheme="minorHAnsi"/>
          <w:vertAlign w:val="subscript"/>
        </w:rPr>
        <w:t>4</w:t>
      </w:r>
      <w:r>
        <w:rPr>
          <w:rFonts w:cstheme="minorHAnsi"/>
        </w:rPr>
        <w:t>. An additional correction was applied based on the NADPH requirement for palmitate synthesis. For each palmitate synthesized, four glucose are required to generate 8 acetyl-CoA and seven glucose are required to generate 14 NADPH, assuming all NADPH was from the oxidative PPP. Thus, only 36% of C75-sensitive glucose that does not end as lactate is expected to be shunted to fatty acids.</w:t>
      </w:r>
    </w:p>
    <w:p w14:paraId="1DBAB3CB" w14:textId="77777777" w:rsidR="00307520" w:rsidRDefault="00307520" w:rsidP="00307520">
      <w:pPr>
        <w:spacing w:line="480" w:lineRule="auto"/>
        <w:jc w:val="right"/>
        <w:rPr>
          <w:rFonts w:cstheme="minorHAnsi"/>
        </w:rPr>
      </w:pPr>
      <w:r>
        <w:rPr>
          <w:rFonts w:cstheme="minorHAnsi"/>
        </w:rPr>
        <w:lastRenderedPageBreak/>
        <w:t xml:space="preserve"> </w:t>
      </w:r>
      <m:oMath>
        <m:r>
          <w:rPr>
            <w:rFonts w:ascii="Cambria Math" w:hAnsi="Cambria Math" w:cstheme="minorHAnsi"/>
            <w:sz w:val="28"/>
            <w:szCs w:val="28"/>
          </w:rPr>
          <m:t>fraction Glc to FA=0.36*</m:t>
        </m:r>
        <m:d>
          <m:dPr>
            <m:begChr m:val="["/>
            <m:endChr m:val="]"/>
            <m:ctrlPr>
              <w:rPr>
                <w:rFonts w:ascii="Cambria Math" w:hAnsi="Cambria Math" w:cstheme="minorHAnsi"/>
                <w:i/>
                <w:sz w:val="28"/>
                <w:szCs w:val="28"/>
              </w:rPr>
            </m:ctrlPr>
          </m:dPr>
          <m:e>
            <m:f>
              <m:fPr>
                <m:ctrlPr>
                  <w:rPr>
                    <w:rFonts w:ascii="Cambria Math" w:hAnsi="Cambria Math" w:cstheme="minorHAnsi"/>
                    <w:i/>
                    <w:sz w:val="28"/>
                    <w:szCs w:val="28"/>
                  </w:rPr>
                </m:ctrlPr>
              </m:fPr>
              <m:num>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0</m:t>
                    </m:r>
                  </m:sub>
                  <m:sup>
                    <m:r>
                      <w:rPr>
                        <w:rFonts w:ascii="Cambria Math" w:hAnsi="Cambria Math" w:cstheme="minorHAnsi"/>
                        <w:sz w:val="28"/>
                        <w:szCs w:val="28"/>
                      </w:rPr>
                      <m:t>cntl</m:t>
                    </m:r>
                  </m:sup>
                </m:sSubSup>
                <m:r>
                  <w:rPr>
                    <w:rFonts w:ascii="Cambria Math" w:hAnsi="Cambria Math" w:cstheme="minorHAnsi"/>
                    <w:sz w:val="28"/>
                    <w:szCs w:val="28"/>
                  </w:rPr>
                  <m:t>-</m:t>
                </m:r>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0</m:t>
                    </m:r>
                  </m:sub>
                  <m:sup>
                    <m:r>
                      <w:rPr>
                        <w:rFonts w:ascii="Cambria Math" w:hAnsi="Cambria Math" w:cstheme="minorHAnsi"/>
                        <w:sz w:val="28"/>
                        <w:szCs w:val="28"/>
                      </w:rPr>
                      <m:t>C75</m:t>
                    </m:r>
                  </m:sup>
                </m:sSubSup>
                <m:r>
                  <w:rPr>
                    <w:rFonts w:ascii="Cambria Math" w:hAnsi="Cambria Math" w:cstheme="minorHAnsi"/>
                    <w:sz w:val="28"/>
                    <w:szCs w:val="28"/>
                  </w:rPr>
                  <m:t>)-0.5*(</m:t>
                </m:r>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4</m:t>
                    </m:r>
                  </m:sub>
                  <m:sup>
                    <m:r>
                      <w:rPr>
                        <w:rFonts w:ascii="Cambria Math" w:hAnsi="Cambria Math" w:cstheme="minorHAnsi"/>
                        <w:sz w:val="28"/>
                        <w:szCs w:val="28"/>
                      </w:rPr>
                      <m:t>cntl</m:t>
                    </m:r>
                  </m:sup>
                </m:sSubSup>
                <m:r>
                  <w:rPr>
                    <w:rFonts w:ascii="Cambria Math" w:hAnsi="Cambria Math" w:cstheme="minorHAnsi"/>
                    <w:sz w:val="28"/>
                    <w:szCs w:val="28"/>
                  </w:rPr>
                  <m:t>-</m:t>
                </m:r>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4</m:t>
                    </m:r>
                  </m:sub>
                  <m:sup>
                    <m:r>
                      <w:rPr>
                        <w:rFonts w:ascii="Cambria Math" w:hAnsi="Cambria Math" w:cstheme="minorHAnsi"/>
                        <w:sz w:val="28"/>
                        <w:szCs w:val="28"/>
                      </w:rPr>
                      <m:t>C75</m:t>
                    </m:r>
                  </m:sup>
                </m:sSubSup>
                <m:r>
                  <w:rPr>
                    <w:rFonts w:ascii="Cambria Math" w:hAnsi="Cambria Math" w:cstheme="minorHAnsi"/>
                    <w:sz w:val="28"/>
                    <w:szCs w:val="28"/>
                  </w:rPr>
                  <m:t>)</m:t>
                </m:r>
              </m:num>
              <m:den>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0</m:t>
                    </m:r>
                  </m:sub>
                  <m:sup>
                    <m:r>
                      <w:rPr>
                        <w:rFonts w:ascii="Cambria Math" w:hAnsi="Cambria Math" w:cstheme="minorHAnsi"/>
                        <w:sz w:val="28"/>
                        <w:szCs w:val="28"/>
                      </w:rPr>
                      <m:t>cntl</m:t>
                    </m:r>
                  </m:sup>
                </m:sSubSup>
              </m:den>
            </m:f>
          </m:e>
        </m:d>
        <m:r>
          <w:rPr>
            <w:rFonts w:ascii="Cambria Math" w:hAnsi="Cambria Math" w:cstheme="minorHAnsi"/>
            <w:sz w:val="28"/>
            <w:szCs w:val="28"/>
          </w:rPr>
          <m:t>=V</m:t>
        </m:r>
      </m:oMath>
      <w:r>
        <w:rPr>
          <w:rFonts w:cstheme="minorHAnsi"/>
        </w:rPr>
        <w:t xml:space="preserve">                  (Eq. 13)</w:t>
      </w:r>
    </w:p>
    <w:p w14:paraId="1E902CF8" w14:textId="77777777" w:rsidR="00307520" w:rsidRDefault="00307520" w:rsidP="00307520">
      <w:pPr>
        <w:spacing w:line="480" w:lineRule="auto"/>
        <w:jc w:val="both"/>
        <w:rPr>
          <w:rFonts w:cstheme="minorHAnsi"/>
        </w:rPr>
      </w:pPr>
      <w:r>
        <w:rPr>
          <w:rFonts w:cstheme="minorHAnsi"/>
        </w:rPr>
        <w:t>From the C75 experiments, the rate of citrate flux to fatty acid (J</w:t>
      </w:r>
      <w:r w:rsidRPr="00596C6D">
        <w:rPr>
          <w:rFonts w:cstheme="minorHAnsi"/>
          <w:vertAlign w:val="subscript"/>
        </w:rPr>
        <w:t>13</w:t>
      </w:r>
      <w:r>
        <w:rPr>
          <w:rFonts w:cstheme="minorHAnsi"/>
        </w:rPr>
        <w:t>) for experiments with [5-</w:t>
      </w:r>
      <w:r w:rsidRPr="00596C6D">
        <w:rPr>
          <w:rFonts w:cstheme="minorHAnsi"/>
          <w:vertAlign w:val="superscript"/>
        </w:rPr>
        <w:t>13</w:t>
      </w:r>
      <w:r>
        <w:rPr>
          <w:rFonts w:cstheme="minorHAnsi"/>
        </w:rPr>
        <w:t>C] glutamine is</w:t>
      </w:r>
    </w:p>
    <w:p w14:paraId="1C19DEBE" w14:textId="77777777" w:rsidR="00307520" w:rsidRDefault="00307520" w:rsidP="00307520">
      <w:pPr>
        <w:spacing w:line="480" w:lineRule="auto"/>
        <w:jc w:val="right"/>
        <w:rPr>
          <w:rFonts w:cstheme="minorHAnsi"/>
        </w:rPr>
      </w:pPr>
      <w:r w:rsidRPr="00605EC9">
        <w:rPr>
          <w:rFonts w:cstheme="minorHAnsi"/>
          <w:sz w:val="28"/>
          <w:szCs w:val="28"/>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13</m:t>
            </m:r>
          </m:sub>
        </m:sSub>
        <m:r>
          <w:rPr>
            <w:rFonts w:ascii="Cambria Math" w:hAnsi="Cambria Math" w:cstheme="minorHAnsi"/>
            <w:sz w:val="28"/>
            <w:szCs w:val="28"/>
          </w:rPr>
          <m:t>=2*</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0</m:t>
            </m:r>
          </m:sub>
        </m:sSub>
        <m:r>
          <w:rPr>
            <w:rFonts w:ascii="Cambria Math" w:hAnsi="Cambria Math" w:cstheme="minorHAnsi"/>
            <w:sz w:val="28"/>
            <w:szCs w:val="28"/>
          </w:rPr>
          <m:t>*V+</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12r</m:t>
            </m:r>
          </m:sub>
        </m:sSub>
      </m:oMath>
      <w:r>
        <w:rPr>
          <w:rFonts w:cstheme="minorHAnsi"/>
        </w:rPr>
        <w:t xml:space="preserve">                                                              (Eq. 14)</w:t>
      </w:r>
    </w:p>
    <w:p w14:paraId="2782DECA" w14:textId="77777777" w:rsidR="00307520" w:rsidRDefault="00307520" w:rsidP="00307520">
      <w:pPr>
        <w:spacing w:line="480" w:lineRule="auto"/>
        <w:jc w:val="both"/>
        <w:rPr>
          <w:rFonts w:cstheme="minorHAnsi"/>
        </w:rPr>
      </w:pPr>
      <w:r>
        <w:rPr>
          <w:rFonts w:cstheme="minorHAnsi"/>
        </w:rPr>
        <w:t xml:space="preserve">From Model 3 optimized Eq. 8 and 9 (see Methods), the flux from citrate to </w:t>
      </w:r>
      <w:r>
        <w:rPr>
          <w:rFonts w:cstheme="minorHAnsi"/>
        </w:rPr>
        <w:sym w:font="Symbol" w:char="F061"/>
      </w:r>
      <w:r>
        <w:rPr>
          <w:rFonts w:cstheme="minorHAnsi"/>
        </w:rPr>
        <w:t>-ketoglutarate (J</w:t>
      </w:r>
      <w:r w:rsidRPr="003F5C97">
        <w:rPr>
          <w:rFonts w:cstheme="minorHAnsi"/>
          <w:vertAlign w:val="subscript"/>
        </w:rPr>
        <w:t>12f</w:t>
      </w:r>
      <w:r>
        <w:rPr>
          <w:rFonts w:cstheme="minorHAnsi"/>
        </w:rPr>
        <w:t>) in the TCA cycle is</w:t>
      </w:r>
    </w:p>
    <w:p w14:paraId="62A9B4F6"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12f</m:t>
            </m:r>
          </m:sub>
        </m:sSub>
        <m:r>
          <w:rPr>
            <w:rFonts w:ascii="Cambria Math" w:hAnsi="Cambria Math" w:cstheme="minorHAnsi"/>
            <w:sz w:val="28"/>
            <w:szCs w:val="28"/>
          </w:rPr>
          <m:t>=</m:t>
        </m:r>
        <m:d>
          <m:dPr>
            <m:ctrlPr>
              <w:rPr>
                <w:rFonts w:ascii="Cambria Math" w:hAnsi="Cambria Math" w:cstheme="minorHAnsi"/>
                <w:i/>
                <w:sz w:val="28"/>
                <w:szCs w:val="28"/>
              </w:rPr>
            </m:ctrlPr>
          </m:dPr>
          <m:e>
            <m:f>
              <m:fPr>
                <m:ctrlPr>
                  <w:rPr>
                    <w:rFonts w:ascii="Cambria Math" w:hAnsi="Cambria Math" w:cstheme="minorHAnsi"/>
                    <w:i/>
                    <w:sz w:val="28"/>
                    <w:szCs w:val="28"/>
                  </w:rPr>
                </m:ctrlPr>
              </m:fPr>
              <m:num>
                <m:r>
                  <w:rPr>
                    <w:rFonts w:ascii="Cambria Math" w:hAnsi="Cambria Math" w:cstheme="minorHAnsi"/>
                    <w:sz w:val="28"/>
                    <w:szCs w:val="28"/>
                  </w:rPr>
                  <m:t>1-W</m:t>
                </m:r>
              </m:num>
              <m:den>
                <m:r>
                  <w:rPr>
                    <w:rFonts w:ascii="Cambria Math" w:hAnsi="Cambria Math" w:cstheme="minorHAnsi"/>
                    <w:sz w:val="28"/>
                    <w:szCs w:val="28"/>
                  </w:rPr>
                  <m:t>W</m:t>
                </m:r>
              </m:den>
            </m:f>
          </m:e>
        </m:d>
        <m:r>
          <w:rPr>
            <w:rFonts w:ascii="Cambria Math" w:hAnsi="Cambria Math" w:cstheme="minorHAnsi"/>
            <w:sz w:val="28"/>
            <w:szCs w:val="28"/>
          </w:rPr>
          <m:t>*X*</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10</m:t>
            </m:r>
          </m:sub>
        </m:sSub>
      </m:oMath>
      <w:r>
        <w:rPr>
          <w:rFonts w:cstheme="minorHAnsi"/>
        </w:rPr>
        <w:t xml:space="preserve">                                                            (Eq. 15)</w:t>
      </w:r>
    </w:p>
    <w:p w14:paraId="23902972" w14:textId="77777777" w:rsidR="00307520" w:rsidRDefault="00307520" w:rsidP="00307520">
      <w:pPr>
        <w:spacing w:line="480" w:lineRule="auto"/>
        <w:jc w:val="both"/>
        <w:rPr>
          <w:rFonts w:cstheme="minorHAnsi"/>
        </w:rPr>
      </w:pPr>
      <w:r>
        <w:rPr>
          <w:rFonts w:cstheme="minorHAnsi"/>
        </w:rPr>
        <w:t>From the citrate balance, the rate of pyruvate oxidation (J</w:t>
      </w:r>
      <w:r w:rsidRPr="00596C6D">
        <w:rPr>
          <w:rFonts w:cstheme="minorHAnsi"/>
          <w:vertAlign w:val="subscript"/>
        </w:rPr>
        <w:t>5</w:t>
      </w:r>
      <w:r>
        <w:rPr>
          <w:rFonts w:cstheme="minorHAnsi"/>
        </w:rPr>
        <w:t>) is</w:t>
      </w:r>
    </w:p>
    <w:p w14:paraId="6C92B95A"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5</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13</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12f</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12r</m:t>
            </m:r>
          </m:sub>
        </m:sSub>
      </m:oMath>
      <w:r w:rsidRPr="008D26FA">
        <w:rPr>
          <w:rFonts w:cstheme="minorHAnsi"/>
          <w:sz w:val="28"/>
          <w:szCs w:val="28"/>
        </w:rPr>
        <w:t xml:space="preserve"> </w:t>
      </w:r>
      <w:r>
        <w:rPr>
          <w:rFonts w:cstheme="minorHAnsi"/>
        </w:rPr>
        <w:t xml:space="preserve">                                                          (Eq. 16)</w:t>
      </w:r>
    </w:p>
    <w:p w14:paraId="53DDA1B6" w14:textId="77777777" w:rsidR="00307520" w:rsidRDefault="00307520" w:rsidP="00307520">
      <w:pPr>
        <w:spacing w:line="480" w:lineRule="auto"/>
        <w:jc w:val="both"/>
        <w:rPr>
          <w:rFonts w:cstheme="minorHAnsi"/>
        </w:rPr>
      </w:pPr>
      <w:r>
        <w:rPr>
          <w:rFonts w:cstheme="minorHAnsi"/>
        </w:rPr>
        <w:t>From the pyruvate balance and Model 3 optimized Eq. 10, malic enzyme activity (J</w:t>
      </w:r>
      <w:r w:rsidRPr="00596C6D">
        <w:rPr>
          <w:rFonts w:cstheme="minorHAnsi"/>
          <w:vertAlign w:val="subscript"/>
        </w:rPr>
        <w:t>7</w:t>
      </w:r>
      <w:r>
        <w:rPr>
          <w:rFonts w:cstheme="minorHAnsi"/>
        </w:rPr>
        <w:t>) is</w:t>
      </w:r>
    </w:p>
    <w:p w14:paraId="7891B23C"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7</m:t>
            </m:r>
          </m:sub>
        </m:sSub>
        <m:r>
          <w:rPr>
            <w:rFonts w:ascii="Cambria Math" w:hAnsi="Cambria Math" w:cstheme="minorHAnsi"/>
            <w:sz w:val="28"/>
            <w:szCs w:val="28"/>
          </w:rPr>
          <m:t>=Y*(</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4</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5</m:t>
            </m:r>
          </m:sub>
        </m:sSub>
        <m:r>
          <w:rPr>
            <w:rFonts w:ascii="Cambria Math" w:hAnsi="Cambria Math" w:cstheme="minorHAnsi"/>
            <w:sz w:val="28"/>
            <w:szCs w:val="28"/>
          </w:rPr>
          <m:t>)</m:t>
        </m:r>
      </m:oMath>
      <w:r>
        <w:rPr>
          <w:rFonts w:cstheme="minorHAnsi"/>
        </w:rPr>
        <w:t xml:space="preserve">                                                           (Eq. 17)</w:t>
      </w:r>
    </w:p>
    <w:p w14:paraId="086F8FF3" w14:textId="77777777" w:rsidR="00307520" w:rsidRDefault="00307520" w:rsidP="00307520">
      <w:pPr>
        <w:spacing w:line="480" w:lineRule="auto"/>
        <w:jc w:val="both"/>
        <w:rPr>
          <w:rFonts w:cstheme="minorHAnsi"/>
        </w:rPr>
      </w:pPr>
      <w:r>
        <w:rPr>
          <w:rFonts w:cstheme="minorHAnsi"/>
        </w:rPr>
        <w:t xml:space="preserve">Flux of </w:t>
      </w:r>
      <w:r>
        <w:rPr>
          <w:rFonts w:cstheme="minorHAnsi"/>
        </w:rPr>
        <w:sym w:font="Symbol" w:char="F061"/>
      </w:r>
      <w:r>
        <w:rPr>
          <w:rFonts w:cstheme="minorHAnsi"/>
        </w:rPr>
        <w:t>-ketoglutarate to succinyl CoA (J</w:t>
      </w:r>
      <w:r w:rsidRPr="00596C6D">
        <w:rPr>
          <w:rFonts w:cstheme="minorHAnsi"/>
          <w:vertAlign w:val="subscript"/>
        </w:rPr>
        <w:t>14</w:t>
      </w:r>
      <w:r>
        <w:rPr>
          <w:rFonts w:cstheme="minorHAnsi"/>
        </w:rPr>
        <w:t>) is</w:t>
      </w:r>
    </w:p>
    <w:p w14:paraId="3AF22356"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14</m:t>
            </m:r>
          </m:sub>
        </m:sSub>
        <m:r>
          <w:rPr>
            <w:rFonts w:ascii="Cambria Math" w:hAnsi="Cambria Math" w:cstheme="minorHAnsi"/>
            <w:sz w:val="28"/>
            <w:szCs w:val="28"/>
          </w:rPr>
          <m:t>=X*</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10</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12f</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12r</m:t>
            </m:r>
          </m:sub>
        </m:sSub>
      </m:oMath>
      <w:r>
        <w:rPr>
          <w:rFonts w:cstheme="minorHAnsi"/>
        </w:rPr>
        <w:t xml:space="preserve">                                                     (Eq. 18)</w:t>
      </w:r>
    </w:p>
    <w:p w14:paraId="76426DB6" w14:textId="77777777" w:rsidR="00307520" w:rsidRDefault="00307520" w:rsidP="00307520">
      <w:pPr>
        <w:spacing w:line="480" w:lineRule="auto"/>
        <w:jc w:val="both"/>
        <w:rPr>
          <w:rFonts w:cstheme="minorHAnsi"/>
        </w:rPr>
      </w:pPr>
      <w:r>
        <w:rPr>
          <w:rFonts w:cstheme="minorHAnsi"/>
        </w:rPr>
        <w:t>Since J</w:t>
      </w:r>
      <w:r w:rsidRPr="003F5C97">
        <w:rPr>
          <w:rFonts w:cstheme="minorHAnsi"/>
          <w:vertAlign w:val="subscript"/>
        </w:rPr>
        <w:t>14</w:t>
      </w:r>
      <w:r>
        <w:rPr>
          <w:rFonts w:cstheme="minorHAnsi"/>
        </w:rPr>
        <w:t xml:space="preserve"> was assumed to be the only succinyl CoA producer, and J</w:t>
      </w:r>
      <w:r w:rsidRPr="003F5C97">
        <w:rPr>
          <w:rFonts w:cstheme="minorHAnsi"/>
          <w:vertAlign w:val="subscript"/>
        </w:rPr>
        <w:t>15</w:t>
      </w:r>
      <w:r>
        <w:rPr>
          <w:rFonts w:cstheme="minorHAnsi"/>
        </w:rPr>
        <w:t xml:space="preserve"> the only succinyl CoA consumer, J</w:t>
      </w:r>
      <w:r w:rsidRPr="003F5C97">
        <w:rPr>
          <w:rFonts w:cstheme="minorHAnsi"/>
          <w:vertAlign w:val="subscript"/>
        </w:rPr>
        <w:t>15</w:t>
      </w:r>
      <w:r>
        <w:rPr>
          <w:rFonts w:cstheme="minorHAnsi"/>
        </w:rPr>
        <w:t xml:space="preserve"> = J</w:t>
      </w:r>
      <w:r w:rsidRPr="003F5C97">
        <w:rPr>
          <w:rFonts w:cstheme="minorHAnsi"/>
          <w:vertAlign w:val="subscript"/>
        </w:rPr>
        <w:t>14</w:t>
      </w:r>
      <w:r>
        <w:rPr>
          <w:rFonts w:cstheme="minorHAnsi"/>
        </w:rPr>
        <w:t>. Malate to oxaloacetate flux (J</w:t>
      </w:r>
      <w:r w:rsidRPr="00596C6D">
        <w:rPr>
          <w:rFonts w:cstheme="minorHAnsi"/>
          <w:vertAlign w:val="subscript"/>
        </w:rPr>
        <w:t>16</w:t>
      </w:r>
      <w:r>
        <w:rPr>
          <w:rFonts w:cstheme="minorHAnsi"/>
        </w:rPr>
        <w:t>) is</w:t>
      </w:r>
    </w:p>
    <w:p w14:paraId="6D77C64A"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16</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15</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7</m:t>
            </m:r>
          </m:sub>
        </m:sSub>
      </m:oMath>
      <w:r>
        <w:rPr>
          <w:rFonts w:cstheme="minorHAnsi"/>
        </w:rPr>
        <w:t xml:space="preserve">                                                       (Eq. 19)</w:t>
      </w:r>
    </w:p>
    <w:p w14:paraId="26FF09BC" w14:textId="77777777" w:rsidR="00307520" w:rsidRDefault="00307520" w:rsidP="00307520">
      <w:pPr>
        <w:spacing w:line="480" w:lineRule="auto"/>
        <w:jc w:val="both"/>
        <w:rPr>
          <w:rFonts w:cstheme="minorHAnsi"/>
        </w:rPr>
      </w:pPr>
      <w:r>
        <w:rPr>
          <w:rFonts w:cstheme="minorHAnsi"/>
        </w:rPr>
        <w:t>Oxaloacetate derived from glucose-dependent fatty acid synthesis was assumed to return to the TCA cycle to support citrate synthesis by reaction with acetyl CoA.</w:t>
      </w:r>
    </w:p>
    <w:p w14:paraId="212526B9" w14:textId="77777777" w:rsidR="00307520" w:rsidRDefault="00307520" w:rsidP="00307520">
      <w:pPr>
        <w:spacing w:line="480" w:lineRule="auto"/>
        <w:jc w:val="right"/>
        <w:rPr>
          <w:rFonts w:cstheme="minorHAnsi"/>
        </w:rPr>
      </w:pPr>
      <w:r>
        <w:rPr>
          <w:rFonts w:cstheme="minorHAnsi"/>
        </w:rPr>
        <w:lastRenderedPageBreak/>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17</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16</m:t>
            </m:r>
          </m:sub>
        </m:sSub>
        <m:r>
          <w:rPr>
            <w:rFonts w:ascii="Cambria Math" w:hAnsi="Cambria Math" w:cstheme="minorHAnsi"/>
            <w:sz w:val="28"/>
            <w:szCs w:val="28"/>
          </w:rPr>
          <m:t>+2*</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0</m:t>
            </m:r>
          </m:sub>
        </m:sSub>
        <m:r>
          <w:rPr>
            <w:rFonts w:ascii="Cambria Math" w:hAnsi="Cambria Math" w:cstheme="minorHAnsi"/>
            <w:sz w:val="28"/>
            <w:szCs w:val="28"/>
          </w:rPr>
          <m:t>*V</m:t>
        </m:r>
      </m:oMath>
      <w:r>
        <w:rPr>
          <w:rFonts w:cstheme="minorHAnsi"/>
        </w:rPr>
        <w:t xml:space="preserve">                                                           (Eq. 20)</w:t>
      </w:r>
    </w:p>
    <w:p w14:paraId="294B4E3E" w14:textId="77777777" w:rsidR="00307520" w:rsidRDefault="00307520" w:rsidP="00307520">
      <w:pPr>
        <w:spacing w:line="480" w:lineRule="auto"/>
        <w:jc w:val="both"/>
        <w:rPr>
          <w:rFonts w:cstheme="minorHAnsi"/>
        </w:rPr>
      </w:pPr>
      <w:r>
        <w:rPr>
          <w:rFonts w:cstheme="minorHAnsi"/>
        </w:rPr>
        <w:t>Glucose consumed by the oxidative PPP (J</w:t>
      </w:r>
      <w:r w:rsidRPr="00596C6D">
        <w:rPr>
          <w:rFonts w:cstheme="minorHAnsi"/>
          <w:vertAlign w:val="subscript"/>
        </w:rPr>
        <w:t>1</w:t>
      </w:r>
      <w:r>
        <w:rPr>
          <w:rFonts w:cstheme="minorHAnsi"/>
        </w:rPr>
        <w:t>) and net reverse non-oxidative PPP was defined as that which was not (a) converted to lactate, (b) converted to fatty acid, (c) oxidized by mitochondria, or (d) used for serine biosynthesis. For this study, net J</w:t>
      </w:r>
      <w:r w:rsidRPr="00596C6D">
        <w:rPr>
          <w:rFonts w:cstheme="minorHAnsi"/>
          <w:vertAlign w:val="subscript"/>
        </w:rPr>
        <w:t>3r</w:t>
      </w:r>
      <w:r>
        <w:rPr>
          <w:rFonts w:cstheme="minorHAnsi"/>
        </w:rPr>
        <w:t xml:space="preserve"> (J</w:t>
      </w:r>
      <w:r w:rsidRPr="00596C6D">
        <w:rPr>
          <w:rFonts w:cstheme="minorHAnsi"/>
          <w:vertAlign w:val="subscript"/>
        </w:rPr>
        <w:t>3r</w:t>
      </w:r>
      <w:r>
        <w:rPr>
          <w:rFonts w:cstheme="minorHAnsi"/>
        </w:rPr>
        <w:t xml:space="preserve"> – J</w:t>
      </w:r>
      <w:r w:rsidRPr="00596C6D">
        <w:rPr>
          <w:rFonts w:cstheme="minorHAnsi"/>
          <w:vertAlign w:val="subscript"/>
        </w:rPr>
        <w:t>3f</w:t>
      </w:r>
      <w:r>
        <w:rPr>
          <w:rFonts w:cstheme="minorHAnsi"/>
        </w:rPr>
        <w:t>) was expressed as nmol R5P produced/min x mg for direct comparison with J</w:t>
      </w:r>
      <w:r w:rsidRPr="00596C6D">
        <w:rPr>
          <w:rFonts w:cstheme="minorHAnsi"/>
          <w:vertAlign w:val="subscript"/>
        </w:rPr>
        <w:t>3f</w:t>
      </w:r>
      <w:r>
        <w:rPr>
          <w:rFonts w:cstheme="minorHAnsi"/>
        </w:rPr>
        <w:t xml:space="preserve"> expressed as nmol R5P consumed/min x mg, but this expression becomes 5/6*(J</w:t>
      </w:r>
      <w:r w:rsidRPr="00596C6D">
        <w:rPr>
          <w:rFonts w:cstheme="minorHAnsi"/>
          <w:vertAlign w:val="subscript"/>
        </w:rPr>
        <w:t>3r</w:t>
      </w:r>
      <w:r>
        <w:rPr>
          <w:rFonts w:cstheme="minorHAnsi"/>
        </w:rPr>
        <w:t>-J</w:t>
      </w:r>
      <w:r w:rsidRPr="00596C6D">
        <w:rPr>
          <w:rFonts w:cstheme="minorHAnsi"/>
          <w:vertAlign w:val="subscript"/>
        </w:rPr>
        <w:t>3f</w:t>
      </w:r>
      <w:r>
        <w:rPr>
          <w:rFonts w:cstheme="minorHAnsi"/>
        </w:rPr>
        <w:t>) for glucose equivalents consumed/min x mg.</w:t>
      </w:r>
    </w:p>
    <w:p w14:paraId="49055B7E"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1</m:t>
            </m:r>
          </m:sub>
        </m:sSub>
        <m:r>
          <w:rPr>
            <w:rFonts w:ascii="Cambria Math" w:hAnsi="Cambria Math" w:cstheme="minorHAnsi"/>
            <w:sz w:val="20"/>
            <w:szCs w:val="20"/>
          </w:rPr>
          <m:t>+</m:t>
        </m:r>
        <m:sSub>
          <m:sSubPr>
            <m:ctrlPr>
              <w:rPr>
                <w:rFonts w:ascii="Cambria Math" w:hAnsi="Cambria Math" w:cstheme="minorHAnsi"/>
                <w:i/>
                <w:sz w:val="20"/>
                <w:szCs w:val="20"/>
              </w:rPr>
            </m:ctrlPr>
          </m:sSubPr>
          <m:e>
            <m:f>
              <m:fPr>
                <m:ctrlPr>
                  <w:rPr>
                    <w:rFonts w:ascii="Cambria Math" w:hAnsi="Cambria Math" w:cstheme="minorHAnsi"/>
                    <w:i/>
                    <w:sz w:val="20"/>
                    <w:szCs w:val="20"/>
                  </w:rPr>
                </m:ctrlPr>
              </m:fPr>
              <m:num>
                <m:r>
                  <w:rPr>
                    <w:rFonts w:ascii="Cambria Math" w:hAnsi="Cambria Math" w:cstheme="minorHAnsi"/>
                    <w:sz w:val="20"/>
                    <w:szCs w:val="20"/>
                  </w:rPr>
                  <m:t>5</m:t>
                </m:r>
              </m:num>
              <m:den>
                <m:r>
                  <w:rPr>
                    <w:rFonts w:ascii="Cambria Math" w:hAnsi="Cambria Math" w:cstheme="minorHAnsi"/>
                    <w:sz w:val="20"/>
                    <w:szCs w:val="20"/>
                  </w:rPr>
                  <m:t>6</m:t>
                </m:r>
              </m:den>
            </m:f>
            <m:r>
              <w:rPr>
                <w:rFonts w:ascii="Cambria Math" w:hAnsi="Cambria Math" w:cstheme="minorHAnsi"/>
                <w:sz w:val="20"/>
                <w:szCs w:val="20"/>
              </w:rPr>
              <m:t>(J</m:t>
            </m:r>
          </m:e>
          <m:sub>
            <m:r>
              <w:rPr>
                <w:rFonts w:ascii="Cambria Math" w:hAnsi="Cambria Math" w:cstheme="minorHAnsi"/>
                <w:sz w:val="20"/>
                <w:szCs w:val="20"/>
              </w:rPr>
              <m:t>3r</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3f</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0</m:t>
            </m:r>
          </m:sub>
        </m:sSub>
        <m:r>
          <w:rPr>
            <w:rFonts w:ascii="Cambria Math" w:hAnsi="Cambria Math" w:cstheme="minorHAnsi"/>
            <w:sz w:val="20"/>
            <w:szCs w:val="20"/>
          </w:rPr>
          <m:t>-0.5*</m:t>
        </m:r>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4</m:t>
            </m:r>
          </m:sub>
        </m:sSub>
        <m:r>
          <w:rPr>
            <w:rFonts w:ascii="Cambria Math" w:hAnsi="Cambria Math" w:cstheme="minorHAnsi"/>
            <w:sz w:val="20"/>
            <w:szCs w:val="20"/>
          </w:rPr>
          <m:t>-V*</m:t>
        </m:r>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0</m:t>
            </m:r>
          </m:sub>
        </m:sSub>
        <m:r>
          <w:rPr>
            <w:rFonts w:ascii="Cambria Math" w:hAnsi="Cambria Math" w:cstheme="minorHAnsi"/>
            <w:sz w:val="20"/>
            <w:szCs w:val="20"/>
          </w:rPr>
          <m:t>-0.5*</m:t>
        </m:r>
        <m:d>
          <m:dPr>
            <m:begChr m:val="["/>
            <m:endChr m:val="]"/>
            <m:ctrlPr>
              <w:rPr>
                <w:rFonts w:ascii="Cambria Math" w:hAnsi="Cambria Math" w:cstheme="minorHAnsi"/>
                <w:i/>
                <w:sz w:val="20"/>
                <w:szCs w:val="20"/>
              </w:rPr>
            </m:ctrlPr>
          </m:dPr>
          <m:e>
            <m:r>
              <w:rPr>
                <w:rFonts w:ascii="Cambria Math" w:hAnsi="Cambria Math" w:cstheme="minorHAnsi"/>
                <w:sz w:val="20"/>
                <w:szCs w:val="20"/>
              </w:rPr>
              <m:t>5*</m:t>
            </m:r>
            <m:d>
              <m:dPr>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5</m:t>
                    </m:r>
                  </m:sub>
                </m:sSub>
                <m:r>
                  <w:rPr>
                    <w:rFonts w:ascii="Cambria Math" w:hAnsi="Cambria Math" w:cstheme="minorHAnsi"/>
                    <w:sz w:val="20"/>
                    <w:szCs w:val="20"/>
                  </w:rPr>
                  <m:t>-2*</m:t>
                </m:r>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0</m:t>
                    </m:r>
                  </m:sub>
                </m:sSub>
                <m:r>
                  <w:rPr>
                    <w:rFonts w:ascii="Cambria Math" w:hAnsi="Cambria Math" w:cstheme="minorHAnsi"/>
                    <w:sz w:val="20"/>
                    <w:szCs w:val="20"/>
                  </w:rPr>
                  <m:t>*V</m:t>
                </m:r>
              </m:e>
            </m:d>
            <m:r>
              <w:rPr>
                <w:rFonts w:ascii="Cambria Math" w:hAnsi="Cambria Math" w:cstheme="minorHAnsi"/>
                <w:sz w:val="20"/>
                <w:szCs w:val="20"/>
              </w:rPr>
              <m:t>-</m:t>
            </m:r>
            <m:d>
              <m:dPr>
                <m:ctrlPr>
                  <w:rPr>
                    <w:rFonts w:ascii="Cambria Math" w:hAnsi="Cambria Math" w:cstheme="minorHAnsi"/>
                    <w:i/>
                    <w:sz w:val="20"/>
                    <w:szCs w:val="20"/>
                  </w:rPr>
                </m:ctrlPr>
              </m:dPr>
              <m:e>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7</m:t>
                    </m:r>
                  </m:sub>
                </m:sSub>
                <m:r>
                  <w:rPr>
                    <w:rFonts w:ascii="Cambria Math" w:hAnsi="Cambria Math" w:cstheme="minorHAnsi"/>
                    <w:sz w:val="20"/>
                    <w:szCs w:val="20"/>
                  </w:rPr>
                  <m:t>-</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4</m:t>
                        </m:r>
                      </m:sub>
                    </m:sSub>
                  </m:num>
                  <m:den>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4</m:t>
                        </m:r>
                      </m:sub>
                    </m:sSub>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5</m:t>
                        </m:r>
                      </m:sub>
                    </m:sSub>
                  </m:den>
                </m:f>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7</m:t>
                    </m:r>
                  </m:sub>
                </m:sSub>
              </m:e>
            </m:d>
          </m:e>
        </m:d>
        <m:r>
          <w:rPr>
            <w:rFonts w:ascii="Cambria Math" w:hAnsi="Cambria Math" w:cstheme="minorHAnsi"/>
            <w:sz w:val="20"/>
            <w:szCs w:val="20"/>
          </w:rPr>
          <m:t>-0.5*</m:t>
        </m:r>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19</m:t>
            </m:r>
          </m:sub>
        </m:sSub>
      </m:oMath>
      <w:r w:rsidRPr="00886C95">
        <w:rPr>
          <w:rFonts w:cstheme="minorHAnsi"/>
          <w:sz w:val="20"/>
          <w:szCs w:val="20"/>
        </w:rPr>
        <w:t xml:space="preserve"> </w:t>
      </w:r>
      <w:r>
        <w:rPr>
          <w:rFonts w:cstheme="minorHAnsi"/>
        </w:rPr>
        <w:t xml:space="preserve">   (Eq. 21)</w:t>
      </w:r>
    </w:p>
    <w:p w14:paraId="6D93C8BD" w14:textId="77777777" w:rsidR="00307520" w:rsidRDefault="00307520" w:rsidP="00307520">
      <w:pPr>
        <w:spacing w:line="480" w:lineRule="auto"/>
        <w:jc w:val="both"/>
        <w:rPr>
          <w:rFonts w:cstheme="minorHAnsi"/>
        </w:rPr>
      </w:pPr>
      <w:r>
        <w:rPr>
          <w:rFonts w:cstheme="minorHAnsi"/>
        </w:rPr>
        <w:t>With all expressions on the right side of Eq. 21 known (J</w:t>
      </w:r>
      <w:r w:rsidRPr="00596C6D">
        <w:rPr>
          <w:rFonts w:cstheme="minorHAnsi"/>
          <w:vertAlign w:val="subscript"/>
        </w:rPr>
        <w:t>19</w:t>
      </w:r>
      <w:r>
        <w:rPr>
          <w:rFonts w:cstheme="minorHAnsi"/>
        </w:rPr>
        <w:t xml:space="preserve"> was determined by an iterative process, as detailed below in Eq. 39 and Supplemental Fig. 1), glucose shunted to pentose phosphates for nucleotide synthesis can be calculated. Let ‘A’ represent the numerical result of these expressions to simplify Eq. 21.</w:t>
      </w:r>
    </w:p>
    <w:p w14:paraId="5988DDF0" w14:textId="77777777" w:rsidR="00307520" w:rsidRDefault="00307520" w:rsidP="00307520">
      <w:pPr>
        <w:spacing w:line="480" w:lineRule="auto"/>
        <w:jc w:val="right"/>
        <w:rPr>
          <w:rFonts w:cstheme="minorHAnsi"/>
        </w:rPr>
      </w:pPr>
      <w:r w:rsidRPr="00F56B4D">
        <w:rPr>
          <w:rFonts w:cstheme="minorHAnsi"/>
          <w:sz w:val="28"/>
          <w:szCs w:val="28"/>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m:t>
            </m:r>
          </m:sub>
        </m:sSub>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5</m:t>
            </m:r>
          </m:num>
          <m:den>
            <m:r>
              <w:rPr>
                <w:rFonts w:ascii="Cambria Math" w:hAnsi="Cambria Math" w:cstheme="minorHAnsi"/>
                <w:sz w:val="28"/>
                <w:szCs w:val="28"/>
              </w:rPr>
              <m:t>6</m:t>
            </m:r>
          </m:den>
        </m:f>
        <m:d>
          <m:dPr>
            <m:ctrlPr>
              <w:rPr>
                <w:rFonts w:ascii="Cambria Math" w:hAnsi="Cambria Math" w:cstheme="minorHAnsi"/>
                <w:i/>
                <w:sz w:val="28"/>
                <w:szCs w:val="28"/>
              </w:rPr>
            </m:ctrlPr>
          </m:dPr>
          <m:e>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3r</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e>
        </m:d>
        <m:r>
          <w:rPr>
            <w:rFonts w:ascii="Cambria Math" w:hAnsi="Cambria Math" w:cstheme="minorHAnsi"/>
            <w:sz w:val="28"/>
            <w:szCs w:val="28"/>
          </w:rPr>
          <m:t>=A</m:t>
        </m:r>
      </m:oMath>
      <w:r>
        <w:rPr>
          <w:rFonts w:cstheme="minorHAnsi"/>
        </w:rPr>
        <w:t xml:space="preserve">                                                               (Eq. 22)</w:t>
      </w:r>
    </w:p>
    <w:p w14:paraId="72B733F3" w14:textId="77777777" w:rsidR="00307520" w:rsidRDefault="00307520" w:rsidP="00307520">
      <w:pPr>
        <w:spacing w:line="480" w:lineRule="auto"/>
        <w:jc w:val="both"/>
        <w:rPr>
          <w:rFonts w:cstheme="minorHAnsi"/>
        </w:rPr>
      </w:pPr>
      <w:r>
        <w:rPr>
          <w:rFonts w:cstheme="minorHAnsi"/>
        </w:rPr>
        <w:t>Resolving J</w:t>
      </w:r>
      <w:r w:rsidRPr="00596C6D">
        <w:rPr>
          <w:rFonts w:cstheme="minorHAnsi"/>
          <w:vertAlign w:val="subscript"/>
        </w:rPr>
        <w:t>1</w:t>
      </w:r>
      <w:r>
        <w:rPr>
          <w:rFonts w:cstheme="minorHAnsi"/>
        </w:rPr>
        <w:t xml:space="preserve"> and net J</w:t>
      </w:r>
      <w:r w:rsidRPr="00596C6D">
        <w:rPr>
          <w:rFonts w:cstheme="minorHAnsi"/>
          <w:vertAlign w:val="subscript"/>
        </w:rPr>
        <w:t>3r</w:t>
      </w:r>
      <w:r>
        <w:rPr>
          <w:rFonts w:cstheme="minorHAnsi"/>
        </w:rPr>
        <w:t xml:space="preserve"> involved the solutions to Eq. 1 and 2 from Model 1 experiments with [1,2-</w:t>
      </w:r>
      <w:r w:rsidRPr="00596C6D">
        <w:rPr>
          <w:rFonts w:cstheme="minorHAnsi"/>
          <w:vertAlign w:val="superscript"/>
        </w:rPr>
        <w:t>13</w:t>
      </w:r>
      <w:r>
        <w:rPr>
          <w:rFonts w:cstheme="minorHAnsi"/>
        </w:rPr>
        <w:t>C] glucose (see Methods). Utilizing Eq. 1 and 2, J</w:t>
      </w:r>
      <w:r w:rsidRPr="00596C6D">
        <w:rPr>
          <w:rFonts w:cstheme="minorHAnsi"/>
          <w:vertAlign w:val="subscript"/>
        </w:rPr>
        <w:t>3r</w:t>
      </w:r>
      <w:r>
        <w:rPr>
          <w:rFonts w:cstheme="minorHAnsi"/>
        </w:rPr>
        <w:t xml:space="preserve"> and J</w:t>
      </w:r>
      <w:r w:rsidRPr="00596C6D">
        <w:rPr>
          <w:rFonts w:cstheme="minorHAnsi"/>
          <w:vertAlign w:val="subscript"/>
        </w:rPr>
        <w:t>3f</w:t>
      </w:r>
      <w:r>
        <w:rPr>
          <w:rFonts w:cstheme="minorHAnsi"/>
        </w:rPr>
        <w:t xml:space="preserve"> (in R5P produced or consumed/min x mg) were calculated for the experiments (n=6) with [1,2-</w:t>
      </w:r>
      <w:r w:rsidRPr="00C03994">
        <w:rPr>
          <w:rFonts w:cstheme="minorHAnsi"/>
          <w:vertAlign w:val="superscript"/>
        </w:rPr>
        <w:t>13</w:t>
      </w:r>
      <w:r>
        <w:rPr>
          <w:rFonts w:cstheme="minorHAnsi"/>
        </w:rPr>
        <w:t xml:space="preserve">C] glucose as </w:t>
      </w:r>
    </w:p>
    <w:p w14:paraId="7950E377"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L</m:t>
            </m:r>
          </m:num>
          <m:den>
            <m:f>
              <m:fPr>
                <m:type m:val="skw"/>
                <m:ctrlPr>
                  <w:rPr>
                    <w:rFonts w:ascii="Cambria Math" w:hAnsi="Cambria Math" w:cstheme="minorHAnsi"/>
                    <w:i/>
                    <w:sz w:val="28"/>
                    <w:szCs w:val="28"/>
                  </w:rPr>
                </m:ctrlPr>
              </m:fPr>
              <m:num>
                <m:r>
                  <w:rPr>
                    <w:rFonts w:ascii="Cambria Math" w:hAnsi="Cambria Math" w:cstheme="minorHAnsi"/>
                    <w:sz w:val="28"/>
                    <w:szCs w:val="28"/>
                  </w:rPr>
                  <m:t>2</m:t>
                </m:r>
              </m:num>
              <m:den>
                <m:r>
                  <w:rPr>
                    <w:rFonts w:ascii="Cambria Math" w:hAnsi="Cambria Math" w:cstheme="minorHAnsi"/>
                    <w:sz w:val="28"/>
                    <w:szCs w:val="28"/>
                  </w:rPr>
                  <m:t>3</m:t>
                </m:r>
              </m:den>
            </m:f>
            <m:r>
              <w:rPr>
                <w:rFonts w:ascii="Cambria Math" w:hAnsi="Cambria Math" w:cstheme="minorHAnsi"/>
                <w:sz w:val="28"/>
                <w:szCs w:val="28"/>
              </w:rPr>
              <m:t>*(1-L)</m:t>
            </m:r>
          </m:den>
        </m:f>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0</m:t>
            </m:r>
          </m:sub>
        </m:sSub>
      </m:oMath>
      <w:r>
        <w:rPr>
          <w:rFonts w:cstheme="minorHAnsi"/>
        </w:rPr>
        <w:t xml:space="preserve">                                                         (Eq. 23)</w:t>
      </w:r>
    </w:p>
    <w:p w14:paraId="2F33458A" w14:textId="77777777" w:rsidR="00307520" w:rsidRDefault="00307520" w:rsidP="00307520">
      <w:pPr>
        <w:spacing w:line="480" w:lineRule="auto"/>
        <w:jc w:val="right"/>
        <w:rPr>
          <w:rFonts w:cstheme="minorHAnsi"/>
        </w:rPr>
      </w:pPr>
      <w:r w:rsidRPr="00F163B1">
        <w:rPr>
          <w:rFonts w:cstheme="minorHAnsi"/>
          <w:sz w:val="28"/>
          <w:szCs w:val="28"/>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3r</m:t>
            </m:r>
          </m:sub>
        </m:sSub>
        <m:r>
          <w:rPr>
            <w:rFonts w:ascii="Cambria Math" w:hAnsi="Cambria Math" w:cstheme="minorHAnsi"/>
            <w:sz w:val="28"/>
            <w:szCs w:val="28"/>
          </w:rPr>
          <m:t>=</m:t>
        </m:r>
        <m:f>
          <m:fPr>
            <m:ctrlPr>
              <w:rPr>
                <w:rFonts w:ascii="Cambria Math" w:hAnsi="Cambria Math" w:cstheme="minorHAnsi"/>
                <w:i/>
                <w:sz w:val="28"/>
                <w:szCs w:val="28"/>
              </w:rPr>
            </m:ctrlPr>
          </m:fPr>
          <m:num>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num>
          <m:den>
            <m:r>
              <w:rPr>
                <w:rFonts w:ascii="Cambria Math" w:hAnsi="Cambria Math" w:cstheme="minorHAnsi"/>
                <w:sz w:val="28"/>
                <w:szCs w:val="28"/>
              </w:rPr>
              <m:t>K</m:t>
            </m:r>
          </m:den>
        </m:f>
      </m:oMath>
      <w:r>
        <w:rPr>
          <w:rFonts w:cstheme="minorHAnsi"/>
        </w:rPr>
        <w:t xml:space="preserve">                                                                 (Eq. 24)</w:t>
      </w:r>
    </w:p>
    <w:p w14:paraId="5CFF9BF8" w14:textId="77777777" w:rsidR="00307520" w:rsidRDefault="00307520" w:rsidP="00307520">
      <w:pPr>
        <w:spacing w:line="480" w:lineRule="auto"/>
        <w:jc w:val="both"/>
        <w:rPr>
          <w:rFonts w:cstheme="minorHAnsi"/>
        </w:rPr>
      </w:pPr>
      <w:r>
        <w:rPr>
          <w:rFonts w:cstheme="minorHAnsi"/>
        </w:rPr>
        <w:t>The mean fractional contribution of net J</w:t>
      </w:r>
      <w:r w:rsidRPr="00C03994">
        <w:rPr>
          <w:rFonts w:cstheme="minorHAnsi"/>
          <w:vertAlign w:val="subscript"/>
        </w:rPr>
        <w:t>3r</w:t>
      </w:r>
      <w:r>
        <w:rPr>
          <w:rFonts w:cstheme="minorHAnsi"/>
        </w:rPr>
        <w:t xml:space="preserve"> to glucose consumption by the PPP, and the mean ratio of J</w:t>
      </w:r>
      <w:r w:rsidRPr="00C03994">
        <w:rPr>
          <w:rFonts w:cstheme="minorHAnsi"/>
          <w:vertAlign w:val="subscript"/>
        </w:rPr>
        <w:t>3f</w:t>
      </w:r>
      <w:r>
        <w:rPr>
          <w:rFonts w:cstheme="minorHAnsi"/>
        </w:rPr>
        <w:t xml:space="preserve"> : net J</w:t>
      </w:r>
      <w:r w:rsidRPr="00C03994">
        <w:rPr>
          <w:rFonts w:cstheme="minorHAnsi"/>
          <w:vertAlign w:val="subscript"/>
        </w:rPr>
        <w:t>3r</w:t>
      </w:r>
      <w:r>
        <w:rPr>
          <w:rFonts w:cstheme="minorHAnsi"/>
        </w:rPr>
        <w:t xml:space="preserve"> in the experiments with [1,2-</w:t>
      </w:r>
      <w:r w:rsidRPr="00C03994">
        <w:rPr>
          <w:rFonts w:cstheme="minorHAnsi"/>
          <w:vertAlign w:val="superscript"/>
        </w:rPr>
        <w:t>13</w:t>
      </w:r>
      <w:r>
        <w:rPr>
          <w:rFonts w:cstheme="minorHAnsi"/>
        </w:rPr>
        <w:t>C] glucose were determined.</w:t>
      </w:r>
    </w:p>
    <w:p w14:paraId="550F54F4" w14:textId="77777777" w:rsidR="00307520" w:rsidRDefault="00307520" w:rsidP="00307520">
      <w:pPr>
        <w:spacing w:line="480" w:lineRule="auto"/>
        <w:jc w:val="right"/>
        <w:rPr>
          <w:rFonts w:cstheme="minorHAnsi"/>
        </w:rPr>
      </w:pPr>
      <w:r>
        <w:rPr>
          <w:rFonts w:cstheme="minorHAnsi"/>
        </w:rPr>
        <w:t xml:space="preserve"> </w:t>
      </w:r>
      <m:oMath>
        <m:r>
          <w:rPr>
            <w:rFonts w:ascii="Cambria Math" w:hAnsi="Cambria Math" w:cstheme="minorHAnsi"/>
            <w:sz w:val="28"/>
            <w:szCs w:val="28"/>
          </w:rPr>
          <m:t xml:space="preserve">fraction Glc used by net </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3r</m:t>
            </m:r>
          </m:sub>
        </m:sSub>
        <m:r>
          <w:rPr>
            <w:rFonts w:ascii="Cambria Math" w:hAnsi="Cambria Math" w:cstheme="minorHAnsi"/>
            <w:sz w:val="28"/>
            <w:szCs w:val="28"/>
          </w:rPr>
          <m:t>=</m:t>
        </m:r>
        <m:f>
          <m:fPr>
            <m:ctrlPr>
              <w:rPr>
                <w:rFonts w:ascii="Cambria Math" w:hAnsi="Cambria Math" w:cstheme="minorHAnsi"/>
                <w:i/>
                <w:sz w:val="28"/>
                <w:szCs w:val="28"/>
              </w:rPr>
            </m:ctrlPr>
          </m:fPr>
          <m:num>
            <m:sSub>
              <m:sSubPr>
                <m:ctrlPr>
                  <w:rPr>
                    <w:rFonts w:ascii="Cambria Math" w:hAnsi="Cambria Math" w:cstheme="minorHAnsi"/>
                    <w:i/>
                    <w:sz w:val="28"/>
                    <w:szCs w:val="28"/>
                  </w:rPr>
                </m:ctrlPr>
              </m:sSubPr>
              <m:e>
                <m:f>
                  <m:fPr>
                    <m:type m:val="skw"/>
                    <m:ctrlPr>
                      <w:rPr>
                        <w:rFonts w:ascii="Cambria Math" w:hAnsi="Cambria Math" w:cstheme="minorHAnsi"/>
                        <w:i/>
                        <w:sz w:val="28"/>
                        <w:szCs w:val="28"/>
                      </w:rPr>
                    </m:ctrlPr>
                  </m:fPr>
                  <m:num>
                    <m:r>
                      <w:rPr>
                        <w:rFonts w:ascii="Cambria Math" w:hAnsi="Cambria Math" w:cstheme="minorHAnsi"/>
                        <w:sz w:val="28"/>
                        <w:szCs w:val="28"/>
                      </w:rPr>
                      <m:t>5</m:t>
                    </m:r>
                  </m:num>
                  <m:den>
                    <m:r>
                      <w:rPr>
                        <w:rFonts w:ascii="Cambria Math" w:hAnsi="Cambria Math" w:cstheme="minorHAnsi"/>
                        <w:sz w:val="28"/>
                        <w:szCs w:val="28"/>
                      </w:rPr>
                      <m:t>6</m:t>
                    </m:r>
                  </m:den>
                </m:f>
                <m:r>
                  <w:rPr>
                    <w:rFonts w:ascii="Cambria Math" w:hAnsi="Cambria Math" w:cstheme="minorHAnsi"/>
                    <w:sz w:val="28"/>
                    <w:szCs w:val="28"/>
                  </w:rPr>
                  <m:t>*(J</m:t>
                </m:r>
              </m:e>
              <m:sub>
                <m:r>
                  <w:rPr>
                    <w:rFonts w:ascii="Cambria Math" w:hAnsi="Cambria Math" w:cstheme="minorHAnsi"/>
                    <w:sz w:val="28"/>
                    <w:szCs w:val="28"/>
                  </w:rPr>
                  <m:t>3r</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r>
              <w:rPr>
                <w:rFonts w:ascii="Cambria Math" w:hAnsi="Cambria Math" w:cstheme="minorHAnsi"/>
                <w:sz w:val="28"/>
                <w:szCs w:val="28"/>
              </w:rPr>
              <m:t>)</m:t>
            </m:r>
          </m:num>
          <m:den>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m:t>
                </m:r>
              </m:sub>
            </m:sSub>
            <m:r>
              <w:rPr>
                <w:rFonts w:ascii="Cambria Math" w:hAnsi="Cambria Math" w:cstheme="minorHAnsi"/>
                <w:sz w:val="28"/>
                <w:szCs w:val="28"/>
              </w:rPr>
              <m:t>+</m:t>
            </m:r>
            <m:f>
              <m:fPr>
                <m:type m:val="skw"/>
                <m:ctrlPr>
                  <w:rPr>
                    <w:rFonts w:ascii="Cambria Math" w:hAnsi="Cambria Math" w:cstheme="minorHAnsi"/>
                    <w:i/>
                    <w:sz w:val="28"/>
                    <w:szCs w:val="28"/>
                  </w:rPr>
                </m:ctrlPr>
              </m:fPr>
              <m:num>
                <m:r>
                  <w:rPr>
                    <w:rFonts w:ascii="Cambria Math" w:hAnsi="Cambria Math" w:cstheme="minorHAnsi"/>
                    <w:sz w:val="28"/>
                    <w:szCs w:val="28"/>
                  </w:rPr>
                  <m:t>5</m:t>
                </m:r>
              </m:num>
              <m:den>
                <m:r>
                  <w:rPr>
                    <w:rFonts w:ascii="Cambria Math" w:hAnsi="Cambria Math" w:cstheme="minorHAnsi"/>
                    <w:sz w:val="28"/>
                    <w:szCs w:val="28"/>
                  </w:rPr>
                  <m:t>6</m:t>
                </m:r>
              </m:den>
            </m:f>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3r</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den>
        </m:f>
        <m:r>
          <w:rPr>
            <w:rFonts w:ascii="Cambria Math" w:hAnsi="Cambria Math" w:cstheme="minorHAnsi"/>
            <w:sz w:val="28"/>
            <w:szCs w:val="28"/>
          </w:rPr>
          <m:t>=N</m:t>
        </m:r>
      </m:oMath>
      <w:r w:rsidRPr="007B2E80">
        <w:rPr>
          <w:rFonts w:cstheme="minorHAnsi"/>
          <w:sz w:val="28"/>
          <w:szCs w:val="28"/>
        </w:rPr>
        <w:t xml:space="preserve"> </w:t>
      </w:r>
      <w:r>
        <w:rPr>
          <w:rFonts w:cstheme="minorHAnsi"/>
        </w:rPr>
        <w:t xml:space="preserve">                                     (Eq. 25)</w:t>
      </w:r>
    </w:p>
    <w:p w14:paraId="483B0901" w14:textId="77777777" w:rsidR="00307520" w:rsidRDefault="00307520" w:rsidP="00307520">
      <w:pPr>
        <w:spacing w:line="480" w:lineRule="auto"/>
        <w:jc w:val="right"/>
        <w:rPr>
          <w:rFonts w:cstheme="minorHAnsi"/>
        </w:rPr>
      </w:pPr>
      <w:r>
        <w:rPr>
          <w:rFonts w:cstheme="minorHAnsi"/>
        </w:rPr>
        <w:lastRenderedPageBreak/>
        <w:t xml:space="preserve"> </w:t>
      </w:r>
      <m:oMath>
        <m:f>
          <m:fPr>
            <m:ctrlPr>
              <w:rPr>
                <w:rFonts w:ascii="Cambria Math" w:hAnsi="Cambria Math" w:cstheme="minorHAnsi"/>
                <w:i/>
                <w:sz w:val="28"/>
                <w:szCs w:val="28"/>
              </w:rPr>
            </m:ctrlPr>
          </m:fPr>
          <m:num>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num>
          <m:den>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3r</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den>
        </m:f>
        <m:r>
          <w:rPr>
            <w:rFonts w:ascii="Cambria Math" w:hAnsi="Cambria Math" w:cstheme="minorHAnsi"/>
            <w:sz w:val="28"/>
            <w:szCs w:val="28"/>
          </w:rPr>
          <m:t>=S</m:t>
        </m:r>
      </m:oMath>
      <w:r>
        <w:rPr>
          <w:rFonts w:cstheme="minorHAnsi"/>
        </w:rPr>
        <w:t xml:space="preserve">                                                   (Eq. 26)</w:t>
      </w:r>
    </w:p>
    <w:p w14:paraId="1BD54894" w14:textId="77777777" w:rsidR="00307520" w:rsidRDefault="00307520" w:rsidP="00307520">
      <w:pPr>
        <w:spacing w:line="480" w:lineRule="auto"/>
        <w:jc w:val="both"/>
        <w:rPr>
          <w:rFonts w:cstheme="minorHAnsi"/>
        </w:rPr>
      </w:pPr>
      <w:r>
        <w:rPr>
          <w:rFonts w:cstheme="minorHAnsi"/>
        </w:rPr>
        <w:t>The results from Eq. 25 were applied to the experiments with [5-</w:t>
      </w:r>
      <w:r w:rsidRPr="00C03994">
        <w:rPr>
          <w:rFonts w:cstheme="minorHAnsi"/>
          <w:vertAlign w:val="superscript"/>
        </w:rPr>
        <w:t>13</w:t>
      </w:r>
      <w:r>
        <w:rPr>
          <w:rFonts w:cstheme="minorHAnsi"/>
        </w:rPr>
        <w:t>C] glutamine to determine net J</w:t>
      </w:r>
      <w:r w:rsidRPr="00C03994">
        <w:rPr>
          <w:rFonts w:cstheme="minorHAnsi"/>
          <w:vertAlign w:val="subscript"/>
        </w:rPr>
        <w:t>3r</w:t>
      </w:r>
      <w:r>
        <w:rPr>
          <w:rFonts w:cstheme="minorHAnsi"/>
        </w:rPr>
        <w:t xml:space="preserve"> (units of R5P produced/min x mg) by solving for J</w:t>
      </w:r>
      <w:r w:rsidRPr="00C03994">
        <w:rPr>
          <w:rFonts w:cstheme="minorHAnsi"/>
          <w:vertAlign w:val="subscript"/>
        </w:rPr>
        <w:t>1</w:t>
      </w:r>
      <w:r>
        <w:rPr>
          <w:rFonts w:cstheme="minorHAnsi"/>
        </w:rPr>
        <w:t xml:space="preserve"> in Eq. 22 and substituting this expression in Eq. 25 and rearranging.</w:t>
      </w:r>
    </w:p>
    <w:p w14:paraId="604E07BE"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3r</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6</m:t>
            </m:r>
          </m:num>
          <m:den>
            <m:r>
              <w:rPr>
                <w:rFonts w:ascii="Cambria Math" w:hAnsi="Cambria Math" w:cstheme="minorHAnsi"/>
                <w:sz w:val="28"/>
                <w:szCs w:val="28"/>
              </w:rPr>
              <m:t>5</m:t>
            </m:r>
          </m:den>
        </m:f>
        <m:r>
          <w:rPr>
            <w:rFonts w:ascii="Cambria Math" w:hAnsi="Cambria Math" w:cstheme="minorHAnsi"/>
            <w:sz w:val="28"/>
            <w:szCs w:val="28"/>
          </w:rPr>
          <m:t>*</m:t>
        </m:r>
        <m:f>
          <m:fPr>
            <m:ctrlPr>
              <w:rPr>
                <w:rFonts w:ascii="Cambria Math" w:hAnsi="Cambria Math" w:cstheme="minorHAnsi"/>
                <w:i/>
                <w:sz w:val="28"/>
                <w:szCs w:val="28"/>
              </w:rPr>
            </m:ctrlPr>
          </m:fPr>
          <m:num>
            <m:d>
              <m:dPr>
                <m:begChr m:val="["/>
                <m:endChr m:val="]"/>
                <m:ctrlPr>
                  <w:rPr>
                    <w:rFonts w:ascii="Cambria Math" w:hAnsi="Cambria Math" w:cstheme="minorHAnsi"/>
                    <w:i/>
                    <w:sz w:val="28"/>
                    <w:szCs w:val="28"/>
                  </w:rPr>
                </m:ctrlPr>
              </m:dPr>
              <m:e>
                <m:f>
                  <m:fPr>
                    <m:type m:val="skw"/>
                    <m:ctrlPr>
                      <w:rPr>
                        <w:rFonts w:ascii="Cambria Math" w:hAnsi="Cambria Math" w:cstheme="minorHAnsi"/>
                        <w:i/>
                        <w:sz w:val="28"/>
                        <w:szCs w:val="28"/>
                      </w:rPr>
                    </m:ctrlPr>
                  </m:fPr>
                  <m:num>
                    <m:r>
                      <w:rPr>
                        <w:rFonts w:ascii="Cambria Math" w:hAnsi="Cambria Math" w:cstheme="minorHAnsi"/>
                        <w:sz w:val="28"/>
                        <w:szCs w:val="28"/>
                      </w:rPr>
                      <m:t>N</m:t>
                    </m:r>
                  </m:num>
                  <m:den>
                    <m:d>
                      <m:dPr>
                        <m:ctrlPr>
                          <w:rPr>
                            <w:rFonts w:ascii="Cambria Math" w:hAnsi="Cambria Math" w:cstheme="minorHAnsi"/>
                            <w:i/>
                            <w:sz w:val="28"/>
                            <w:szCs w:val="28"/>
                          </w:rPr>
                        </m:ctrlPr>
                      </m:dPr>
                      <m:e>
                        <m:r>
                          <w:rPr>
                            <w:rFonts w:ascii="Cambria Math" w:hAnsi="Cambria Math" w:cstheme="minorHAnsi"/>
                            <w:sz w:val="28"/>
                            <w:szCs w:val="28"/>
                          </w:rPr>
                          <m:t>1-N</m:t>
                        </m:r>
                      </m:e>
                    </m:d>
                  </m:den>
                </m:f>
              </m:e>
            </m:d>
            <m:r>
              <w:rPr>
                <w:rFonts w:ascii="Cambria Math" w:hAnsi="Cambria Math" w:cstheme="minorHAnsi"/>
                <w:sz w:val="28"/>
                <w:szCs w:val="28"/>
              </w:rPr>
              <m:t>*A</m:t>
            </m:r>
          </m:num>
          <m:den>
            <m:r>
              <w:rPr>
                <w:rFonts w:ascii="Cambria Math" w:hAnsi="Cambria Math" w:cstheme="minorHAnsi"/>
                <w:sz w:val="28"/>
                <w:szCs w:val="28"/>
              </w:rPr>
              <m:t>1+[</m:t>
            </m:r>
            <m:f>
              <m:fPr>
                <m:type m:val="skw"/>
                <m:ctrlPr>
                  <w:rPr>
                    <w:rFonts w:ascii="Cambria Math" w:hAnsi="Cambria Math" w:cstheme="minorHAnsi"/>
                    <w:i/>
                    <w:sz w:val="28"/>
                    <w:szCs w:val="28"/>
                  </w:rPr>
                </m:ctrlPr>
              </m:fPr>
              <m:num>
                <m:r>
                  <w:rPr>
                    <w:rFonts w:ascii="Cambria Math" w:hAnsi="Cambria Math" w:cstheme="minorHAnsi"/>
                    <w:sz w:val="28"/>
                    <w:szCs w:val="28"/>
                  </w:rPr>
                  <m:t>N</m:t>
                </m:r>
              </m:num>
              <m:den>
                <m:d>
                  <m:dPr>
                    <m:ctrlPr>
                      <w:rPr>
                        <w:rFonts w:ascii="Cambria Math" w:hAnsi="Cambria Math" w:cstheme="minorHAnsi"/>
                        <w:i/>
                        <w:sz w:val="28"/>
                        <w:szCs w:val="28"/>
                      </w:rPr>
                    </m:ctrlPr>
                  </m:dPr>
                  <m:e>
                    <m:r>
                      <w:rPr>
                        <w:rFonts w:ascii="Cambria Math" w:hAnsi="Cambria Math" w:cstheme="minorHAnsi"/>
                        <w:sz w:val="28"/>
                        <w:szCs w:val="28"/>
                      </w:rPr>
                      <m:t>1-N</m:t>
                    </m:r>
                  </m:e>
                </m:d>
              </m:den>
            </m:f>
            <m:r>
              <w:rPr>
                <w:rFonts w:ascii="Cambria Math" w:hAnsi="Cambria Math" w:cstheme="minorHAnsi"/>
                <w:sz w:val="28"/>
                <w:szCs w:val="28"/>
              </w:rPr>
              <m:t>]</m:t>
            </m:r>
          </m:den>
        </m:f>
      </m:oMath>
      <w:r>
        <w:rPr>
          <w:rFonts w:cstheme="minorHAnsi"/>
        </w:rPr>
        <w:t xml:space="preserve">                                                       (Eq. 27)</w:t>
      </w:r>
    </w:p>
    <w:p w14:paraId="2C8BE3C9" w14:textId="77777777" w:rsidR="00307520" w:rsidRDefault="00307520" w:rsidP="00307520">
      <w:pPr>
        <w:spacing w:line="480" w:lineRule="auto"/>
        <w:jc w:val="both"/>
        <w:rPr>
          <w:rFonts w:cstheme="minorHAnsi"/>
        </w:rPr>
      </w:pPr>
      <w:r>
        <w:rPr>
          <w:rFonts w:cstheme="minorHAnsi"/>
        </w:rPr>
        <w:t>Forward flux through the non-oxidative PPP (in R5P consumed/min x mg) was calculated from Eq. 26 and 27.</w:t>
      </w:r>
    </w:p>
    <w:p w14:paraId="0DAE4EBE"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r>
          <w:rPr>
            <w:rFonts w:ascii="Cambria Math" w:hAnsi="Cambria Math" w:cstheme="minorHAnsi"/>
            <w:sz w:val="28"/>
            <w:szCs w:val="28"/>
          </w:rPr>
          <m:t>=S*</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3r</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r>
          <w:rPr>
            <w:rFonts w:ascii="Cambria Math" w:hAnsi="Cambria Math" w:cstheme="minorHAnsi"/>
            <w:sz w:val="28"/>
            <w:szCs w:val="28"/>
          </w:rPr>
          <m:t>)</m:t>
        </m:r>
      </m:oMath>
      <w:r>
        <w:rPr>
          <w:rFonts w:cstheme="minorHAnsi"/>
        </w:rPr>
        <w:t xml:space="preserve">                                                         (Eq. 28)</w:t>
      </w:r>
    </w:p>
    <w:p w14:paraId="730F95C1" w14:textId="77777777" w:rsidR="00307520" w:rsidRDefault="00307520" w:rsidP="00307520">
      <w:pPr>
        <w:spacing w:line="480" w:lineRule="auto"/>
        <w:jc w:val="both"/>
        <w:rPr>
          <w:rFonts w:cstheme="minorHAnsi"/>
        </w:rPr>
      </w:pPr>
      <w:r>
        <w:rPr>
          <w:rFonts w:cstheme="minorHAnsi"/>
        </w:rPr>
        <w:t>Reverse flux through the non-oxidative PPP (in R5P produced/min x mg) was calculated from Eq. 1 and Eq. 28.</w:t>
      </w:r>
    </w:p>
    <w:p w14:paraId="37F0F8F0"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3r</m:t>
            </m:r>
          </m:sub>
        </m:sSub>
        <m:r>
          <w:rPr>
            <w:rFonts w:ascii="Cambria Math" w:hAnsi="Cambria Math" w:cstheme="minorHAnsi"/>
            <w:sz w:val="28"/>
            <w:szCs w:val="28"/>
          </w:rPr>
          <m:t>=</m:t>
        </m:r>
        <m:f>
          <m:fPr>
            <m:ctrlPr>
              <w:rPr>
                <w:rFonts w:ascii="Cambria Math" w:hAnsi="Cambria Math" w:cstheme="minorHAnsi"/>
                <w:i/>
                <w:sz w:val="28"/>
                <w:szCs w:val="28"/>
              </w:rPr>
            </m:ctrlPr>
          </m:fPr>
          <m:num>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num>
          <m:den>
            <m:r>
              <w:rPr>
                <w:rFonts w:ascii="Cambria Math" w:hAnsi="Cambria Math" w:cstheme="minorHAnsi"/>
                <w:sz w:val="28"/>
                <w:szCs w:val="28"/>
              </w:rPr>
              <m:t>K</m:t>
            </m:r>
          </m:den>
        </m:f>
      </m:oMath>
      <w:r>
        <w:rPr>
          <w:rFonts w:cstheme="minorHAnsi"/>
        </w:rPr>
        <w:t xml:space="preserve">                                                      (Eq. 29)</w:t>
      </w:r>
    </w:p>
    <w:p w14:paraId="328AD15A" w14:textId="77777777" w:rsidR="00307520" w:rsidRDefault="00307520" w:rsidP="00307520">
      <w:pPr>
        <w:spacing w:line="480" w:lineRule="auto"/>
        <w:jc w:val="both"/>
        <w:rPr>
          <w:rFonts w:cstheme="minorHAnsi"/>
        </w:rPr>
      </w:pPr>
      <w:r>
        <w:rPr>
          <w:rFonts w:cstheme="minorHAnsi"/>
        </w:rPr>
        <w:t>Hexose phosphate consumption by the oxidative PPP was calculated from Eq. 22.</w:t>
      </w:r>
    </w:p>
    <w:p w14:paraId="128E2C16"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m:t>
            </m:r>
          </m:sub>
        </m:sSub>
        <m:r>
          <w:rPr>
            <w:rFonts w:ascii="Cambria Math" w:hAnsi="Cambria Math" w:cstheme="minorHAnsi"/>
            <w:sz w:val="28"/>
            <w:szCs w:val="28"/>
          </w:rPr>
          <m:t>=A-</m:t>
        </m:r>
        <m:f>
          <m:fPr>
            <m:ctrlPr>
              <w:rPr>
                <w:rFonts w:ascii="Cambria Math" w:hAnsi="Cambria Math" w:cstheme="minorHAnsi"/>
                <w:i/>
                <w:sz w:val="28"/>
                <w:szCs w:val="28"/>
              </w:rPr>
            </m:ctrlPr>
          </m:fPr>
          <m:num>
            <m:r>
              <w:rPr>
                <w:rFonts w:ascii="Cambria Math" w:hAnsi="Cambria Math" w:cstheme="minorHAnsi"/>
                <w:sz w:val="28"/>
                <w:szCs w:val="28"/>
              </w:rPr>
              <m:t>5</m:t>
            </m:r>
          </m:num>
          <m:den>
            <m:r>
              <w:rPr>
                <w:rFonts w:ascii="Cambria Math" w:hAnsi="Cambria Math" w:cstheme="minorHAnsi"/>
                <w:sz w:val="28"/>
                <w:szCs w:val="28"/>
              </w:rPr>
              <m:t>6</m:t>
            </m:r>
          </m:den>
        </m:f>
        <m:d>
          <m:dPr>
            <m:ctrlPr>
              <w:rPr>
                <w:rFonts w:ascii="Cambria Math" w:hAnsi="Cambria Math" w:cstheme="minorHAnsi"/>
                <w:i/>
                <w:sz w:val="28"/>
                <w:szCs w:val="28"/>
              </w:rPr>
            </m:ctrlPr>
          </m:dPr>
          <m:e>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3r</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e>
        </m:d>
      </m:oMath>
      <w:r>
        <w:rPr>
          <w:rFonts w:cstheme="minorHAnsi"/>
        </w:rPr>
        <w:t xml:space="preserve">                                                        (Eq. 30)</w:t>
      </w:r>
    </w:p>
    <w:p w14:paraId="733DF8EB" w14:textId="77777777" w:rsidR="00307520" w:rsidRDefault="00307520" w:rsidP="00307520">
      <w:pPr>
        <w:spacing w:line="480" w:lineRule="auto"/>
        <w:jc w:val="both"/>
        <w:rPr>
          <w:rFonts w:cstheme="minorHAnsi"/>
        </w:rPr>
      </w:pPr>
      <w:r>
        <w:rPr>
          <w:rFonts w:cstheme="minorHAnsi"/>
        </w:rPr>
        <w:t>Ribose phosphate consumption for nucleotide synthesis was calculated by mass balance.</w:t>
      </w:r>
    </w:p>
    <w:p w14:paraId="2B8340AA"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9</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3r</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oMath>
      <w:r>
        <w:rPr>
          <w:rFonts w:cstheme="minorHAnsi"/>
        </w:rPr>
        <w:t xml:space="preserve">                                                   (Eq. 31)</w:t>
      </w:r>
    </w:p>
    <w:p w14:paraId="655485CF" w14:textId="77777777" w:rsidR="00307520" w:rsidRDefault="00307520" w:rsidP="00307520">
      <w:pPr>
        <w:spacing w:line="480" w:lineRule="auto"/>
        <w:jc w:val="both"/>
        <w:rPr>
          <w:rFonts w:cstheme="minorHAnsi"/>
        </w:rPr>
      </w:pPr>
      <w:r>
        <w:rPr>
          <w:rFonts w:cstheme="minorHAnsi"/>
        </w:rPr>
        <w:t>The conversion of serine to glycine (J</w:t>
      </w:r>
      <w:r w:rsidRPr="00DF3988">
        <w:rPr>
          <w:rFonts w:cstheme="minorHAnsi"/>
          <w:vertAlign w:val="subscript"/>
        </w:rPr>
        <w:t>21</w:t>
      </w:r>
      <w:r>
        <w:rPr>
          <w:rFonts w:cstheme="minorHAnsi"/>
        </w:rPr>
        <w:t>) in the folate cycle is coupled to J</w:t>
      </w:r>
      <w:r w:rsidRPr="00DF3988">
        <w:rPr>
          <w:rFonts w:cstheme="minorHAnsi"/>
          <w:vertAlign w:val="subscript"/>
        </w:rPr>
        <w:t>9</w:t>
      </w:r>
      <w:r>
        <w:rPr>
          <w:rFonts w:cstheme="minorHAnsi"/>
        </w:rPr>
        <w:t xml:space="preserve"> by two 10-formyl-tetrahydrofolates required to synthesize purine nucleotides. Using the estimate that 80% of 10-formyl-tetrahydrofolate is derived from serine conversion to glycine in the folate cycle in tumor cells </w:t>
      </w:r>
      <w:r>
        <w:rPr>
          <w:rFonts w:cstheme="minorHAnsi"/>
        </w:rPr>
        <w:fldChar w:fldCharType="begin">
          <w:fldData xml:space="preserve">PEVuZE5vdGU+PENpdGU+PEF1dGhvcj5GYW48L0F1dGhvcj48WWVhcj4yMDE0PC9ZZWFyPjxSZWNO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</w:fldData>
        </w:fldChar>
      </w:r>
      <w:r>
        <w:rPr>
          <w:rFonts w:cstheme="minorHAnsi"/>
        </w:rPr>
        <w:instrText xml:space="preserve"> ADDIN EN.CITE </w:instrText>
      </w:r>
      <w:r>
        <w:rPr>
          <w:rFonts w:cstheme="minorHAnsi"/>
        </w:rPr>
        <w:fldChar w:fldCharType="begin">
          <w:fldData xml:space="preserve">PEVuZE5vdGU+PENpdGU+PEF1dGhvcj5GYW48L0F1dGhvcj48WWVhcj4yMDE0PC9ZZWFyPjxSZWNO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[36]</w:t>
      </w:r>
      <w:r>
        <w:rPr>
          <w:rFonts w:cstheme="minorHAnsi"/>
        </w:rPr>
        <w:fldChar w:fldCharType="end"/>
      </w:r>
      <w:r>
        <w:rPr>
          <w:rFonts w:cstheme="minorHAnsi"/>
        </w:rPr>
        <w:t xml:space="preserve"> and </w:t>
      </w:r>
      <w:r>
        <w:rPr>
          <w:rFonts w:cstheme="minorHAnsi"/>
        </w:rPr>
        <w:lastRenderedPageBreak/>
        <w:t>assuming 50% of J</w:t>
      </w:r>
      <w:r w:rsidRPr="00DF3988">
        <w:rPr>
          <w:rFonts w:cstheme="minorHAnsi"/>
          <w:vertAlign w:val="subscript"/>
        </w:rPr>
        <w:t>9</w:t>
      </w:r>
      <w:r>
        <w:rPr>
          <w:rFonts w:cstheme="minorHAnsi"/>
        </w:rPr>
        <w:t xml:space="preserve"> is for purine nucleotide synthesis, serine flux to glycine in the folate cycle was estimated.</w:t>
      </w:r>
    </w:p>
    <w:p w14:paraId="769E3E0C"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21</m:t>
            </m:r>
          </m:sub>
        </m:sSub>
        <m:r>
          <w:rPr>
            <w:rFonts w:ascii="Cambria Math" w:hAnsi="Cambria Math" w:cstheme="minorHAnsi"/>
            <w:sz w:val="28"/>
            <w:szCs w:val="28"/>
          </w:rPr>
          <m:t>=0.8*</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9</m:t>
            </m:r>
          </m:sub>
        </m:sSub>
      </m:oMath>
      <w:r>
        <w:rPr>
          <w:rFonts w:cstheme="minorHAnsi"/>
        </w:rPr>
        <w:t xml:space="preserve">                                                                (Eq. 32)</w:t>
      </w:r>
    </w:p>
    <w:p w14:paraId="2FBF491F" w14:textId="77777777" w:rsidR="00307520" w:rsidRDefault="00307520" w:rsidP="00307520">
      <w:pPr>
        <w:spacing w:line="480" w:lineRule="auto"/>
        <w:jc w:val="both"/>
        <w:rPr>
          <w:rFonts w:cstheme="minorHAnsi"/>
        </w:rPr>
      </w:pPr>
      <w:r>
        <w:rPr>
          <w:rFonts w:cstheme="minorHAnsi"/>
        </w:rPr>
        <w:t>The mean ratio of serine efflux (J</w:t>
      </w:r>
      <w:r w:rsidRPr="00DF3988">
        <w:rPr>
          <w:rFonts w:cstheme="minorHAnsi"/>
          <w:vertAlign w:val="subscript"/>
        </w:rPr>
        <w:t>22</w:t>
      </w:r>
      <w:r>
        <w:rPr>
          <w:rFonts w:cstheme="minorHAnsi"/>
        </w:rPr>
        <w:t>) to glucose uptake (J</w:t>
      </w:r>
      <w:r w:rsidRPr="00DF3988">
        <w:rPr>
          <w:rFonts w:cstheme="minorHAnsi"/>
          <w:vertAlign w:val="subscript"/>
        </w:rPr>
        <w:t>0</w:t>
      </w:r>
      <w:r>
        <w:rPr>
          <w:rFonts w:cstheme="minorHAnsi"/>
        </w:rPr>
        <w:t>) determined for experiments with [1,2-</w:t>
      </w:r>
      <w:r w:rsidRPr="00DF3988">
        <w:rPr>
          <w:rFonts w:cstheme="minorHAnsi"/>
          <w:vertAlign w:val="superscript"/>
        </w:rPr>
        <w:t>13</w:t>
      </w:r>
      <w:r>
        <w:rPr>
          <w:rFonts w:cstheme="minorHAnsi"/>
        </w:rPr>
        <w:t>C] glucose (n=6) was used to calculate J</w:t>
      </w:r>
      <w:r w:rsidRPr="00DF3988">
        <w:rPr>
          <w:rFonts w:cstheme="minorHAnsi"/>
          <w:vertAlign w:val="subscript"/>
        </w:rPr>
        <w:t>22</w:t>
      </w:r>
      <w:r>
        <w:rPr>
          <w:rFonts w:cstheme="minorHAnsi"/>
        </w:rPr>
        <w:t xml:space="preserve"> for experiments with [5-</w:t>
      </w:r>
      <w:r w:rsidRPr="00DF3988">
        <w:rPr>
          <w:rFonts w:cstheme="minorHAnsi"/>
          <w:vertAlign w:val="superscript"/>
        </w:rPr>
        <w:t>13</w:t>
      </w:r>
      <w:r>
        <w:rPr>
          <w:rFonts w:cstheme="minorHAnsi"/>
        </w:rPr>
        <w:t>C] glutamine.</w:t>
      </w:r>
    </w:p>
    <w:p w14:paraId="5865005A" w14:textId="77777777" w:rsidR="00307520" w:rsidRDefault="00307520" w:rsidP="00307520">
      <w:pPr>
        <w:spacing w:line="480" w:lineRule="auto"/>
        <w:jc w:val="right"/>
        <w:rPr>
          <w:rFonts w:cstheme="minorHAnsi"/>
        </w:rPr>
      </w:pPr>
      <w:r>
        <w:rPr>
          <w:rFonts w:cstheme="minorHAnsi"/>
        </w:rPr>
        <w:t xml:space="preserve"> </w:t>
      </w:r>
      <m:oMath>
        <m:f>
          <m:fPr>
            <m:ctrlPr>
              <w:rPr>
                <w:rFonts w:ascii="Cambria Math" w:hAnsi="Cambria Math" w:cstheme="minorHAnsi"/>
                <w:i/>
                <w:sz w:val="28"/>
                <w:szCs w:val="28"/>
              </w:rPr>
            </m:ctrlPr>
          </m:fPr>
          <m:num>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22</m:t>
                </m:r>
              </m:sub>
              <m:sup>
                <m:r>
                  <w:rPr>
                    <w:rFonts w:ascii="Cambria Math" w:hAnsi="Cambria Math" w:cstheme="minorHAnsi"/>
                    <w:sz w:val="28"/>
                    <w:szCs w:val="28"/>
                  </w:rPr>
                  <m:t>13C glc</m:t>
                </m:r>
              </m:sup>
            </m:sSubSup>
          </m:num>
          <m:den>
            <m:sSubSup>
              <m:sSubSupPr>
                <m:ctrlPr>
                  <w:rPr>
                    <w:rFonts w:ascii="Cambria Math" w:hAnsi="Cambria Math" w:cstheme="minorHAnsi"/>
                    <w:i/>
                    <w:sz w:val="28"/>
                    <w:szCs w:val="28"/>
                  </w:rPr>
                </m:ctrlPr>
              </m:sSubSupPr>
              <m:e>
                <m:r>
                  <w:rPr>
                    <w:rFonts w:ascii="Cambria Math" w:hAnsi="Cambria Math" w:cstheme="minorHAnsi"/>
                    <w:sz w:val="28"/>
                    <w:szCs w:val="28"/>
                  </w:rPr>
                  <m:t>J</m:t>
                </m:r>
              </m:e>
              <m:sub>
                <m:r>
                  <w:rPr>
                    <w:rFonts w:ascii="Cambria Math" w:hAnsi="Cambria Math" w:cstheme="minorHAnsi"/>
                    <w:sz w:val="28"/>
                    <w:szCs w:val="28"/>
                  </w:rPr>
                  <m:t>0</m:t>
                </m:r>
              </m:sub>
              <m:sup>
                <m:r>
                  <w:rPr>
                    <w:rFonts w:ascii="Cambria Math" w:hAnsi="Cambria Math" w:cstheme="minorHAnsi"/>
                    <w:sz w:val="28"/>
                    <w:szCs w:val="28"/>
                  </w:rPr>
                  <m:t>13C glc</m:t>
                </m:r>
              </m:sup>
            </m:sSubSup>
          </m:den>
        </m:f>
        <m:r>
          <w:rPr>
            <w:rFonts w:ascii="Cambria Math" w:hAnsi="Cambria Math" w:cstheme="minorHAnsi"/>
            <w:sz w:val="28"/>
            <w:szCs w:val="28"/>
          </w:rPr>
          <m:t>=B</m:t>
        </m:r>
      </m:oMath>
      <w:r>
        <w:rPr>
          <w:rFonts w:cstheme="minorHAnsi"/>
        </w:rPr>
        <w:t xml:space="preserve">                                                           (Eq. 33)</w:t>
      </w:r>
    </w:p>
    <w:p w14:paraId="35CB7196"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22</m:t>
            </m:r>
          </m:sub>
        </m:sSub>
        <m:r>
          <w:rPr>
            <w:rFonts w:ascii="Cambria Math" w:hAnsi="Cambria Math" w:cstheme="minorHAnsi"/>
            <w:sz w:val="28"/>
            <w:szCs w:val="28"/>
          </w:rPr>
          <m:t>=</m:t>
        </m:r>
        <m:sSubSup>
          <m:sSubSupPr>
            <m:ctrlPr>
              <w:rPr>
                <w:rFonts w:ascii="Cambria Math" w:hAnsi="Cambria Math" w:cstheme="minorHAnsi"/>
                <w:i/>
                <w:sz w:val="28"/>
                <w:szCs w:val="28"/>
              </w:rPr>
            </m:ctrlPr>
          </m:sSubSupPr>
          <m:e>
            <m:r>
              <w:rPr>
                <w:rFonts w:ascii="Cambria Math" w:hAnsi="Cambria Math" w:cstheme="minorHAnsi"/>
                <w:sz w:val="28"/>
                <w:szCs w:val="28"/>
              </w:rPr>
              <m:t>B*J</m:t>
            </m:r>
          </m:e>
          <m:sub>
            <m:r>
              <w:rPr>
                <w:rFonts w:ascii="Cambria Math" w:hAnsi="Cambria Math" w:cstheme="minorHAnsi"/>
                <w:sz w:val="28"/>
                <w:szCs w:val="28"/>
              </w:rPr>
              <m:t>0</m:t>
            </m:r>
          </m:sub>
          <m:sup>
            <m:r>
              <w:rPr>
                <w:rFonts w:ascii="Cambria Math" w:hAnsi="Cambria Math" w:cstheme="minorHAnsi"/>
                <w:sz w:val="28"/>
                <w:szCs w:val="28"/>
              </w:rPr>
              <m:t>13C gln</m:t>
            </m:r>
          </m:sup>
        </m:sSubSup>
      </m:oMath>
      <w:r>
        <w:rPr>
          <w:rFonts w:cstheme="minorHAnsi"/>
        </w:rPr>
        <w:t xml:space="preserve">                                                          (Eq. 34)</w:t>
      </w:r>
    </w:p>
    <w:p w14:paraId="58D148C1" w14:textId="77777777" w:rsidR="00307520" w:rsidRDefault="00307520" w:rsidP="00307520">
      <w:pPr>
        <w:spacing w:line="480" w:lineRule="auto"/>
        <w:jc w:val="both"/>
        <w:rPr>
          <w:rFonts w:cstheme="minorHAnsi"/>
        </w:rPr>
      </w:pPr>
      <w:r>
        <w:rPr>
          <w:rFonts w:cstheme="minorHAnsi"/>
        </w:rPr>
        <w:t>The contribution of endogenous glycine to labeling of the glycine pool that can recycle to serine (J</w:t>
      </w:r>
      <w:r w:rsidRPr="00DF3988">
        <w:rPr>
          <w:rFonts w:cstheme="minorHAnsi"/>
          <w:vertAlign w:val="subscript"/>
        </w:rPr>
        <w:t>24</w:t>
      </w:r>
      <w:r>
        <w:rPr>
          <w:rFonts w:cstheme="minorHAnsi"/>
        </w:rPr>
        <w:t>) was calculated from Eq. 6 (see Methods).</w:t>
      </w:r>
    </w:p>
    <w:p w14:paraId="6FE0F5F8"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24</m:t>
            </m:r>
          </m:sub>
        </m:sSub>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1-Q</m:t>
            </m:r>
          </m:num>
          <m:den>
            <m:r>
              <w:rPr>
                <w:rFonts w:ascii="Cambria Math" w:hAnsi="Cambria Math" w:cstheme="minorHAnsi"/>
                <w:sz w:val="28"/>
                <w:szCs w:val="28"/>
              </w:rPr>
              <m:t>Q</m:t>
            </m:r>
          </m:den>
        </m:f>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21</m:t>
            </m:r>
          </m:sub>
        </m:sSub>
      </m:oMath>
      <w:r>
        <w:rPr>
          <w:rFonts w:cstheme="minorHAnsi"/>
        </w:rPr>
        <w:t xml:space="preserve">                                                       (Eq. 35)</w:t>
      </w:r>
    </w:p>
    <w:p w14:paraId="24490D7A" w14:textId="77777777" w:rsidR="00307520" w:rsidRDefault="00307520" w:rsidP="00307520">
      <w:pPr>
        <w:spacing w:line="480" w:lineRule="auto"/>
        <w:jc w:val="both"/>
        <w:rPr>
          <w:rFonts w:cstheme="minorHAnsi"/>
        </w:rPr>
      </w:pPr>
      <w:r>
        <w:rPr>
          <w:rFonts w:cstheme="minorHAnsi"/>
        </w:rPr>
        <w:t>The serine mass balance equation (Eq. 36) and Eq. 7 (see Methods) were used to calculate the flux of glycine to serine (J</w:t>
      </w:r>
      <w:r w:rsidRPr="00563B12">
        <w:rPr>
          <w:rFonts w:cstheme="minorHAnsi"/>
          <w:vertAlign w:val="subscript"/>
        </w:rPr>
        <w:t>25</w:t>
      </w:r>
      <w:r>
        <w:rPr>
          <w:rFonts w:cstheme="minorHAnsi"/>
        </w:rPr>
        <w:t>).</w:t>
      </w:r>
    </w:p>
    <w:p w14:paraId="2196C7D4"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19</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20</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25</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21</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22</m:t>
            </m:r>
          </m:sub>
        </m:sSub>
      </m:oMath>
      <w:r>
        <w:rPr>
          <w:rFonts w:cstheme="minorHAnsi"/>
        </w:rPr>
        <w:t xml:space="preserve">                                                   (Eq. 36)</w:t>
      </w:r>
    </w:p>
    <w:p w14:paraId="307CE6EF"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25</m:t>
            </m:r>
          </m:sub>
        </m:sSub>
        <m:r>
          <w:rPr>
            <w:rFonts w:ascii="Cambria Math" w:hAnsi="Cambria Math" w:cstheme="minorHAnsi"/>
            <w:sz w:val="28"/>
            <w:szCs w:val="28"/>
          </w:rPr>
          <m:t>=</m:t>
        </m:r>
        <m:f>
          <m:fPr>
            <m:ctrlPr>
              <w:rPr>
                <w:rFonts w:ascii="Cambria Math" w:hAnsi="Cambria Math" w:cstheme="minorHAnsi"/>
                <w:i/>
                <w:sz w:val="28"/>
                <w:szCs w:val="28"/>
              </w:rPr>
            </m:ctrlPr>
          </m:fPr>
          <m:num>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21</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22</m:t>
                </m:r>
              </m:sub>
            </m:sSub>
          </m:num>
          <m:den>
            <m:r>
              <w:rPr>
                <w:rFonts w:ascii="Cambria Math" w:hAnsi="Cambria Math" w:cstheme="minorHAnsi"/>
                <w:sz w:val="28"/>
                <w:szCs w:val="28"/>
              </w:rPr>
              <m:t>1+</m:t>
            </m:r>
            <m:f>
              <m:fPr>
                <m:type m:val="skw"/>
                <m:ctrlPr>
                  <w:rPr>
                    <w:rFonts w:ascii="Cambria Math" w:hAnsi="Cambria Math" w:cstheme="minorHAnsi"/>
                    <w:i/>
                    <w:sz w:val="28"/>
                    <w:szCs w:val="28"/>
                  </w:rPr>
                </m:ctrlPr>
              </m:fPr>
              <m:num>
                <m:r>
                  <w:rPr>
                    <w:rFonts w:ascii="Cambria Math" w:hAnsi="Cambria Math" w:cstheme="minorHAnsi"/>
                    <w:sz w:val="28"/>
                    <w:szCs w:val="28"/>
                  </w:rPr>
                  <m:t>1</m:t>
                </m:r>
              </m:num>
              <m:den>
                <m:r>
                  <w:rPr>
                    <w:rFonts w:ascii="Cambria Math" w:hAnsi="Cambria Math" w:cstheme="minorHAnsi"/>
                    <w:sz w:val="28"/>
                    <w:szCs w:val="28"/>
                  </w:rPr>
                  <m:t>R</m:t>
                </m:r>
              </m:den>
            </m:f>
          </m:den>
        </m:f>
      </m:oMath>
      <w:r>
        <w:rPr>
          <w:rFonts w:cstheme="minorHAnsi"/>
        </w:rPr>
        <w:t xml:space="preserve">                                                  (Eq. 37)</w:t>
      </w:r>
    </w:p>
    <w:p w14:paraId="42B42D46" w14:textId="77777777" w:rsidR="00307520" w:rsidRDefault="00307520" w:rsidP="00307520">
      <w:pPr>
        <w:spacing w:line="480" w:lineRule="auto"/>
        <w:jc w:val="both"/>
        <w:rPr>
          <w:rFonts w:cstheme="minorHAnsi"/>
        </w:rPr>
      </w:pPr>
      <w:r>
        <w:rPr>
          <w:rFonts w:cstheme="minorHAnsi"/>
        </w:rPr>
        <w:t>Glycine consumption associated with the folate cycle was calculated from mass-balance.</w:t>
      </w:r>
    </w:p>
    <w:p w14:paraId="1539B717" w14:textId="77777777" w:rsidR="00307520" w:rsidRDefault="00307520" w:rsidP="00307520">
      <w:pPr>
        <w:spacing w:line="480" w:lineRule="auto"/>
        <w:jc w:val="right"/>
        <w:rPr>
          <w:rFonts w:cstheme="minorHAnsi"/>
        </w:rPr>
      </w:pPr>
      <w:r w:rsidRPr="001C4D74">
        <w:rPr>
          <w:rFonts w:cstheme="minorHAnsi"/>
          <w:sz w:val="28"/>
          <w:szCs w:val="28"/>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23</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21</m:t>
            </m:r>
          </m:sub>
        </m:sSub>
        <m:r>
          <w:rPr>
            <w:rFonts w:ascii="Cambria Math" w:hAnsi="Cambria Math" w:cstheme="minorHAnsi"/>
            <w:sz w:val="28"/>
            <w:szCs w:val="28"/>
          </w:rPr>
          <m:t xml:space="preserve">+ </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24</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25</m:t>
            </m:r>
          </m:sub>
        </m:sSub>
      </m:oMath>
      <w:r>
        <w:rPr>
          <w:rFonts w:cstheme="minorHAnsi"/>
        </w:rPr>
        <w:t xml:space="preserve">                                                (Eq. 38)</w:t>
      </w:r>
    </w:p>
    <w:p w14:paraId="6231ACF8" w14:textId="77777777" w:rsidR="00307520" w:rsidRDefault="00307520" w:rsidP="00307520">
      <w:pPr>
        <w:spacing w:line="480" w:lineRule="auto"/>
        <w:jc w:val="both"/>
        <w:rPr>
          <w:rFonts w:cstheme="minorHAnsi"/>
        </w:rPr>
      </w:pPr>
      <w:r>
        <w:rPr>
          <w:rFonts w:cstheme="minorHAnsi"/>
        </w:rPr>
        <w:t>Serine biosynthesis from 3PG (J</w:t>
      </w:r>
      <w:r w:rsidRPr="00563B12">
        <w:rPr>
          <w:rFonts w:cstheme="minorHAnsi"/>
          <w:vertAlign w:val="subscript"/>
        </w:rPr>
        <w:t>19</w:t>
      </w:r>
      <w:r>
        <w:rPr>
          <w:rFonts w:cstheme="minorHAnsi"/>
        </w:rPr>
        <w:t>) can be calculated from Eq. 5 and 7.</w:t>
      </w:r>
    </w:p>
    <w:p w14:paraId="26C5881A" w14:textId="77777777" w:rsidR="00307520" w:rsidRDefault="00307520" w:rsidP="00307520">
      <w:pPr>
        <w:spacing w:line="480" w:lineRule="auto"/>
        <w:jc w:val="right"/>
        <w:rPr>
          <w:rFonts w:cstheme="minorHAnsi"/>
        </w:rPr>
      </w:pPr>
      <w:r>
        <w:rPr>
          <w:rFonts w:cstheme="minorHAnsi"/>
        </w:rPr>
        <w:lastRenderedPageBreak/>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19</m:t>
            </m:r>
          </m:sub>
        </m:sSub>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P</m:t>
            </m:r>
          </m:num>
          <m:den>
            <m:r>
              <w:rPr>
                <w:rFonts w:ascii="Cambria Math" w:hAnsi="Cambria Math" w:cstheme="minorHAnsi"/>
                <w:sz w:val="28"/>
                <w:szCs w:val="28"/>
              </w:rPr>
              <m:t>R</m:t>
            </m:r>
          </m:den>
        </m:f>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25</m:t>
            </m:r>
          </m:sub>
        </m:sSub>
      </m:oMath>
      <w:r>
        <w:rPr>
          <w:rFonts w:cstheme="minorHAnsi"/>
        </w:rPr>
        <w:t xml:space="preserve">                                                               (Eq. 39)</w:t>
      </w:r>
    </w:p>
    <w:p w14:paraId="03031767" w14:textId="77777777" w:rsidR="00307520" w:rsidRDefault="00307520" w:rsidP="00307520">
      <w:pPr>
        <w:spacing w:line="480" w:lineRule="auto"/>
        <w:jc w:val="both"/>
        <w:rPr>
          <w:rFonts w:cstheme="minorHAnsi"/>
        </w:rPr>
      </w:pPr>
      <w:r w:rsidRPr="001F2DCF">
        <w:rPr>
          <w:rFonts w:cstheme="minorHAnsi"/>
          <w:noProof/>
        </w:rPr>
        <mc:AlternateContent>
          <mc:Choice Requires="wps">
            <w:drawing>
              <wp:anchor distT="45720" distB="45720" distL="114300" distR="114300" simplePos="0" relativeHeight="251659264" behindDoc="0" locked="0" layoutInCell="1" allowOverlap="1" wp14:anchorId="1D39054A" wp14:editId="2F8CB8A8">
                <wp:simplePos x="0" y="0"/>
                <wp:positionH relativeFrom="column">
                  <wp:posOffset>323850</wp:posOffset>
                </wp:positionH>
                <wp:positionV relativeFrom="paragraph">
                  <wp:posOffset>3194685</wp:posOffset>
                </wp:positionV>
                <wp:extent cx="5429250" cy="17049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704975"/>
                        </a:xfrm>
                        <a:prstGeom prst="rect">
                          <a:avLst/>
                        </a:prstGeom>
                        <a:solidFill>
                          <a:srgbClr val="FFFFFF"/>
                        </a:solidFill>
                        <a:ln w="9525">
                          <a:noFill/>
                          <a:miter lim="800000"/>
                          <a:headEnd/>
                          <a:tailEnd/>
                        </a:ln>
                      </wps:spPr>
                      <wps:txbx>
                        <w:txbxContent>
                          <w:p w14:paraId="1070A49E" w14:textId="77777777" w:rsidR="00307520" w:rsidRPr="001F2DCF" w:rsidRDefault="00307520" w:rsidP="00307520">
                            <w:pPr>
                              <w:jc w:val="both"/>
                              <w:rPr>
                                <w:sz w:val="20"/>
                                <w:szCs w:val="20"/>
                              </w:rPr>
                            </w:pPr>
                            <w:r w:rsidRPr="001F2DCF">
                              <w:rPr>
                                <w:sz w:val="20"/>
                                <w:szCs w:val="20"/>
                              </w:rPr>
                              <w:t>Supplemental Figure 1. Iterative process to determining serine biosynthesis flux (J</w:t>
                            </w:r>
                            <w:r w:rsidRPr="00563B12">
                              <w:rPr>
                                <w:sz w:val="20"/>
                                <w:szCs w:val="20"/>
                                <w:vertAlign w:val="subscript"/>
                              </w:rPr>
                              <w:t>19</w:t>
                            </w:r>
                            <w:r w:rsidRPr="001F2DCF">
                              <w:rPr>
                                <w:sz w:val="20"/>
                                <w:szCs w:val="20"/>
                              </w:rPr>
                              <w:t>)</w:t>
                            </w:r>
                            <w:r>
                              <w:rPr>
                                <w:sz w:val="20"/>
                                <w:szCs w:val="20"/>
                              </w:rPr>
                              <w:t>. Flux through the oxidative pentose phosphate pathway (J</w:t>
                            </w:r>
                            <w:r w:rsidRPr="00563B12">
                              <w:rPr>
                                <w:sz w:val="20"/>
                                <w:szCs w:val="20"/>
                                <w:vertAlign w:val="subscript"/>
                              </w:rPr>
                              <w:t>1</w:t>
                            </w:r>
                            <w:r>
                              <w:rPr>
                                <w:sz w:val="20"/>
                                <w:szCs w:val="20"/>
                              </w:rPr>
                              <w:t>) and the reverse non-oxidative pentose phosphate pathway (J</w:t>
                            </w:r>
                            <w:r w:rsidRPr="00563B12">
                              <w:rPr>
                                <w:sz w:val="20"/>
                                <w:szCs w:val="20"/>
                                <w:vertAlign w:val="subscript"/>
                              </w:rPr>
                              <w:t>3r</w:t>
                            </w:r>
                            <w:r>
                              <w:rPr>
                                <w:sz w:val="20"/>
                                <w:szCs w:val="20"/>
                              </w:rPr>
                              <w:t>) depend in part on J</w:t>
                            </w:r>
                            <w:r w:rsidRPr="00563B12">
                              <w:rPr>
                                <w:sz w:val="20"/>
                                <w:szCs w:val="20"/>
                                <w:vertAlign w:val="subscript"/>
                              </w:rPr>
                              <w:t>19</w:t>
                            </w:r>
                            <w:r>
                              <w:rPr>
                                <w:sz w:val="20"/>
                                <w:szCs w:val="20"/>
                              </w:rPr>
                              <w:t>, but J</w:t>
                            </w:r>
                            <w:r w:rsidRPr="00563B12">
                              <w:rPr>
                                <w:sz w:val="20"/>
                                <w:szCs w:val="20"/>
                                <w:vertAlign w:val="subscript"/>
                              </w:rPr>
                              <w:t>19</w:t>
                            </w:r>
                            <w:r>
                              <w:rPr>
                                <w:sz w:val="20"/>
                                <w:szCs w:val="20"/>
                              </w:rPr>
                              <w:t xml:space="preserve"> depends on glycine flux to serine in the folate cycle (J</w:t>
                            </w:r>
                            <w:r w:rsidRPr="00563B12">
                              <w:rPr>
                                <w:sz w:val="20"/>
                                <w:szCs w:val="20"/>
                                <w:vertAlign w:val="subscript"/>
                              </w:rPr>
                              <w:t>25</w:t>
                            </w:r>
                            <w:r>
                              <w:rPr>
                                <w:sz w:val="20"/>
                                <w:szCs w:val="20"/>
                              </w:rPr>
                              <w:t>), which in turn depends on serine flux to glycine in the folate cycle (J</w:t>
                            </w:r>
                            <w:r w:rsidRPr="00563B12">
                              <w:rPr>
                                <w:sz w:val="20"/>
                                <w:szCs w:val="20"/>
                                <w:vertAlign w:val="subscript"/>
                              </w:rPr>
                              <w:t>21</w:t>
                            </w:r>
                            <w:r>
                              <w:rPr>
                                <w:sz w:val="20"/>
                                <w:szCs w:val="20"/>
                              </w:rPr>
                              <w:t>). J</w:t>
                            </w:r>
                            <w:r w:rsidRPr="00563B12">
                              <w:rPr>
                                <w:sz w:val="20"/>
                                <w:szCs w:val="20"/>
                                <w:vertAlign w:val="subscript"/>
                              </w:rPr>
                              <w:t>21</w:t>
                            </w:r>
                            <w:r>
                              <w:rPr>
                                <w:sz w:val="20"/>
                                <w:szCs w:val="20"/>
                              </w:rPr>
                              <w:t xml:space="preserve"> depends on the flux of pentose phosphates to nucleotides (J</w:t>
                            </w:r>
                            <w:r w:rsidRPr="00563B12">
                              <w:rPr>
                                <w:sz w:val="20"/>
                                <w:szCs w:val="20"/>
                                <w:vertAlign w:val="subscript"/>
                              </w:rPr>
                              <w:t>9</w:t>
                            </w:r>
                            <w:r>
                              <w:rPr>
                                <w:sz w:val="20"/>
                                <w:szCs w:val="20"/>
                              </w:rPr>
                              <w:t>), the latter of which is calculated from J</w:t>
                            </w:r>
                            <w:r w:rsidRPr="00563B12">
                              <w:rPr>
                                <w:sz w:val="20"/>
                                <w:szCs w:val="20"/>
                                <w:vertAlign w:val="subscript"/>
                              </w:rPr>
                              <w:t>1</w:t>
                            </w:r>
                            <w:r>
                              <w:rPr>
                                <w:sz w:val="20"/>
                                <w:szCs w:val="20"/>
                              </w:rPr>
                              <w:t>. As a result, the first iteration of Model 3 was run with J</w:t>
                            </w:r>
                            <w:r w:rsidRPr="00563B12">
                              <w:rPr>
                                <w:sz w:val="20"/>
                                <w:szCs w:val="20"/>
                                <w:vertAlign w:val="subscript"/>
                              </w:rPr>
                              <w:t>19</w:t>
                            </w:r>
                            <w:r>
                              <w:rPr>
                                <w:sz w:val="20"/>
                                <w:szCs w:val="20"/>
                              </w:rPr>
                              <w:t xml:space="preserve"> set to zero, results in overestimation of glucose consumption by J</w:t>
                            </w:r>
                            <w:r w:rsidRPr="00563B12">
                              <w:rPr>
                                <w:sz w:val="20"/>
                                <w:szCs w:val="20"/>
                                <w:vertAlign w:val="subscript"/>
                              </w:rPr>
                              <w:t>1</w:t>
                            </w:r>
                            <w:r>
                              <w:rPr>
                                <w:sz w:val="20"/>
                                <w:szCs w:val="20"/>
                              </w:rPr>
                              <w:t xml:space="preserve"> and J</w:t>
                            </w:r>
                            <w:r w:rsidRPr="00563B12">
                              <w:rPr>
                                <w:sz w:val="20"/>
                                <w:szCs w:val="20"/>
                                <w:vertAlign w:val="subscript"/>
                              </w:rPr>
                              <w:t>3r</w:t>
                            </w:r>
                            <w:r>
                              <w:rPr>
                                <w:sz w:val="20"/>
                                <w:szCs w:val="20"/>
                              </w:rPr>
                              <w:t>. Serine synthesis flux used to calculate glucose consumption by J</w:t>
                            </w:r>
                            <w:r w:rsidRPr="00563B12">
                              <w:rPr>
                                <w:sz w:val="20"/>
                                <w:szCs w:val="20"/>
                                <w:vertAlign w:val="subscript"/>
                              </w:rPr>
                              <w:t>1</w:t>
                            </w:r>
                            <w:r>
                              <w:rPr>
                                <w:sz w:val="20"/>
                                <w:szCs w:val="20"/>
                              </w:rPr>
                              <w:t xml:space="preserve"> and J</w:t>
                            </w:r>
                            <w:r w:rsidRPr="00563B12">
                              <w:rPr>
                                <w:sz w:val="20"/>
                                <w:szCs w:val="20"/>
                                <w:vertAlign w:val="subscript"/>
                              </w:rPr>
                              <w:t>3r</w:t>
                            </w:r>
                            <w:r>
                              <w:rPr>
                                <w:sz w:val="20"/>
                                <w:szCs w:val="20"/>
                              </w:rPr>
                              <w:t xml:space="preserve"> was then manually entered as the model calculated J</w:t>
                            </w:r>
                            <w:r w:rsidRPr="00563B12">
                              <w:rPr>
                                <w:sz w:val="20"/>
                                <w:szCs w:val="20"/>
                                <w:vertAlign w:val="subscript"/>
                              </w:rPr>
                              <w:t>19</w:t>
                            </w:r>
                            <w:r>
                              <w:rPr>
                                <w:sz w:val="20"/>
                                <w:szCs w:val="20"/>
                              </w:rPr>
                              <w:t xml:space="preserve"> from Eq. 39. The process was repeated until the user-entered estimate of J</w:t>
                            </w:r>
                            <w:r w:rsidRPr="00563B12">
                              <w:rPr>
                                <w:sz w:val="20"/>
                                <w:szCs w:val="20"/>
                                <w:vertAlign w:val="subscript"/>
                              </w:rPr>
                              <w:t>19</w:t>
                            </w:r>
                            <w:r>
                              <w:rPr>
                                <w:sz w:val="20"/>
                                <w:szCs w:val="20"/>
                              </w:rPr>
                              <w:t xml:space="preserve"> equaled the model calculated value.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39054A" id="_x0000_t202" coordsize="21600,21600" o:spt="202" path="m,l,21600r21600,l21600,xe">
                <v:stroke joinstyle="miter"/>
                <v:path gradientshapeok="t" o:connecttype="rect"/>
              </v:shapetype>
              <v:shape id="Text Box 2" o:spid="_x0000_s1026" type="#_x0000_t202" style="position:absolute;left:0;text-align:left;margin-left:25.5pt;margin-top:251.55pt;width:427.5pt;height:13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" stroked="f">
                <v:textbox>
                  <w:txbxContent>
                    <w:p w14:paraId="1070A49E" w14:textId="77777777" w:rsidR="00307520" w:rsidRPr="001F2DCF" w:rsidRDefault="00307520" w:rsidP="00307520">
                      <w:pPr>
                        <w:jc w:val="both"/>
                        <w:rPr>
                          <w:sz w:val="20"/>
                          <w:szCs w:val="20"/>
                        </w:rPr>
                      </w:pPr>
                      <w:r w:rsidRPr="001F2DCF">
                        <w:rPr>
                          <w:sz w:val="20"/>
                          <w:szCs w:val="20"/>
                        </w:rPr>
                        <w:t>Supplemental Figure 1. Iterative process to determining serine biosynthesis flux (J</w:t>
                      </w:r>
                      <w:r w:rsidRPr="00563B12">
                        <w:rPr>
                          <w:sz w:val="20"/>
                          <w:szCs w:val="20"/>
                          <w:vertAlign w:val="subscript"/>
                        </w:rPr>
                        <w:t>19</w:t>
                      </w:r>
                      <w:r w:rsidRPr="001F2DCF">
                        <w:rPr>
                          <w:sz w:val="20"/>
                          <w:szCs w:val="20"/>
                        </w:rPr>
                        <w:t>)</w:t>
                      </w:r>
                      <w:r>
                        <w:rPr>
                          <w:sz w:val="20"/>
                          <w:szCs w:val="20"/>
                        </w:rPr>
                        <w:t>. Flux through the oxidative pentose phosphate pathway (J</w:t>
                      </w:r>
                      <w:r w:rsidRPr="00563B12">
                        <w:rPr>
                          <w:sz w:val="20"/>
                          <w:szCs w:val="20"/>
                          <w:vertAlign w:val="subscript"/>
                        </w:rPr>
                        <w:t>1</w:t>
                      </w:r>
                      <w:r>
                        <w:rPr>
                          <w:sz w:val="20"/>
                          <w:szCs w:val="20"/>
                        </w:rPr>
                        <w:t>) and the reverse non-oxidative pentose phosphate pathway (J</w:t>
                      </w:r>
                      <w:r w:rsidRPr="00563B12">
                        <w:rPr>
                          <w:sz w:val="20"/>
                          <w:szCs w:val="20"/>
                          <w:vertAlign w:val="subscript"/>
                        </w:rPr>
                        <w:t>3r</w:t>
                      </w:r>
                      <w:r>
                        <w:rPr>
                          <w:sz w:val="20"/>
                          <w:szCs w:val="20"/>
                        </w:rPr>
                        <w:t>) depend in part on J</w:t>
                      </w:r>
                      <w:r w:rsidRPr="00563B12">
                        <w:rPr>
                          <w:sz w:val="20"/>
                          <w:szCs w:val="20"/>
                          <w:vertAlign w:val="subscript"/>
                        </w:rPr>
                        <w:t>19</w:t>
                      </w:r>
                      <w:r>
                        <w:rPr>
                          <w:sz w:val="20"/>
                          <w:szCs w:val="20"/>
                        </w:rPr>
                        <w:t>, but J</w:t>
                      </w:r>
                      <w:r w:rsidRPr="00563B12">
                        <w:rPr>
                          <w:sz w:val="20"/>
                          <w:szCs w:val="20"/>
                          <w:vertAlign w:val="subscript"/>
                        </w:rPr>
                        <w:t>19</w:t>
                      </w:r>
                      <w:r>
                        <w:rPr>
                          <w:sz w:val="20"/>
                          <w:szCs w:val="20"/>
                        </w:rPr>
                        <w:t xml:space="preserve"> depends on glycine flux to serine in the folate cycle (J</w:t>
                      </w:r>
                      <w:r w:rsidRPr="00563B12">
                        <w:rPr>
                          <w:sz w:val="20"/>
                          <w:szCs w:val="20"/>
                          <w:vertAlign w:val="subscript"/>
                        </w:rPr>
                        <w:t>25</w:t>
                      </w:r>
                      <w:r>
                        <w:rPr>
                          <w:sz w:val="20"/>
                          <w:szCs w:val="20"/>
                        </w:rPr>
                        <w:t>), which in turn depends on serine flux to glycine in the folate cycle (J</w:t>
                      </w:r>
                      <w:r w:rsidRPr="00563B12">
                        <w:rPr>
                          <w:sz w:val="20"/>
                          <w:szCs w:val="20"/>
                          <w:vertAlign w:val="subscript"/>
                        </w:rPr>
                        <w:t>21</w:t>
                      </w:r>
                      <w:r>
                        <w:rPr>
                          <w:sz w:val="20"/>
                          <w:szCs w:val="20"/>
                        </w:rPr>
                        <w:t>). J</w:t>
                      </w:r>
                      <w:r w:rsidRPr="00563B12">
                        <w:rPr>
                          <w:sz w:val="20"/>
                          <w:szCs w:val="20"/>
                          <w:vertAlign w:val="subscript"/>
                        </w:rPr>
                        <w:t>21</w:t>
                      </w:r>
                      <w:r>
                        <w:rPr>
                          <w:sz w:val="20"/>
                          <w:szCs w:val="20"/>
                        </w:rPr>
                        <w:t xml:space="preserve"> depends on the flux of pentose phosphates to nucleotides (J</w:t>
                      </w:r>
                      <w:r w:rsidRPr="00563B12">
                        <w:rPr>
                          <w:sz w:val="20"/>
                          <w:szCs w:val="20"/>
                          <w:vertAlign w:val="subscript"/>
                        </w:rPr>
                        <w:t>9</w:t>
                      </w:r>
                      <w:r>
                        <w:rPr>
                          <w:sz w:val="20"/>
                          <w:szCs w:val="20"/>
                        </w:rPr>
                        <w:t>), the latter of which is calculated from J</w:t>
                      </w:r>
                      <w:r w:rsidRPr="00563B12">
                        <w:rPr>
                          <w:sz w:val="20"/>
                          <w:szCs w:val="20"/>
                          <w:vertAlign w:val="subscript"/>
                        </w:rPr>
                        <w:t>1</w:t>
                      </w:r>
                      <w:r>
                        <w:rPr>
                          <w:sz w:val="20"/>
                          <w:szCs w:val="20"/>
                        </w:rPr>
                        <w:t>. As a result, the first iteration of Model 3 was run with J</w:t>
                      </w:r>
                      <w:r w:rsidRPr="00563B12">
                        <w:rPr>
                          <w:sz w:val="20"/>
                          <w:szCs w:val="20"/>
                          <w:vertAlign w:val="subscript"/>
                        </w:rPr>
                        <w:t>19</w:t>
                      </w:r>
                      <w:r>
                        <w:rPr>
                          <w:sz w:val="20"/>
                          <w:szCs w:val="20"/>
                        </w:rPr>
                        <w:t xml:space="preserve"> set to zero, results in overestimation of glucose consumption by J</w:t>
                      </w:r>
                      <w:r w:rsidRPr="00563B12">
                        <w:rPr>
                          <w:sz w:val="20"/>
                          <w:szCs w:val="20"/>
                          <w:vertAlign w:val="subscript"/>
                        </w:rPr>
                        <w:t>1</w:t>
                      </w:r>
                      <w:r>
                        <w:rPr>
                          <w:sz w:val="20"/>
                          <w:szCs w:val="20"/>
                        </w:rPr>
                        <w:t xml:space="preserve"> and J</w:t>
                      </w:r>
                      <w:r w:rsidRPr="00563B12">
                        <w:rPr>
                          <w:sz w:val="20"/>
                          <w:szCs w:val="20"/>
                          <w:vertAlign w:val="subscript"/>
                        </w:rPr>
                        <w:t>3r</w:t>
                      </w:r>
                      <w:r>
                        <w:rPr>
                          <w:sz w:val="20"/>
                          <w:szCs w:val="20"/>
                        </w:rPr>
                        <w:t>. Serine synthesis flux used to calculate glucose consumption by J</w:t>
                      </w:r>
                      <w:r w:rsidRPr="00563B12">
                        <w:rPr>
                          <w:sz w:val="20"/>
                          <w:szCs w:val="20"/>
                          <w:vertAlign w:val="subscript"/>
                        </w:rPr>
                        <w:t>1</w:t>
                      </w:r>
                      <w:r>
                        <w:rPr>
                          <w:sz w:val="20"/>
                          <w:szCs w:val="20"/>
                        </w:rPr>
                        <w:t xml:space="preserve"> and J</w:t>
                      </w:r>
                      <w:r w:rsidRPr="00563B12">
                        <w:rPr>
                          <w:sz w:val="20"/>
                          <w:szCs w:val="20"/>
                          <w:vertAlign w:val="subscript"/>
                        </w:rPr>
                        <w:t>3r</w:t>
                      </w:r>
                      <w:r>
                        <w:rPr>
                          <w:sz w:val="20"/>
                          <w:szCs w:val="20"/>
                        </w:rPr>
                        <w:t xml:space="preserve"> was then manually entered as the model calculated J</w:t>
                      </w:r>
                      <w:r w:rsidRPr="00563B12">
                        <w:rPr>
                          <w:sz w:val="20"/>
                          <w:szCs w:val="20"/>
                          <w:vertAlign w:val="subscript"/>
                        </w:rPr>
                        <w:t>19</w:t>
                      </w:r>
                      <w:r>
                        <w:rPr>
                          <w:sz w:val="20"/>
                          <w:szCs w:val="20"/>
                        </w:rPr>
                        <w:t xml:space="preserve"> from Eq. 39. The process was repeated until the user-entered estimate of J</w:t>
                      </w:r>
                      <w:r w:rsidRPr="00563B12">
                        <w:rPr>
                          <w:sz w:val="20"/>
                          <w:szCs w:val="20"/>
                          <w:vertAlign w:val="subscript"/>
                        </w:rPr>
                        <w:t>19</w:t>
                      </w:r>
                      <w:r>
                        <w:rPr>
                          <w:sz w:val="20"/>
                          <w:szCs w:val="20"/>
                        </w:rPr>
                        <w:t xml:space="preserve"> equaled the model calculated value.</w:t>
                      </w:r>
                    </w:p>
                  </w:txbxContent>
                </v:textbox>
                <w10:wrap type="square"/>
              </v:shape>
            </w:pict>
          </mc:Fallback>
        </mc:AlternateContent>
      </w:r>
      <w:r>
        <w:rPr>
          <w:rFonts w:cstheme="minorHAnsi"/>
          <w:noProof/>
        </w:rPr>
        <w:t>The solution for</w:t>
      </w:r>
      <w:r>
        <w:rPr>
          <w:rFonts w:cstheme="minorHAnsi"/>
        </w:rPr>
        <w:t xml:space="preserve"> J</w:t>
      </w:r>
      <w:r w:rsidRPr="00563B12">
        <w:rPr>
          <w:rFonts w:cstheme="minorHAnsi"/>
          <w:vertAlign w:val="subscript"/>
        </w:rPr>
        <w:t>19</w:t>
      </w:r>
      <w:r>
        <w:rPr>
          <w:rFonts w:cstheme="minorHAnsi"/>
        </w:rPr>
        <w:t xml:space="preserve"> involved an iterative process within Model 3 because of the interdependence of fluxes [J</w:t>
      </w:r>
      <w:r w:rsidRPr="00563B12">
        <w:rPr>
          <w:rFonts w:cstheme="minorHAnsi"/>
          <w:vertAlign w:val="subscript"/>
        </w:rPr>
        <w:t>1</w:t>
      </w:r>
      <w:r>
        <w:rPr>
          <w:rFonts w:cstheme="minorHAnsi"/>
        </w:rPr>
        <w:t xml:space="preserve"> + (J</w:t>
      </w:r>
      <w:r w:rsidRPr="00563B12">
        <w:rPr>
          <w:rFonts w:cstheme="minorHAnsi"/>
          <w:vertAlign w:val="subscript"/>
        </w:rPr>
        <w:t>3r</w:t>
      </w:r>
      <w:r>
        <w:rPr>
          <w:rFonts w:cstheme="minorHAnsi"/>
        </w:rPr>
        <w:t xml:space="preserve"> – J</w:t>
      </w:r>
      <w:r w:rsidRPr="00563B12">
        <w:rPr>
          <w:rFonts w:cstheme="minorHAnsi"/>
          <w:vertAlign w:val="subscript"/>
        </w:rPr>
        <w:t>3f</w:t>
      </w:r>
      <w:r>
        <w:rPr>
          <w:rFonts w:cstheme="minorHAnsi"/>
        </w:rPr>
        <w:t>)], J</w:t>
      </w:r>
      <w:r w:rsidRPr="00563B12">
        <w:rPr>
          <w:rFonts w:cstheme="minorHAnsi"/>
          <w:vertAlign w:val="subscript"/>
        </w:rPr>
        <w:t>9</w:t>
      </w:r>
      <w:r>
        <w:rPr>
          <w:rFonts w:cstheme="minorHAnsi"/>
        </w:rPr>
        <w:t>, J</w:t>
      </w:r>
      <w:r w:rsidRPr="00563B12">
        <w:rPr>
          <w:rFonts w:cstheme="minorHAnsi"/>
          <w:vertAlign w:val="subscript"/>
        </w:rPr>
        <w:t>21</w:t>
      </w:r>
      <w:r>
        <w:rPr>
          <w:rFonts w:cstheme="minorHAnsi"/>
        </w:rPr>
        <w:t>, and J</w:t>
      </w:r>
      <w:r w:rsidRPr="00563B12">
        <w:rPr>
          <w:rFonts w:cstheme="minorHAnsi"/>
          <w:vertAlign w:val="subscript"/>
        </w:rPr>
        <w:t>19</w:t>
      </w:r>
      <w:r>
        <w:rPr>
          <w:rFonts w:cstheme="minorHAnsi"/>
        </w:rPr>
        <w:t xml:space="preserve"> (Supplemental Fig. 1). </w:t>
      </w:r>
    </w:p>
    <w:p w14:paraId="28A5889C" w14:textId="77777777" w:rsidR="00307520" w:rsidRDefault="00307520" w:rsidP="00307520">
      <w:pPr>
        <w:spacing w:line="480" w:lineRule="auto"/>
        <w:jc w:val="both"/>
        <w:rPr>
          <w:rFonts w:cstheme="minorHAnsi"/>
        </w:rPr>
      </w:pPr>
      <w:r>
        <w:rPr>
          <w:rFonts w:cstheme="minorHAnsi"/>
          <w:noProof/>
        </w:rPr>
        <w:drawing>
          <wp:anchor distT="0" distB="0" distL="114300" distR="114300" simplePos="0" relativeHeight="251660288" behindDoc="0" locked="0" layoutInCell="1" allowOverlap="1" wp14:anchorId="4494D787" wp14:editId="1D1D2F5C">
            <wp:simplePos x="914400" y="2305050"/>
            <wp:positionH relativeFrom="margin">
              <wp:align>center</wp:align>
            </wp:positionH>
            <wp:positionV relativeFrom="paragraph">
              <wp:posOffset>0</wp:posOffset>
            </wp:positionV>
            <wp:extent cx="3264408" cy="2414016"/>
            <wp:effectExtent l="0" t="0" r="0" b="571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 Fig1.jpg"/>
                    <pic:cNvPicPr/>
                  </pic:nvPicPr>
                  <pic:blipFill rotWithShape="1">
                    <a:blip r:embed="rId7">
                      <a:extLst>
                        <a:ext uri="{28A0092B-C50C-407E-A947-70E740481C1C}">
                          <a14:useLocalDpi xmlns:a14="http://schemas.microsoft.com/office/drawing/2010/main" val="0"/>
                        </a:ext>
                      </a:extLst>
                    </a:blip>
                    <a:srcRect l="22275" t="13390" r="39423" b="36182"/>
                    <a:stretch/>
                  </pic:blipFill>
                  <pic:spPr bwMode="auto">
                    <a:xfrm>
                      <a:off x="0" y="0"/>
                      <a:ext cx="3264408" cy="24140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76995F" w14:textId="77777777" w:rsidR="00307520" w:rsidRDefault="00307520" w:rsidP="00307520">
      <w:pPr>
        <w:spacing w:line="480" w:lineRule="auto"/>
        <w:jc w:val="both"/>
        <w:rPr>
          <w:rFonts w:cstheme="minorHAnsi"/>
        </w:rPr>
      </w:pPr>
      <w:r>
        <w:rPr>
          <w:rFonts w:cstheme="minorHAnsi"/>
        </w:rPr>
        <w:t>The contribution of endogenous serine to labeling of the serine pool (J</w:t>
      </w:r>
      <w:r w:rsidRPr="00563B12">
        <w:rPr>
          <w:rFonts w:cstheme="minorHAnsi"/>
          <w:vertAlign w:val="subscript"/>
        </w:rPr>
        <w:t>20</w:t>
      </w:r>
      <w:r>
        <w:rPr>
          <w:rFonts w:cstheme="minorHAnsi"/>
        </w:rPr>
        <w:t>) is determined from Eq. 5 (see Methods).</w:t>
      </w:r>
    </w:p>
    <w:p w14:paraId="6DE6B40A"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20</m:t>
            </m:r>
          </m:sub>
        </m:sSub>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1-P</m:t>
            </m:r>
          </m:num>
          <m:den>
            <m:r>
              <w:rPr>
                <w:rFonts w:ascii="Cambria Math" w:hAnsi="Cambria Math" w:cstheme="minorHAnsi"/>
                <w:sz w:val="28"/>
                <w:szCs w:val="28"/>
              </w:rPr>
              <m:t>P</m:t>
            </m:r>
          </m:den>
        </m:f>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19</m:t>
            </m:r>
          </m:sub>
        </m:sSub>
      </m:oMath>
      <w:r>
        <w:rPr>
          <w:rFonts w:cstheme="minorHAnsi"/>
        </w:rPr>
        <w:t xml:space="preserve">                                                           (Eq. 40)</w:t>
      </w:r>
    </w:p>
    <w:p w14:paraId="4695DE71" w14:textId="77777777" w:rsidR="00307520" w:rsidRDefault="00307520" w:rsidP="00307520">
      <w:pPr>
        <w:spacing w:line="480" w:lineRule="auto"/>
        <w:jc w:val="both"/>
        <w:rPr>
          <w:rFonts w:cstheme="minorHAnsi"/>
        </w:rPr>
      </w:pPr>
      <w:r>
        <w:rPr>
          <w:rFonts w:cstheme="minorHAnsi"/>
        </w:rPr>
        <w:t>Lower glycolytic flux from 3PG to pyruvate (J</w:t>
      </w:r>
      <w:r w:rsidRPr="00563B12">
        <w:rPr>
          <w:rFonts w:cstheme="minorHAnsi"/>
          <w:vertAlign w:val="subscript"/>
        </w:rPr>
        <w:t>2c</w:t>
      </w:r>
      <w:r>
        <w:rPr>
          <w:rFonts w:cstheme="minorHAnsi"/>
        </w:rPr>
        <w:t>) was calculated from mass balance of pyruvate.</w:t>
      </w:r>
    </w:p>
    <w:p w14:paraId="7E8363CC"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2c</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4</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5</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7</m:t>
            </m:r>
          </m:sub>
        </m:sSub>
      </m:oMath>
      <w:r>
        <w:rPr>
          <w:rFonts w:cstheme="minorHAnsi"/>
        </w:rPr>
        <w:t xml:space="preserve">                                                      (Eq. 41)</w:t>
      </w:r>
    </w:p>
    <w:p w14:paraId="119885A5" w14:textId="77777777" w:rsidR="00307520" w:rsidRDefault="00307520" w:rsidP="00307520">
      <w:pPr>
        <w:spacing w:line="480" w:lineRule="auto"/>
        <w:jc w:val="both"/>
        <w:rPr>
          <w:rFonts w:cstheme="minorHAnsi"/>
        </w:rPr>
      </w:pPr>
      <w:r>
        <w:rPr>
          <w:rFonts w:cstheme="minorHAnsi"/>
        </w:rPr>
        <w:lastRenderedPageBreak/>
        <w:t xml:space="preserve">Middle glycolytic flux from </w:t>
      </w:r>
      <w:proofErr w:type="spellStart"/>
      <w:r>
        <w:rPr>
          <w:rFonts w:cstheme="minorHAnsi"/>
        </w:rPr>
        <w:t>TrP</w:t>
      </w:r>
      <w:proofErr w:type="spellEnd"/>
      <w:r>
        <w:rPr>
          <w:rFonts w:cstheme="minorHAnsi"/>
        </w:rPr>
        <w:t xml:space="preserve"> to 3PG (J</w:t>
      </w:r>
      <w:r w:rsidRPr="00563B12">
        <w:rPr>
          <w:rFonts w:cstheme="minorHAnsi"/>
          <w:vertAlign w:val="subscript"/>
        </w:rPr>
        <w:t>2b</w:t>
      </w:r>
      <w:r>
        <w:rPr>
          <w:rFonts w:cstheme="minorHAnsi"/>
        </w:rPr>
        <w:t>) accounts for J</w:t>
      </w:r>
      <w:r w:rsidRPr="00563B12">
        <w:rPr>
          <w:rFonts w:cstheme="minorHAnsi"/>
          <w:vertAlign w:val="subscript"/>
        </w:rPr>
        <w:t>19</w:t>
      </w:r>
      <w:r>
        <w:rPr>
          <w:rFonts w:cstheme="minorHAnsi"/>
        </w:rPr>
        <w:t>.</w:t>
      </w:r>
    </w:p>
    <w:p w14:paraId="234BBA39"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2b</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2c</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19</m:t>
            </m:r>
          </m:sub>
        </m:sSub>
      </m:oMath>
      <w:r>
        <w:rPr>
          <w:rFonts w:cstheme="minorHAnsi"/>
        </w:rPr>
        <w:t xml:space="preserve">                                                        (Eq. 42)</w:t>
      </w:r>
    </w:p>
    <w:p w14:paraId="2B33E7C9" w14:textId="77777777" w:rsidR="00307520" w:rsidRDefault="00307520" w:rsidP="00307520">
      <w:pPr>
        <w:spacing w:line="480" w:lineRule="auto"/>
        <w:jc w:val="both"/>
        <w:rPr>
          <w:rFonts w:cstheme="minorHAnsi"/>
        </w:rPr>
      </w:pPr>
      <w:r>
        <w:rPr>
          <w:rFonts w:cstheme="minorHAnsi"/>
        </w:rPr>
        <w:t xml:space="preserve">Upper glycolytic flux from </w:t>
      </w:r>
      <w:proofErr w:type="spellStart"/>
      <w:r>
        <w:rPr>
          <w:rFonts w:cstheme="minorHAnsi"/>
        </w:rPr>
        <w:t>HxP</w:t>
      </w:r>
      <w:proofErr w:type="spellEnd"/>
      <w:r>
        <w:rPr>
          <w:rFonts w:cstheme="minorHAnsi"/>
        </w:rPr>
        <w:t xml:space="preserve"> to </w:t>
      </w:r>
      <w:proofErr w:type="spellStart"/>
      <w:r>
        <w:rPr>
          <w:rFonts w:cstheme="minorHAnsi"/>
        </w:rPr>
        <w:t>TrP</w:t>
      </w:r>
      <w:proofErr w:type="spellEnd"/>
      <w:r>
        <w:rPr>
          <w:rFonts w:cstheme="minorHAnsi"/>
        </w:rPr>
        <w:t xml:space="preserve"> (J</w:t>
      </w:r>
      <w:r w:rsidRPr="00563B12">
        <w:rPr>
          <w:rFonts w:cstheme="minorHAnsi"/>
          <w:vertAlign w:val="subscript"/>
        </w:rPr>
        <w:t>2a</w:t>
      </w:r>
      <w:r>
        <w:rPr>
          <w:rFonts w:cstheme="minorHAnsi"/>
        </w:rPr>
        <w:t xml:space="preserve">, in units of </w:t>
      </w:r>
      <w:proofErr w:type="spellStart"/>
      <w:r>
        <w:rPr>
          <w:rFonts w:cstheme="minorHAnsi"/>
        </w:rPr>
        <w:t>HxP</w:t>
      </w:r>
      <w:proofErr w:type="spellEnd"/>
      <w:r>
        <w:rPr>
          <w:rFonts w:cstheme="minorHAnsi"/>
        </w:rPr>
        <w:t xml:space="preserve"> consumed/min x mg) was calculated from the mass balance of </w:t>
      </w:r>
      <w:proofErr w:type="spellStart"/>
      <w:r>
        <w:rPr>
          <w:rFonts w:cstheme="minorHAnsi"/>
        </w:rPr>
        <w:t>TrP.</w:t>
      </w:r>
      <w:proofErr w:type="spellEnd"/>
    </w:p>
    <w:p w14:paraId="014FE403"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2a</m:t>
            </m:r>
          </m:sub>
        </m:sSub>
        <m:r>
          <w:rPr>
            <w:rFonts w:ascii="Cambria Math" w:hAnsi="Cambria Math" w:cstheme="minorHAnsi"/>
            <w:sz w:val="28"/>
            <w:szCs w:val="28"/>
          </w:rPr>
          <m:t>=0.5*(</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2b</m:t>
            </m:r>
          </m:sub>
        </m:sSub>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1</m:t>
            </m:r>
          </m:num>
          <m:den>
            <m:r>
              <w:rPr>
                <w:rFonts w:ascii="Cambria Math" w:hAnsi="Cambria Math" w:cstheme="minorHAnsi"/>
                <w:sz w:val="28"/>
                <w:szCs w:val="28"/>
              </w:rPr>
              <m:t>3</m:t>
            </m:r>
          </m:den>
        </m:f>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3r</m:t>
            </m:r>
          </m:sub>
        </m:sSub>
        <m:r>
          <w:rPr>
            <w:rFonts w:ascii="Cambria Math" w:hAnsi="Cambria Math" w:cstheme="minorHAnsi"/>
            <w:sz w:val="28"/>
            <w:szCs w:val="28"/>
          </w:rPr>
          <m:t>-</m:t>
        </m:r>
        <m:f>
          <m:fPr>
            <m:ctrlPr>
              <w:rPr>
                <w:rFonts w:ascii="Cambria Math" w:hAnsi="Cambria Math" w:cstheme="minorHAnsi"/>
                <w:i/>
                <w:sz w:val="28"/>
                <w:szCs w:val="28"/>
              </w:rPr>
            </m:ctrlPr>
          </m:fPr>
          <m:num>
            <m:r>
              <w:rPr>
                <w:rFonts w:ascii="Cambria Math" w:hAnsi="Cambria Math" w:cstheme="minorHAnsi"/>
                <w:sz w:val="28"/>
                <w:szCs w:val="28"/>
              </w:rPr>
              <m:t>1</m:t>
            </m:r>
          </m:num>
          <m:den>
            <m:r>
              <w:rPr>
                <w:rFonts w:ascii="Cambria Math" w:hAnsi="Cambria Math" w:cstheme="minorHAnsi"/>
                <w:sz w:val="28"/>
                <w:szCs w:val="28"/>
              </w:rPr>
              <m:t>3</m:t>
            </m:r>
          </m:den>
        </m:f>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3f</m:t>
            </m:r>
          </m:sub>
        </m:sSub>
        <m:r>
          <w:rPr>
            <w:rFonts w:ascii="Cambria Math" w:hAnsi="Cambria Math" w:cstheme="minorHAnsi"/>
            <w:sz w:val="28"/>
            <w:szCs w:val="28"/>
          </w:rPr>
          <m:t>)</m:t>
        </m:r>
      </m:oMath>
      <w:r>
        <w:rPr>
          <w:rFonts w:cstheme="minorHAnsi"/>
        </w:rPr>
        <w:t xml:space="preserve">                                    (Eq. 43)</w:t>
      </w:r>
    </w:p>
    <w:p w14:paraId="70EB0055" w14:textId="77777777" w:rsidR="00307520" w:rsidRDefault="00307520" w:rsidP="00307520">
      <w:pPr>
        <w:spacing w:line="480" w:lineRule="auto"/>
        <w:jc w:val="both"/>
        <w:rPr>
          <w:rFonts w:cstheme="minorHAnsi"/>
        </w:rPr>
      </w:pPr>
      <w:r>
        <w:rPr>
          <w:rFonts w:cstheme="minorHAnsi"/>
        </w:rPr>
        <w:t xml:space="preserve">It was assumed that all </w:t>
      </w:r>
      <w:r>
        <w:rPr>
          <w:rFonts w:cstheme="minorHAnsi"/>
        </w:rPr>
        <w:sym w:font="Symbol" w:char="F061"/>
      </w:r>
      <w:r>
        <w:rPr>
          <w:rFonts w:cstheme="minorHAnsi"/>
        </w:rPr>
        <w:t>-ketoglutarate entering the TCA cycle through J</w:t>
      </w:r>
      <w:r w:rsidRPr="00563B12">
        <w:rPr>
          <w:rFonts w:cstheme="minorHAnsi"/>
          <w:vertAlign w:val="subscript"/>
        </w:rPr>
        <w:t>11a</w:t>
      </w:r>
      <w:r>
        <w:rPr>
          <w:rFonts w:cstheme="minorHAnsi"/>
        </w:rPr>
        <w:t xml:space="preserve"> and J</w:t>
      </w:r>
      <w:r w:rsidRPr="00563B12">
        <w:rPr>
          <w:rFonts w:cstheme="minorHAnsi"/>
          <w:vertAlign w:val="subscript"/>
        </w:rPr>
        <w:t>11b</w:t>
      </w:r>
      <w:r>
        <w:rPr>
          <w:rFonts w:cstheme="minorHAnsi"/>
        </w:rPr>
        <w:t xml:space="preserve"> was derived from the consumption of exogenous [5-</w:t>
      </w:r>
      <w:r w:rsidRPr="00563B12">
        <w:rPr>
          <w:rFonts w:cstheme="minorHAnsi"/>
          <w:vertAlign w:val="superscript"/>
        </w:rPr>
        <w:t>13</w:t>
      </w:r>
      <w:r>
        <w:rPr>
          <w:rFonts w:cstheme="minorHAnsi"/>
        </w:rPr>
        <w:t>C] glutamine (J</w:t>
      </w:r>
      <w:r w:rsidRPr="00563B12">
        <w:rPr>
          <w:rFonts w:cstheme="minorHAnsi"/>
          <w:vertAlign w:val="subscript"/>
        </w:rPr>
        <w:t>10</w:t>
      </w:r>
      <w:r>
        <w:rPr>
          <w:rFonts w:cstheme="minorHAnsi"/>
        </w:rPr>
        <w:t>). Glutamine consumption accounted for by J</w:t>
      </w:r>
      <w:r w:rsidRPr="00563B12">
        <w:rPr>
          <w:rFonts w:cstheme="minorHAnsi"/>
          <w:vertAlign w:val="subscript"/>
        </w:rPr>
        <w:t>11a</w:t>
      </w:r>
      <w:r>
        <w:rPr>
          <w:rFonts w:cstheme="minorHAnsi"/>
        </w:rPr>
        <w:t>, J</w:t>
      </w:r>
      <w:r w:rsidRPr="00563B12">
        <w:rPr>
          <w:rFonts w:cstheme="minorHAnsi"/>
          <w:vertAlign w:val="subscript"/>
        </w:rPr>
        <w:t>11b</w:t>
      </w:r>
      <w:r>
        <w:rPr>
          <w:rFonts w:cstheme="minorHAnsi"/>
        </w:rPr>
        <w:t>, and J</w:t>
      </w:r>
      <w:r w:rsidRPr="00563B12">
        <w:rPr>
          <w:rFonts w:cstheme="minorHAnsi"/>
          <w:vertAlign w:val="subscript"/>
        </w:rPr>
        <w:t>18</w:t>
      </w:r>
      <w:r>
        <w:rPr>
          <w:rFonts w:cstheme="minorHAnsi"/>
        </w:rPr>
        <w:t xml:space="preserve"> was designated as J</w:t>
      </w:r>
      <w:r w:rsidRPr="00563B12">
        <w:rPr>
          <w:rFonts w:cstheme="minorHAnsi"/>
          <w:vertAlign w:val="subscript"/>
        </w:rPr>
        <w:t>10a</w:t>
      </w:r>
      <w:r>
        <w:rPr>
          <w:rFonts w:cstheme="minorHAnsi"/>
        </w:rPr>
        <w:t>, while the remaining unaccounted-for consumption was designated J</w:t>
      </w:r>
      <w:r w:rsidRPr="00563B12">
        <w:rPr>
          <w:rFonts w:cstheme="minorHAnsi"/>
          <w:vertAlign w:val="subscript"/>
        </w:rPr>
        <w:t>10b</w:t>
      </w:r>
      <w:r>
        <w:rPr>
          <w:rFonts w:cstheme="minorHAnsi"/>
        </w:rPr>
        <w:t>.</w:t>
      </w:r>
    </w:p>
    <w:p w14:paraId="0278B465"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10a</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11a</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11b</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18</m:t>
            </m:r>
          </m:sub>
        </m:sSub>
      </m:oMath>
      <w:r>
        <w:rPr>
          <w:rFonts w:cstheme="minorHAnsi"/>
        </w:rPr>
        <w:t xml:space="preserve">                                               (Eq. 44)</w:t>
      </w:r>
    </w:p>
    <w:p w14:paraId="6BAD3AEA"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10b</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10</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10a</m:t>
            </m:r>
          </m:sub>
        </m:sSub>
      </m:oMath>
      <w:r>
        <w:rPr>
          <w:rFonts w:cstheme="minorHAnsi"/>
        </w:rPr>
        <w:t xml:space="preserve">                                                      (Eq. 45)</w:t>
      </w:r>
    </w:p>
    <w:p w14:paraId="6FBA1400" w14:textId="77777777" w:rsidR="00307520" w:rsidRDefault="00307520" w:rsidP="00307520">
      <w:pPr>
        <w:spacing w:line="480" w:lineRule="auto"/>
        <w:jc w:val="both"/>
        <w:rPr>
          <w:rFonts w:cstheme="minorHAnsi"/>
        </w:rPr>
      </w:pPr>
      <w:r>
        <w:rPr>
          <w:rFonts w:cstheme="minorHAnsi"/>
        </w:rPr>
        <w:t>One important constraint of Model 3 (and Model 1) was that the calculated mitochondrial respiration rate, based on reducing equivalents generated by pyruvate dehydrogenase, the TCA cycle, and glycolysis, had to equal the measured rate. The stoichiometry of mitochondrial reducing equivalents from pyruvate oxidation was constant, but that from glutamine consumption coupled to malate production for J</w:t>
      </w:r>
      <w:r w:rsidRPr="00563B12">
        <w:rPr>
          <w:rFonts w:cstheme="minorHAnsi"/>
          <w:vertAlign w:val="subscript"/>
        </w:rPr>
        <w:t>7</w:t>
      </w:r>
      <w:r>
        <w:rPr>
          <w:rFonts w:cstheme="minorHAnsi"/>
        </w:rPr>
        <w:t xml:space="preserve"> and citrate production for fatty acid synthesis (via J</w:t>
      </w:r>
      <w:r w:rsidRPr="00563B12">
        <w:rPr>
          <w:rFonts w:cstheme="minorHAnsi"/>
          <w:vertAlign w:val="subscript"/>
        </w:rPr>
        <w:t>12r</w:t>
      </w:r>
      <w:r>
        <w:rPr>
          <w:rFonts w:cstheme="minorHAnsi"/>
        </w:rPr>
        <w:t xml:space="preserve">) could vary, depending on the fraction of </w:t>
      </w:r>
      <w:r>
        <w:rPr>
          <w:rFonts w:cstheme="minorHAnsi"/>
        </w:rPr>
        <w:sym w:font="Symbol" w:char="F061"/>
      </w:r>
      <w:r>
        <w:rPr>
          <w:rFonts w:cstheme="minorHAnsi"/>
        </w:rPr>
        <w:t>-ketoglutarate supplied by glutamate dehydrogenase (J</w:t>
      </w:r>
      <w:r w:rsidRPr="00C26927">
        <w:rPr>
          <w:rFonts w:cstheme="minorHAnsi"/>
          <w:vertAlign w:val="subscript"/>
        </w:rPr>
        <w:t>11a</w:t>
      </w:r>
      <w:r>
        <w:rPr>
          <w:rFonts w:cstheme="minorHAnsi"/>
        </w:rPr>
        <w:t>) vs. serine synthesis (J</w:t>
      </w:r>
      <w:r w:rsidRPr="00C26927">
        <w:rPr>
          <w:rFonts w:cstheme="minorHAnsi"/>
          <w:vertAlign w:val="subscript"/>
        </w:rPr>
        <w:t>11b</w:t>
      </w:r>
      <w:r>
        <w:rPr>
          <w:rFonts w:cstheme="minorHAnsi"/>
        </w:rPr>
        <w:t xml:space="preserve">). Three reducing equivalents are coupled with </w:t>
      </w:r>
      <w:r>
        <w:rPr>
          <w:rFonts w:cstheme="minorHAnsi"/>
        </w:rPr>
        <w:sym w:font="Symbol" w:char="F061"/>
      </w:r>
      <w:r>
        <w:rPr>
          <w:rFonts w:cstheme="minorHAnsi"/>
        </w:rPr>
        <w:t>-ketoglutarate from J</w:t>
      </w:r>
      <w:r w:rsidRPr="008F3AC0">
        <w:rPr>
          <w:rFonts w:cstheme="minorHAnsi"/>
          <w:vertAlign w:val="subscript"/>
        </w:rPr>
        <w:t>11a</w:t>
      </w:r>
      <w:r>
        <w:rPr>
          <w:rFonts w:cstheme="minorHAnsi"/>
        </w:rPr>
        <w:t xml:space="preserve"> and its subsequent conversion to malate in the TCA cycle, whereas only two mitochondrial reducing equivalents are coupled to J</w:t>
      </w:r>
      <w:r w:rsidRPr="008F3AC0">
        <w:rPr>
          <w:rFonts w:cstheme="minorHAnsi"/>
          <w:vertAlign w:val="subscript"/>
        </w:rPr>
        <w:t>11b</w:t>
      </w:r>
      <w:r>
        <w:rPr>
          <w:rFonts w:cstheme="minorHAnsi"/>
        </w:rPr>
        <w:t xml:space="preserve"> since </w:t>
      </w:r>
      <w:r>
        <w:rPr>
          <w:rFonts w:cstheme="minorHAnsi"/>
        </w:rPr>
        <w:sym w:font="Symbol" w:char="F061"/>
      </w:r>
      <w:r>
        <w:rPr>
          <w:rFonts w:cstheme="minorHAnsi"/>
        </w:rPr>
        <w:t>-ketoglutarate production by J</w:t>
      </w:r>
      <w:r w:rsidRPr="008F3AC0">
        <w:rPr>
          <w:rFonts w:cstheme="minorHAnsi"/>
          <w:vertAlign w:val="subscript"/>
        </w:rPr>
        <w:t>19</w:t>
      </w:r>
      <w:r>
        <w:rPr>
          <w:rFonts w:cstheme="minorHAnsi"/>
        </w:rPr>
        <w:t xml:space="preserve"> yields one cytoplasmic reducing equivalent. Similarly, one mitochondrial reducing equivalent is coupled to </w:t>
      </w:r>
      <w:r>
        <w:rPr>
          <w:rFonts w:cstheme="minorHAnsi"/>
        </w:rPr>
        <w:sym w:font="Symbol" w:char="F061"/>
      </w:r>
      <w:r>
        <w:rPr>
          <w:rFonts w:cstheme="minorHAnsi"/>
        </w:rPr>
        <w:t>-ketoglutarate supply by J</w:t>
      </w:r>
      <w:r w:rsidRPr="008F3AC0">
        <w:rPr>
          <w:rFonts w:cstheme="minorHAnsi"/>
          <w:vertAlign w:val="subscript"/>
        </w:rPr>
        <w:t>11a</w:t>
      </w:r>
      <w:r>
        <w:rPr>
          <w:rFonts w:cstheme="minorHAnsi"/>
        </w:rPr>
        <w:t xml:space="preserve"> that is reductively </w:t>
      </w:r>
      <w:proofErr w:type="spellStart"/>
      <w:r>
        <w:rPr>
          <w:rFonts w:cstheme="minorHAnsi"/>
        </w:rPr>
        <w:t>carboxylated</w:t>
      </w:r>
      <w:proofErr w:type="spellEnd"/>
      <w:r>
        <w:rPr>
          <w:rFonts w:cstheme="minorHAnsi"/>
        </w:rPr>
        <w:t xml:space="preserve"> to citrate for fatty acid synthesis, whereas no mitochondrial reducing equivalents are coupled to J</w:t>
      </w:r>
      <w:r w:rsidRPr="008F3AC0">
        <w:rPr>
          <w:rFonts w:cstheme="minorHAnsi"/>
          <w:vertAlign w:val="subscript"/>
        </w:rPr>
        <w:t>12r</w:t>
      </w:r>
      <w:r>
        <w:rPr>
          <w:rFonts w:cstheme="minorHAnsi"/>
        </w:rPr>
        <w:t xml:space="preserve"> if </w:t>
      </w:r>
      <w:r>
        <w:rPr>
          <w:rFonts w:cstheme="minorHAnsi"/>
        </w:rPr>
        <w:sym w:font="Symbol" w:char="F061"/>
      </w:r>
      <w:r>
        <w:rPr>
          <w:rFonts w:cstheme="minorHAnsi"/>
        </w:rPr>
        <w:t>-ketoglutarate is supplied by J</w:t>
      </w:r>
      <w:r w:rsidRPr="008F3AC0">
        <w:rPr>
          <w:rFonts w:cstheme="minorHAnsi"/>
          <w:vertAlign w:val="subscript"/>
        </w:rPr>
        <w:t>11b</w:t>
      </w:r>
      <w:r>
        <w:rPr>
          <w:rFonts w:cstheme="minorHAnsi"/>
        </w:rPr>
        <w:t>.</w:t>
      </w:r>
    </w:p>
    <w:p w14:paraId="509E319F" w14:textId="77777777" w:rsidR="00307520" w:rsidRDefault="00307520" w:rsidP="00307520">
      <w:pPr>
        <w:spacing w:line="480" w:lineRule="auto"/>
        <w:jc w:val="right"/>
        <w:rPr>
          <w:rFonts w:cstheme="minorHAnsi"/>
        </w:rPr>
      </w:pPr>
      <w:r>
        <w:rPr>
          <w:rFonts w:cstheme="minorHAnsi"/>
        </w:rPr>
        <w:lastRenderedPageBreak/>
        <w:t xml:space="preserve"> </w:t>
      </w:r>
      <m:oMath>
        <m:r>
          <w:rPr>
            <w:rFonts w:ascii="Cambria Math" w:hAnsi="Cambria Math" w:cstheme="minorHAnsi"/>
            <w:sz w:val="24"/>
            <w:szCs w:val="24"/>
          </w:rPr>
          <m:t xml:space="preserve">Reducing equivalent stoich for </m:t>
        </m:r>
        <m:sSub>
          <m:sSubPr>
            <m:ctrlPr>
              <w:rPr>
                <w:rFonts w:ascii="Cambria Math" w:hAnsi="Cambria Math" w:cstheme="minorHAnsi"/>
                <w:i/>
                <w:sz w:val="24"/>
                <w:szCs w:val="24"/>
              </w:rPr>
            </m:ctrlPr>
          </m:sSubPr>
          <m:e>
            <m:r>
              <w:rPr>
                <w:rFonts w:ascii="Cambria Math" w:hAnsi="Cambria Math" w:cstheme="minorHAnsi"/>
                <w:sz w:val="24"/>
                <w:szCs w:val="24"/>
              </w:rPr>
              <m:t>J</m:t>
            </m:r>
          </m:e>
          <m:sub>
            <m:r>
              <w:rPr>
                <w:rFonts w:ascii="Cambria Math" w:hAnsi="Cambria Math" w:cstheme="minorHAnsi"/>
                <w:sz w:val="24"/>
                <w:szCs w:val="24"/>
              </w:rPr>
              <m:t>7</m:t>
            </m:r>
          </m:sub>
        </m:sSub>
        <m:r>
          <w:rPr>
            <w:rFonts w:ascii="Cambria Math" w:hAnsi="Cambria Math" w:cstheme="minorHAnsi"/>
            <w:sz w:val="24"/>
            <w:szCs w:val="24"/>
          </w:rPr>
          <m:t>=3*</m:t>
        </m:r>
        <m:d>
          <m:dPr>
            <m:ctrlPr>
              <w:rPr>
                <w:rFonts w:ascii="Cambria Math" w:hAnsi="Cambria Math" w:cstheme="minorHAnsi"/>
                <w:i/>
                <w:sz w:val="24"/>
                <w:szCs w:val="24"/>
              </w:rPr>
            </m:ctrlPr>
          </m:dPr>
          <m:e>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J</m:t>
                    </m:r>
                  </m:e>
                  <m:sub>
                    <m:r>
                      <w:rPr>
                        <w:rFonts w:ascii="Cambria Math" w:hAnsi="Cambria Math" w:cstheme="minorHAnsi"/>
                        <w:sz w:val="24"/>
                        <w:szCs w:val="24"/>
                      </w:rPr>
                      <m:t>11a</m:t>
                    </m:r>
                  </m:sub>
                </m:sSub>
              </m:num>
              <m:den>
                <m:sSub>
                  <m:sSubPr>
                    <m:ctrlPr>
                      <w:rPr>
                        <w:rFonts w:ascii="Cambria Math" w:hAnsi="Cambria Math" w:cstheme="minorHAnsi"/>
                        <w:i/>
                        <w:sz w:val="24"/>
                        <w:szCs w:val="24"/>
                      </w:rPr>
                    </m:ctrlPr>
                  </m:sSubPr>
                  <m:e>
                    <m:r>
                      <w:rPr>
                        <w:rFonts w:ascii="Cambria Math" w:hAnsi="Cambria Math" w:cstheme="minorHAnsi"/>
                        <w:sz w:val="24"/>
                        <w:szCs w:val="24"/>
                      </w:rPr>
                      <m:t>J</m:t>
                    </m:r>
                  </m:e>
                  <m:sub>
                    <m:r>
                      <w:rPr>
                        <w:rFonts w:ascii="Cambria Math" w:hAnsi="Cambria Math" w:cstheme="minorHAnsi"/>
                        <w:sz w:val="24"/>
                        <w:szCs w:val="24"/>
                      </w:rPr>
                      <m:t>11a</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J</m:t>
                    </m:r>
                  </m:e>
                  <m:sub>
                    <m:r>
                      <w:rPr>
                        <w:rFonts w:ascii="Cambria Math" w:hAnsi="Cambria Math" w:cstheme="minorHAnsi"/>
                        <w:sz w:val="24"/>
                        <w:szCs w:val="24"/>
                      </w:rPr>
                      <m:t>11b</m:t>
                    </m:r>
                  </m:sub>
                </m:sSub>
              </m:den>
            </m:f>
          </m:e>
        </m:d>
        <m:r>
          <w:rPr>
            <w:rFonts w:ascii="Cambria Math" w:hAnsi="Cambria Math" w:cstheme="minorHAnsi"/>
            <w:sz w:val="24"/>
            <w:szCs w:val="24"/>
          </w:rPr>
          <m:t>+2*</m:t>
        </m:r>
        <m:d>
          <m:dPr>
            <m:ctrlPr>
              <w:rPr>
                <w:rFonts w:ascii="Cambria Math" w:hAnsi="Cambria Math" w:cstheme="minorHAnsi"/>
                <w:i/>
                <w:sz w:val="24"/>
                <w:szCs w:val="24"/>
              </w:rPr>
            </m:ctrlPr>
          </m:dPr>
          <m:e>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J</m:t>
                    </m:r>
                  </m:e>
                  <m:sub>
                    <m:r>
                      <w:rPr>
                        <w:rFonts w:ascii="Cambria Math" w:hAnsi="Cambria Math" w:cstheme="minorHAnsi"/>
                        <w:sz w:val="24"/>
                        <w:szCs w:val="24"/>
                      </w:rPr>
                      <m:t>11b</m:t>
                    </m:r>
                  </m:sub>
                </m:sSub>
              </m:num>
              <m:den>
                <m:sSub>
                  <m:sSubPr>
                    <m:ctrlPr>
                      <w:rPr>
                        <w:rFonts w:ascii="Cambria Math" w:hAnsi="Cambria Math" w:cstheme="minorHAnsi"/>
                        <w:i/>
                        <w:sz w:val="24"/>
                        <w:szCs w:val="24"/>
                      </w:rPr>
                    </m:ctrlPr>
                  </m:sSubPr>
                  <m:e>
                    <m:r>
                      <w:rPr>
                        <w:rFonts w:ascii="Cambria Math" w:hAnsi="Cambria Math" w:cstheme="minorHAnsi"/>
                        <w:sz w:val="24"/>
                        <w:szCs w:val="24"/>
                      </w:rPr>
                      <m:t>J</m:t>
                    </m:r>
                  </m:e>
                  <m:sub>
                    <m:r>
                      <w:rPr>
                        <w:rFonts w:ascii="Cambria Math" w:hAnsi="Cambria Math" w:cstheme="minorHAnsi"/>
                        <w:sz w:val="24"/>
                        <w:szCs w:val="24"/>
                      </w:rPr>
                      <m:t>11a</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J</m:t>
                    </m:r>
                  </m:e>
                  <m:sub>
                    <m:r>
                      <w:rPr>
                        <w:rFonts w:ascii="Cambria Math" w:hAnsi="Cambria Math" w:cstheme="minorHAnsi"/>
                        <w:sz w:val="24"/>
                        <w:szCs w:val="24"/>
                      </w:rPr>
                      <m:t>11b</m:t>
                    </m:r>
                  </m:sub>
                </m:sSub>
              </m:den>
            </m:f>
          </m:e>
        </m:d>
        <m:r>
          <w:rPr>
            <w:rFonts w:ascii="Cambria Math" w:hAnsi="Cambria Math" w:cstheme="minorHAnsi"/>
            <w:sz w:val="24"/>
            <w:szCs w:val="24"/>
          </w:rPr>
          <m:t xml:space="preserve">=C </m:t>
        </m:r>
      </m:oMath>
      <w:r>
        <w:rPr>
          <w:rFonts w:cstheme="minorHAnsi"/>
        </w:rPr>
        <w:t xml:space="preserve">          (Eq. 46)</w:t>
      </w:r>
    </w:p>
    <w:p w14:paraId="5FE270B5" w14:textId="77777777" w:rsidR="00307520" w:rsidRDefault="00307520" w:rsidP="00307520">
      <w:pPr>
        <w:spacing w:line="480" w:lineRule="auto"/>
        <w:jc w:val="right"/>
        <w:rPr>
          <w:rFonts w:cstheme="minorHAnsi"/>
        </w:rPr>
      </w:pPr>
      <w:r>
        <w:rPr>
          <w:rFonts w:cstheme="minorHAnsi"/>
        </w:rPr>
        <w:t xml:space="preserve"> </w:t>
      </w:r>
      <m:oMath>
        <m:r>
          <w:rPr>
            <w:rFonts w:ascii="Cambria Math" w:hAnsi="Cambria Math" w:cstheme="minorHAnsi"/>
            <w:sz w:val="28"/>
            <w:szCs w:val="28"/>
          </w:rPr>
          <m:t xml:space="preserve">Reducing equivalent stoich for </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12r</m:t>
            </m:r>
          </m:sub>
        </m:sSub>
        <m:r>
          <w:rPr>
            <w:rFonts w:ascii="Cambria Math" w:hAnsi="Cambria Math" w:cstheme="minorHAnsi"/>
            <w:sz w:val="28"/>
            <w:szCs w:val="28"/>
          </w:rPr>
          <m:t>=</m:t>
        </m:r>
        <m:f>
          <m:fPr>
            <m:ctrlPr>
              <w:rPr>
                <w:rFonts w:ascii="Cambria Math" w:hAnsi="Cambria Math" w:cstheme="minorHAnsi"/>
                <w:i/>
                <w:sz w:val="28"/>
                <w:szCs w:val="28"/>
              </w:rPr>
            </m:ctrlPr>
          </m:fPr>
          <m:num>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11a</m:t>
                </m:r>
              </m:sub>
            </m:sSub>
          </m:num>
          <m:den>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7</m:t>
                </m:r>
              </m:sub>
            </m:sSub>
          </m:den>
        </m:f>
        <m:r>
          <w:rPr>
            <w:rFonts w:ascii="Cambria Math" w:hAnsi="Cambria Math" w:cstheme="minorHAnsi"/>
            <w:sz w:val="28"/>
            <w:szCs w:val="28"/>
          </w:rPr>
          <m:t>=D</m:t>
        </m:r>
      </m:oMath>
      <w:r>
        <w:rPr>
          <w:rFonts w:cstheme="minorHAnsi"/>
        </w:rPr>
        <w:t xml:space="preserve">                         (Eq. 47)</w:t>
      </w:r>
    </w:p>
    <w:p w14:paraId="0D0AC8B1" w14:textId="77777777" w:rsidR="00307520" w:rsidRDefault="00307520" w:rsidP="00307520">
      <w:pPr>
        <w:spacing w:line="480" w:lineRule="auto"/>
        <w:jc w:val="both"/>
        <w:rPr>
          <w:rFonts w:cstheme="minorHAnsi"/>
        </w:rPr>
      </w:pPr>
      <w:r>
        <w:rPr>
          <w:rFonts w:cstheme="minorHAnsi"/>
        </w:rPr>
        <w:t>The default condition assumed was that J</w:t>
      </w:r>
      <w:r w:rsidRPr="008F3AC0">
        <w:rPr>
          <w:rFonts w:cstheme="minorHAnsi"/>
          <w:vertAlign w:val="subscript"/>
        </w:rPr>
        <w:t>11a</w:t>
      </w:r>
      <w:r>
        <w:rPr>
          <w:rFonts w:cstheme="minorHAnsi"/>
        </w:rPr>
        <w:t xml:space="preserve"> (mitochondrial oxidation of glutamate to </w:t>
      </w:r>
      <w:r>
        <w:rPr>
          <w:rFonts w:cstheme="minorHAnsi"/>
        </w:rPr>
        <w:sym w:font="Symbol" w:char="F061"/>
      </w:r>
      <w:r>
        <w:rPr>
          <w:rFonts w:cstheme="minorHAnsi"/>
        </w:rPr>
        <w:t xml:space="preserve">-ketoglutarate) supplied all </w:t>
      </w:r>
      <w:r>
        <w:rPr>
          <w:rFonts w:cstheme="minorHAnsi"/>
        </w:rPr>
        <w:sym w:font="Symbol" w:char="F061"/>
      </w:r>
      <w:r>
        <w:rPr>
          <w:rFonts w:cstheme="minorHAnsi"/>
        </w:rPr>
        <w:t>-ketoglutarate for both J</w:t>
      </w:r>
      <w:r w:rsidRPr="008F3AC0">
        <w:rPr>
          <w:rFonts w:cstheme="minorHAnsi"/>
          <w:vertAlign w:val="subscript"/>
        </w:rPr>
        <w:t>7</w:t>
      </w:r>
      <w:r>
        <w:rPr>
          <w:rFonts w:cstheme="minorHAnsi"/>
        </w:rPr>
        <w:t xml:space="preserve"> and J</w:t>
      </w:r>
      <w:r w:rsidRPr="008F3AC0">
        <w:rPr>
          <w:rFonts w:cstheme="minorHAnsi"/>
          <w:vertAlign w:val="subscript"/>
        </w:rPr>
        <w:t>12r</w:t>
      </w:r>
      <w:r>
        <w:rPr>
          <w:rFonts w:cstheme="minorHAnsi"/>
        </w:rPr>
        <w:t xml:space="preserve"> (i.e., J</w:t>
      </w:r>
      <w:r w:rsidRPr="008F3AC0">
        <w:rPr>
          <w:rFonts w:cstheme="minorHAnsi"/>
          <w:vertAlign w:val="subscript"/>
        </w:rPr>
        <w:t>11b</w:t>
      </w:r>
      <w:r>
        <w:rPr>
          <w:rFonts w:cstheme="minorHAnsi"/>
        </w:rPr>
        <w:t xml:space="preserve"> = 0 and J</w:t>
      </w:r>
      <w:r w:rsidRPr="008F3AC0">
        <w:rPr>
          <w:rFonts w:cstheme="minorHAnsi"/>
          <w:vertAlign w:val="subscript"/>
        </w:rPr>
        <w:t>11a</w:t>
      </w:r>
      <w:r>
        <w:rPr>
          <w:rFonts w:cstheme="minorHAnsi"/>
        </w:rPr>
        <w:t xml:space="preserve"> = J</w:t>
      </w:r>
      <w:r w:rsidRPr="008F3AC0">
        <w:rPr>
          <w:rFonts w:cstheme="minorHAnsi"/>
          <w:vertAlign w:val="subscript"/>
        </w:rPr>
        <w:t>7</w:t>
      </w:r>
      <w:r>
        <w:rPr>
          <w:rFonts w:cstheme="minorHAnsi"/>
        </w:rPr>
        <w:t xml:space="preserve"> + J</w:t>
      </w:r>
      <w:r w:rsidRPr="008F3AC0">
        <w:rPr>
          <w:rFonts w:cstheme="minorHAnsi"/>
          <w:vertAlign w:val="subscript"/>
        </w:rPr>
        <w:t>12r</w:t>
      </w:r>
      <w:r>
        <w:rPr>
          <w:rFonts w:cstheme="minorHAnsi"/>
        </w:rPr>
        <w:t>), and all cytoplasmic NADH from glycolysis and serine synthesis was oxidized by mitochondria (i.e., J</w:t>
      </w:r>
      <w:r w:rsidRPr="008F3AC0">
        <w:rPr>
          <w:rFonts w:cstheme="minorHAnsi"/>
          <w:vertAlign w:val="subscript"/>
        </w:rPr>
        <w:t>6b</w:t>
      </w:r>
      <w:r>
        <w:rPr>
          <w:rFonts w:cstheme="minorHAnsi"/>
        </w:rPr>
        <w:t xml:space="preserve"> = 0 and J</w:t>
      </w:r>
      <w:r w:rsidRPr="008F3AC0">
        <w:rPr>
          <w:rFonts w:cstheme="minorHAnsi"/>
          <w:vertAlign w:val="subscript"/>
        </w:rPr>
        <w:t>6a</w:t>
      </w:r>
      <w:r>
        <w:rPr>
          <w:rFonts w:cstheme="minorHAnsi"/>
        </w:rPr>
        <w:t xml:space="preserve"> = J</w:t>
      </w:r>
      <w:r w:rsidRPr="008F3AC0">
        <w:rPr>
          <w:rFonts w:cstheme="minorHAnsi"/>
          <w:vertAlign w:val="subscript"/>
        </w:rPr>
        <w:t>2b</w:t>
      </w:r>
      <w:r>
        <w:rPr>
          <w:rFonts w:cstheme="minorHAnsi"/>
        </w:rPr>
        <w:t xml:space="preserve"> + J</w:t>
      </w:r>
      <w:r w:rsidRPr="008F3AC0">
        <w:rPr>
          <w:rFonts w:cstheme="minorHAnsi"/>
          <w:vertAlign w:val="subscript"/>
        </w:rPr>
        <w:t>19</w:t>
      </w:r>
      <w:r>
        <w:rPr>
          <w:rFonts w:cstheme="minorHAnsi"/>
        </w:rPr>
        <w:t xml:space="preserve"> – J</w:t>
      </w:r>
      <w:r w:rsidRPr="008F3AC0">
        <w:rPr>
          <w:rFonts w:cstheme="minorHAnsi"/>
          <w:vertAlign w:val="subscript"/>
        </w:rPr>
        <w:t>4</w:t>
      </w:r>
      <w:r>
        <w:rPr>
          <w:rFonts w:cstheme="minorHAnsi"/>
        </w:rPr>
        <w:t xml:space="preserve">). Equations 48 and 49 reflect the supply rates of </w:t>
      </w:r>
      <w:r>
        <w:rPr>
          <w:rFonts w:cstheme="minorHAnsi"/>
        </w:rPr>
        <w:sym w:font="Symbol" w:char="F061"/>
      </w:r>
      <w:r>
        <w:rPr>
          <w:rFonts w:cstheme="minorHAnsi"/>
        </w:rPr>
        <w:t>-ketoglutarate to the TCA cycle and cytoplasmic NADH for reactions other than lactate dehydrogenase (J</w:t>
      </w:r>
      <w:r w:rsidRPr="008F3AC0">
        <w:rPr>
          <w:rFonts w:cstheme="minorHAnsi"/>
          <w:vertAlign w:val="subscript"/>
        </w:rPr>
        <w:t>4</w:t>
      </w:r>
      <w:r>
        <w:rPr>
          <w:rFonts w:cstheme="minorHAnsi"/>
        </w:rPr>
        <w:t>).</w:t>
      </w:r>
    </w:p>
    <w:p w14:paraId="71C1E838"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11a</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11b</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7</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12r</m:t>
            </m:r>
          </m:sub>
        </m:sSub>
      </m:oMath>
      <w:r>
        <w:rPr>
          <w:rFonts w:cstheme="minorHAnsi"/>
        </w:rPr>
        <w:t xml:space="preserve">                                                     (Eq. 48)</w:t>
      </w:r>
    </w:p>
    <w:p w14:paraId="36F695D8"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6a</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6b</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2b</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19</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4</m:t>
            </m:r>
          </m:sub>
        </m:sSub>
      </m:oMath>
      <w:r>
        <w:rPr>
          <w:rFonts w:cstheme="minorHAnsi"/>
        </w:rPr>
        <w:t xml:space="preserve">                                                   (Eq. 49)</w:t>
      </w:r>
    </w:p>
    <w:p w14:paraId="2CDF4FB8" w14:textId="77777777" w:rsidR="00307520" w:rsidRDefault="00307520" w:rsidP="00307520">
      <w:pPr>
        <w:spacing w:line="480" w:lineRule="auto"/>
        <w:jc w:val="both"/>
        <w:rPr>
          <w:rFonts w:cstheme="minorHAnsi"/>
        </w:rPr>
      </w:pPr>
      <w:r>
        <w:rPr>
          <w:rFonts w:cstheme="minorHAnsi"/>
        </w:rPr>
        <w:t>The contribution of J</w:t>
      </w:r>
      <w:r w:rsidRPr="008F3AC0">
        <w:rPr>
          <w:rFonts w:cstheme="minorHAnsi"/>
          <w:vertAlign w:val="subscript"/>
        </w:rPr>
        <w:t>11b</w:t>
      </w:r>
      <w:r>
        <w:rPr>
          <w:rFonts w:cstheme="minorHAnsi"/>
        </w:rPr>
        <w:t xml:space="preserve"> to </w:t>
      </w:r>
      <w:r>
        <w:rPr>
          <w:rFonts w:cstheme="minorHAnsi"/>
        </w:rPr>
        <w:sym w:font="Symbol" w:char="F061"/>
      </w:r>
      <w:r>
        <w:rPr>
          <w:rFonts w:cstheme="minorHAnsi"/>
        </w:rPr>
        <w:t>-ketoglutarate supply to the TCA cycle was considered only when J</w:t>
      </w:r>
      <w:r w:rsidRPr="008F3AC0">
        <w:rPr>
          <w:rFonts w:cstheme="minorHAnsi"/>
          <w:vertAlign w:val="subscript"/>
        </w:rPr>
        <w:t>7</w:t>
      </w:r>
      <w:r>
        <w:rPr>
          <w:rFonts w:cstheme="minorHAnsi"/>
        </w:rPr>
        <w:t xml:space="preserve"> was not adequately optimized to achieve the absolute minimal error in predicting the </w:t>
      </w:r>
      <w:r w:rsidRPr="008F3AC0">
        <w:rPr>
          <w:rFonts w:cstheme="minorHAnsi"/>
          <w:vertAlign w:val="superscript"/>
        </w:rPr>
        <w:t>13</w:t>
      </w:r>
      <w:r>
        <w:rPr>
          <w:rFonts w:cstheme="minorHAnsi"/>
        </w:rPr>
        <w:t>C lactate labeling pattern because of the constraint imposed by the measured respiration rate. This occurred for LM cells in spite of optimizing Eq. 11 to Z=0 (i.e., none of the cytoplasmic NADH oxidized by mitochondria) because this cell line had a very low respiration rate. J</w:t>
      </w:r>
      <w:r w:rsidRPr="008F3AC0">
        <w:rPr>
          <w:rFonts w:cstheme="minorHAnsi"/>
          <w:vertAlign w:val="subscript"/>
        </w:rPr>
        <w:t>11b</w:t>
      </w:r>
      <w:r>
        <w:rPr>
          <w:rFonts w:cstheme="minorHAnsi"/>
        </w:rPr>
        <w:t xml:space="preserve"> was increased until the minimum error was reached, or J</w:t>
      </w:r>
      <w:r w:rsidRPr="008F3AC0">
        <w:rPr>
          <w:rFonts w:cstheme="minorHAnsi"/>
          <w:vertAlign w:val="subscript"/>
        </w:rPr>
        <w:t>11b</w:t>
      </w:r>
      <w:r>
        <w:rPr>
          <w:rFonts w:cstheme="minorHAnsi"/>
        </w:rPr>
        <w:t xml:space="preserve"> = J</w:t>
      </w:r>
      <w:r w:rsidRPr="008F3AC0">
        <w:rPr>
          <w:rFonts w:cstheme="minorHAnsi"/>
          <w:vertAlign w:val="subscript"/>
        </w:rPr>
        <w:t>19</w:t>
      </w:r>
      <w:r>
        <w:rPr>
          <w:rFonts w:cstheme="minorHAnsi"/>
        </w:rPr>
        <w:t>, or J</w:t>
      </w:r>
      <w:r w:rsidRPr="008F3AC0">
        <w:rPr>
          <w:rFonts w:cstheme="minorHAnsi"/>
          <w:vertAlign w:val="subscript"/>
        </w:rPr>
        <w:t>11a</w:t>
      </w:r>
      <w:r>
        <w:rPr>
          <w:rFonts w:cstheme="minorHAnsi"/>
        </w:rPr>
        <w:t xml:space="preserve"> = 0. Thus, the calculation of respiration rate was</w:t>
      </w:r>
    </w:p>
    <w:p w14:paraId="0E020DEE" w14:textId="77777777" w:rsidR="00307520" w:rsidRDefault="00307520" w:rsidP="00307520">
      <w:pPr>
        <w:spacing w:line="480" w:lineRule="auto"/>
        <w:jc w:val="right"/>
        <w:rPr>
          <w:rFonts w:cstheme="minorHAnsi"/>
        </w:rPr>
      </w:pPr>
      <w:r>
        <w:rPr>
          <w:rFonts w:cstheme="minorHAnsi"/>
        </w:rPr>
        <w:t xml:space="preserve"> </w:t>
      </w:r>
      <m:oMath>
        <m:sSubSup>
          <m:sSubSupPr>
            <m:ctrlPr>
              <w:rPr>
                <w:rFonts w:ascii="Cambria Math" w:hAnsi="Cambria Math" w:cstheme="minorHAnsi"/>
                <w:i/>
              </w:rPr>
            </m:ctrlPr>
          </m:sSubSupPr>
          <m:e>
            <m:r>
              <w:rPr>
                <w:rFonts w:ascii="Cambria Math" w:hAnsi="Cambria Math" w:cstheme="minorHAnsi"/>
              </w:rPr>
              <m:t>J</m:t>
            </m:r>
          </m:e>
          <m:sub>
            <m:r>
              <w:rPr>
                <w:rFonts w:ascii="Cambria Math" w:hAnsi="Cambria Math" w:cstheme="minorHAnsi"/>
              </w:rPr>
              <m:t>RR</m:t>
            </m:r>
          </m:sub>
          <m:sup>
            <m:r>
              <w:rPr>
                <w:rFonts w:ascii="Cambria Math" w:hAnsi="Cambria Math" w:cstheme="minorHAnsi"/>
              </w:rPr>
              <m:t>calc</m:t>
            </m:r>
          </m:sup>
        </m:sSubSup>
        <m:r>
          <w:rPr>
            <w:rFonts w:ascii="Cambria Math" w:hAnsi="Cambria Math" w:cstheme="minorHAnsi"/>
          </w:rPr>
          <m:t>=2*</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0</m:t>
                </m:r>
              </m:sub>
            </m:sSub>
            <m:r>
              <w:rPr>
                <w:rFonts w:ascii="Cambria Math" w:hAnsi="Cambria Math" w:cstheme="minorHAnsi"/>
              </w:rPr>
              <m:t>*V</m:t>
            </m:r>
          </m:e>
        </m:d>
        <m:r>
          <w:rPr>
            <w:rFonts w:ascii="Cambria Math" w:hAnsi="Cambria Math" w:cstheme="minorHAnsi"/>
          </w:rPr>
          <m:t>+5*</m:t>
        </m:r>
        <m:d>
          <m:dPr>
            <m:begChr m:val="["/>
            <m:endChr m:val="]"/>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5</m:t>
                </m:r>
              </m:sub>
            </m:sSub>
            <m:r>
              <w:rPr>
                <w:rFonts w:ascii="Cambria Math" w:hAnsi="Cambria Math" w:cstheme="minorHAnsi"/>
              </w:rPr>
              <m:t>-2*</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0</m:t>
                    </m:r>
                  </m:sub>
                </m:sSub>
                <m:r>
                  <w:rPr>
                    <w:rFonts w:ascii="Cambria Math" w:hAnsi="Cambria Math" w:cstheme="minorHAnsi"/>
                  </w:rPr>
                  <m:t>*V</m:t>
                </m:r>
              </m:e>
            </m:d>
          </m:e>
        </m:d>
        <m:r>
          <w:rPr>
            <w:rFonts w:ascii="Cambria Math" w:hAnsi="Cambria Math" w:cstheme="minorHAnsi"/>
          </w:rPr>
          <m:t>+Z*</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2b</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19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4</m:t>
                </m:r>
              </m:sub>
            </m:sSub>
          </m:e>
        </m:d>
        <m:r>
          <w:rPr>
            <w:rFonts w:ascii="Cambria Math" w:hAnsi="Cambria Math" w:cstheme="minorHAnsi"/>
          </w:rPr>
          <m:t>+C*</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7</m:t>
            </m:r>
          </m:sub>
        </m:sSub>
        <m:r>
          <w:rPr>
            <w:rFonts w:ascii="Cambria Math" w:hAnsi="Cambria Math" w:cstheme="minorHAnsi"/>
          </w:rPr>
          <m:t>+D*</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12r</m:t>
            </m:r>
          </m:sub>
        </m:sSub>
      </m:oMath>
      <w:r>
        <w:rPr>
          <w:rFonts w:cstheme="minorHAnsi"/>
        </w:rPr>
        <w:t xml:space="preserve">     (Eq. 50)</w:t>
      </w:r>
    </w:p>
    <w:p w14:paraId="7FDD0CE5" w14:textId="77777777" w:rsidR="00307520" w:rsidRDefault="00307520" w:rsidP="00307520">
      <w:pPr>
        <w:spacing w:line="480" w:lineRule="auto"/>
        <w:jc w:val="both"/>
        <w:rPr>
          <w:rFonts w:cstheme="minorHAnsi"/>
        </w:rPr>
      </w:pPr>
      <w:r>
        <w:rPr>
          <w:rFonts w:cstheme="minorHAnsi"/>
        </w:rPr>
        <w:t>Cellular NADPH consumption was calculated from the reactions producing NADPH.</w:t>
      </w:r>
    </w:p>
    <w:p w14:paraId="5E449830" w14:textId="77777777" w:rsidR="00307520" w:rsidRDefault="00307520" w:rsidP="00307520">
      <w:pPr>
        <w:spacing w:line="480" w:lineRule="auto"/>
        <w:jc w:val="right"/>
        <w:rPr>
          <w:rFonts w:cstheme="minorHAnsi"/>
        </w:rPr>
      </w:pPr>
      <w:r>
        <w:rPr>
          <w:rFonts w:cstheme="minorHAnsi"/>
        </w:rPr>
        <w:t xml:space="preserve"> </w:t>
      </w:r>
      <m:oMath>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8</m:t>
            </m:r>
          </m:sub>
        </m:sSub>
        <m:r>
          <w:rPr>
            <w:rFonts w:ascii="Cambria Math" w:hAnsi="Cambria Math" w:cstheme="minorHAnsi"/>
            <w:sz w:val="28"/>
            <w:szCs w:val="28"/>
          </w:rPr>
          <m:t>=2*</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1</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7</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21</m:t>
            </m:r>
          </m:sub>
        </m:sSub>
        <m:r>
          <w:rPr>
            <w:rFonts w:ascii="Cambria Math" w:hAnsi="Cambria Math" w:cstheme="minorHAnsi"/>
            <w:sz w:val="28"/>
            <w:szCs w:val="28"/>
          </w:rPr>
          <m:t>-</m:t>
        </m:r>
        <m:sSub>
          <m:sSubPr>
            <m:ctrlPr>
              <w:rPr>
                <w:rFonts w:ascii="Cambria Math" w:hAnsi="Cambria Math" w:cstheme="minorHAnsi"/>
                <w:i/>
                <w:sz w:val="28"/>
                <w:szCs w:val="28"/>
              </w:rPr>
            </m:ctrlPr>
          </m:sSubPr>
          <m:e>
            <m:r>
              <w:rPr>
                <w:rFonts w:ascii="Cambria Math" w:hAnsi="Cambria Math" w:cstheme="minorHAnsi"/>
                <w:sz w:val="28"/>
                <w:szCs w:val="28"/>
              </w:rPr>
              <m:t>J</m:t>
            </m:r>
          </m:e>
          <m:sub>
            <m:r>
              <w:rPr>
                <w:rFonts w:ascii="Cambria Math" w:hAnsi="Cambria Math" w:cstheme="minorHAnsi"/>
                <w:sz w:val="28"/>
                <w:szCs w:val="28"/>
              </w:rPr>
              <m:t>25</m:t>
            </m:r>
          </m:sub>
        </m:sSub>
      </m:oMath>
      <w:r>
        <w:rPr>
          <w:rFonts w:cstheme="minorHAnsi"/>
        </w:rPr>
        <w:t xml:space="preserve">                                                   (Eq. 51)</w:t>
      </w:r>
    </w:p>
    <w:p w14:paraId="088F51F7" w14:textId="77777777" w:rsidR="00307520" w:rsidRDefault="00307520" w:rsidP="00307520">
      <w:pPr>
        <w:spacing w:line="480" w:lineRule="auto"/>
        <w:jc w:val="both"/>
        <w:rPr>
          <w:rFonts w:cstheme="minorHAnsi"/>
        </w:rPr>
      </w:pPr>
      <w:r>
        <w:rPr>
          <w:rFonts w:cstheme="minorHAnsi"/>
        </w:rPr>
        <w:t>Mitochondrial ATP synthesis rate was calculated from the stoichiometries of 10 H</w:t>
      </w:r>
      <w:r w:rsidRPr="008F3AC0">
        <w:rPr>
          <w:rFonts w:cstheme="minorHAnsi"/>
          <w:vertAlign w:val="superscript"/>
        </w:rPr>
        <w:t>+</w:t>
      </w:r>
      <w:r>
        <w:rPr>
          <w:rFonts w:cstheme="minorHAnsi"/>
        </w:rPr>
        <w:t xml:space="preserve"> pumped by the respiratory chain for each matrix-derived NADH oxidized, 6 H</w:t>
      </w:r>
      <w:r w:rsidRPr="008F3AC0">
        <w:rPr>
          <w:rFonts w:cstheme="minorHAnsi"/>
          <w:vertAlign w:val="superscript"/>
        </w:rPr>
        <w:t>+</w:t>
      </w:r>
      <w:r>
        <w:rPr>
          <w:rFonts w:cstheme="minorHAnsi"/>
        </w:rPr>
        <w:t xml:space="preserve"> pumped for each matrix-derived FADH</w:t>
      </w:r>
      <w:r w:rsidRPr="008F3AC0">
        <w:rPr>
          <w:rFonts w:cstheme="minorHAnsi"/>
          <w:vertAlign w:val="subscript"/>
        </w:rPr>
        <w:t>2</w:t>
      </w:r>
      <w:r>
        <w:rPr>
          <w:rFonts w:cstheme="minorHAnsi"/>
        </w:rPr>
        <w:t xml:space="preserve"> </w:t>
      </w:r>
      <w:r>
        <w:rPr>
          <w:rFonts w:cstheme="minorHAnsi"/>
        </w:rPr>
        <w:lastRenderedPageBreak/>
        <w:t>oxidized, 9 net H</w:t>
      </w:r>
      <w:r w:rsidRPr="008F3AC0">
        <w:rPr>
          <w:rFonts w:cstheme="minorHAnsi"/>
          <w:vertAlign w:val="superscript"/>
        </w:rPr>
        <w:t>+</w:t>
      </w:r>
      <w:r>
        <w:rPr>
          <w:rFonts w:cstheme="minorHAnsi"/>
        </w:rPr>
        <w:t xml:space="preserve"> pumped for each cytoplasmic-derived NADH oxidized, and 11 net H</w:t>
      </w:r>
      <w:r w:rsidRPr="008F3AC0">
        <w:rPr>
          <w:rFonts w:cstheme="minorHAnsi"/>
          <w:vertAlign w:val="superscript"/>
        </w:rPr>
        <w:t>+</w:t>
      </w:r>
      <w:r>
        <w:rPr>
          <w:rFonts w:cstheme="minorHAnsi"/>
        </w:rPr>
        <w:t xml:space="preserve"> returned to the matrix for three ATP synthesized by ATP synthase and subsequently exported to the cytoplasm </w:t>
      </w:r>
      <w:r>
        <w:rPr>
          <w:rFonts w:cstheme="minorHAnsi"/>
        </w:rPr>
        <w:fldChar w:fldCharType="begin">
          <w:fldData xml:space="preserve">PEVuZE5vdGU+PENpdGU+PEF1dGhvcj5Nb29rZXJqZWU8L0F1dGhvcj48WWVhcj4yMDE3PC9ZZWFy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</w:fldData>
        </w:fldChar>
      </w:r>
      <w:r>
        <w:rPr>
          <w:rFonts w:cstheme="minorHAnsi"/>
        </w:rPr>
        <w:instrText xml:space="preserve"> ADDIN EN.CITE </w:instrText>
      </w:r>
      <w:r>
        <w:rPr>
          <w:rFonts w:cstheme="minorHAnsi"/>
        </w:rPr>
        <w:fldChar w:fldCharType="begin">
          <w:fldData xml:space="preserve">PEVuZE5vdGU+PENpdGU+PEF1dGhvcj5Nb29rZXJqZWU8L0F1dGhvcj48WWVhcj4yMDE3PC9ZZWFy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[10]</w:t>
      </w:r>
      <w:r>
        <w:rPr>
          <w:rFonts w:cstheme="minorHAnsi"/>
        </w:rPr>
        <w:fldChar w:fldCharType="end"/>
      </w:r>
      <w:r>
        <w:rPr>
          <w:rFonts w:cstheme="minorHAnsi"/>
        </w:rPr>
        <w:t xml:space="preserve">, together with the fraction of oligomycin-sensitive mitochondrial respiration: </w:t>
      </w:r>
    </w:p>
    <w:p w14:paraId="7D48331D" w14:textId="77777777" w:rsidR="00307520" w:rsidRDefault="00307520" w:rsidP="00307520">
      <w:pPr>
        <w:spacing w:line="480" w:lineRule="auto"/>
        <w:jc w:val="right"/>
        <w:rPr>
          <w:rFonts w:cstheme="minorHAnsi"/>
        </w:rPr>
      </w:pPr>
      <w:r>
        <w:rPr>
          <w:rFonts w:cstheme="minorHAnsi"/>
        </w:rPr>
        <w:t xml:space="preserve"> </w:t>
      </w:r>
      <m:oMath>
        <m:f>
          <m:fPr>
            <m:ctrlPr>
              <w:rPr>
                <w:rFonts w:ascii="Cambria Math" w:hAnsi="Cambria Math" w:cstheme="minorHAnsi"/>
                <w:i/>
              </w:rPr>
            </m:ctrlPr>
          </m:fPr>
          <m:num>
            <m:d>
              <m:dPr>
                <m:ctrlPr>
                  <w:rPr>
                    <w:rFonts w:ascii="Cambria Math" w:hAnsi="Cambria Math" w:cstheme="minorHAnsi"/>
                    <w:i/>
                  </w:rPr>
                </m:ctrlPr>
              </m:dPr>
              <m:e>
                <m:r>
                  <w:rPr>
                    <w:rFonts w:ascii="Cambria Math" w:hAnsi="Cambria Math" w:cstheme="minorHAnsi"/>
                  </w:rPr>
                  <m:t>10*</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5</m:t>
                    </m:r>
                  </m:sub>
                </m:sSub>
                <m:r>
                  <w:rPr>
                    <w:rFonts w:ascii="Cambria Math" w:hAnsi="Cambria Math" w:cstheme="minorHAnsi"/>
                  </w:rPr>
                  <m:t>+10*</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12f</m:t>
                    </m:r>
                  </m:sub>
                </m:sSub>
                <m:r>
                  <w:rPr>
                    <w:rFonts w:ascii="Cambria Math" w:hAnsi="Cambria Math" w:cstheme="minorHAnsi"/>
                  </w:rPr>
                  <m:t>+9*</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14</m:t>
                    </m:r>
                  </m:sub>
                </m:sSub>
                <m:r>
                  <w:rPr>
                    <w:rFonts w:ascii="Cambria Math" w:hAnsi="Cambria Math" w:cstheme="minorHAnsi"/>
                  </w:rPr>
                  <m:t>+6*</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15</m:t>
                    </m:r>
                  </m:sub>
                </m:sSub>
                <m:r>
                  <w:rPr>
                    <w:rFonts w:ascii="Cambria Math" w:hAnsi="Cambria Math" w:cstheme="minorHAnsi"/>
                  </w:rPr>
                  <m:t>+10*</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16</m:t>
                    </m:r>
                  </m:sub>
                </m:sSub>
                <m:r>
                  <w:rPr>
                    <w:rFonts w:ascii="Cambria Math" w:hAnsi="Cambria Math" w:cstheme="minorHAnsi"/>
                  </w:rPr>
                  <m:t>+10*</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11a</m:t>
                    </m:r>
                  </m:sub>
                </m:sSub>
                <m:r>
                  <w:rPr>
                    <w:rFonts w:ascii="Cambria Math" w:hAnsi="Cambria Math" w:cstheme="minorHAnsi"/>
                  </w:rPr>
                  <m:t>+9*</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6a</m:t>
                    </m:r>
                  </m:sub>
                </m:sSub>
              </m:e>
            </m:d>
            <m:r>
              <w:rPr>
                <w:rFonts w:ascii="Cambria Math" w:hAnsi="Cambria Math" w:cstheme="minorHAnsi"/>
              </w:rPr>
              <m:t>*</m:t>
            </m:r>
            <m:f>
              <m:fPr>
                <m:type m:val="skw"/>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RR</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oligoRR</m:t>
                    </m:r>
                  </m:sub>
                </m:sSub>
                <m:r>
                  <w:rPr>
                    <w:rFonts w:ascii="Cambria Math" w:hAnsi="Cambria Math" w:cstheme="minorHAnsi"/>
                  </w:rPr>
                  <m:t>)</m:t>
                </m:r>
              </m:num>
              <m:den>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RR</m:t>
                    </m:r>
                  </m:sub>
                </m:sSub>
              </m:den>
            </m:f>
          </m:num>
          <m:den>
            <m:f>
              <m:fPr>
                <m:type m:val="skw"/>
                <m:ctrlPr>
                  <w:rPr>
                    <w:rFonts w:ascii="Cambria Math" w:hAnsi="Cambria Math" w:cstheme="minorHAnsi"/>
                    <w:i/>
                  </w:rPr>
                </m:ctrlPr>
              </m:fPr>
              <m:num>
                <m:r>
                  <w:rPr>
                    <w:rFonts w:ascii="Cambria Math" w:hAnsi="Cambria Math" w:cstheme="minorHAnsi"/>
                  </w:rPr>
                  <m:t>11 H+</m:t>
                </m:r>
              </m:num>
              <m:den>
                <m:r>
                  <w:rPr>
                    <w:rFonts w:ascii="Cambria Math" w:hAnsi="Cambria Math" w:cstheme="minorHAnsi"/>
                  </w:rPr>
                  <m:t>3 ATP</m:t>
                </m:r>
              </m:den>
            </m:f>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14</m:t>
            </m:r>
          </m:sub>
        </m:sSub>
      </m:oMath>
      <w:r>
        <w:rPr>
          <w:rFonts w:cstheme="minorHAnsi"/>
        </w:rPr>
        <w:t xml:space="preserve">                           (Eq. 52)</w:t>
      </w:r>
    </w:p>
    <w:p w14:paraId="55DDDD30" w14:textId="77777777" w:rsidR="00307520" w:rsidRDefault="00307520" w:rsidP="00307520">
      <w:pPr>
        <w:spacing w:line="480" w:lineRule="auto"/>
        <w:jc w:val="both"/>
        <w:rPr>
          <w:rFonts w:cstheme="minorHAnsi"/>
        </w:rPr>
      </w:pPr>
      <w:r>
        <w:rPr>
          <w:rFonts w:cstheme="minorHAnsi"/>
        </w:rPr>
        <w:t>Glycolytic ATP synthesis rate, including J</w:t>
      </w:r>
      <w:r w:rsidRPr="008F3AC0">
        <w:rPr>
          <w:rFonts w:cstheme="minorHAnsi"/>
          <w:vertAlign w:val="subscript"/>
        </w:rPr>
        <w:t>0</w:t>
      </w:r>
      <w:r>
        <w:rPr>
          <w:rFonts w:cstheme="minorHAnsi"/>
        </w:rPr>
        <w:t>, was calculated as:</w:t>
      </w:r>
    </w:p>
    <w:p w14:paraId="3B7B6BCE" w14:textId="77777777" w:rsidR="00307520" w:rsidRDefault="00307520" w:rsidP="00307520">
      <w:pPr>
        <w:spacing w:line="480" w:lineRule="auto"/>
        <w:jc w:val="right"/>
        <w:rPr>
          <w:rFonts w:cstheme="minorHAnsi"/>
        </w:rPr>
      </w:pPr>
      <m:oMath>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2b</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2c</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J</m:t>
            </m:r>
          </m:e>
          <m:sub>
            <m:r>
              <w:rPr>
                <w:rFonts w:ascii="Cambria Math" w:hAnsi="Cambria Math" w:cstheme="minorHAnsi"/>
              </w:rPr>
              <m:t>2a</m:t>
            </m:r>
          </m:sub>
        </m:sSub>
      </m:oMath>
      <w:r>
        <w:rPr>
          <w:rFonts w:cstheme="minorHAnsi"/>
        </w:rPr>
        <w:t xml:space="preserve">                                                                        (Eq. 53)</w:t>
      </w:r>
    </w:p>
    <w:p w14:paraId="08E390DC" w14:textId="77777777" w:rsidR="00307520" w:rsidRDefault="00307520" w:rsidP="00307520">
      <w:pPr>
        <w:spacing w:line="480" w:lineRule="auto"/>
        <w:jc w:val="right"/>
        <w:rPr>
          <w:rFonts w:cstheme="minorHAnsi"/>
        </w:rPr>
      </w:pPr>
    </w:p>
    <w:p w14:paraId="1A064A18" w14:textId="22DB805B" w:rsidR="00307520" w:rsidRDefault="00307520">
      <w:r>
        <w:br w:type="page"/>
      </w:r>
    </w:p>
    <w:p w14:paraId="2440DD40" w14:textId="77777777" w:rsidR="00307520" w:rsidRDefault="00307520" w:rsidP="00307520">
      <w:pPr>
        <w:spacing w:line="480" w:lineRule="auto"/>
        <w:jc w:val="both"/>
        <w:rPr>
          <w:rFonts w:cstheme="minorHAnsi"/>
        </w:rPr>
      </w:pPr>
      <w:r>
        <w:rPr>
          <w:rFonts w:cstheme="minorHAnsi"/>
        </w:rPr>
        <w:lastRenderedPageBreak/>
        <w:t>Supplemental Figure 2</w:t>
      </w:r>
    </w:p>
    <w:p w14:paraId="6774AF4C" w14:textId="77777777" w:rsidR="00307520" w:rsidRDefault="00307520" w:rsidP="00307520">
      <w:pPr>
        <w:spacing w:line="480" w:lineRule="auto"/>
        <w:jc w:val="both"/>
        <w:rPr>
          <w:rFonts w:cstheme="minorHAnsi"/>
        </w:rPr>
      </w:pPr>
      <w:r w:rsidRPr="001F2DCF">
        <w:rPr>
          <w:rFonts w:cstheme="minorHAnsi"/>
          <w:noProof/>
        </w:rPr>
        <mc:AlternateContent>
          <mc:Choice Requires="wps">
            <w:drawing>
              <wp:anchor distT="45720" distB="45720" distL="114300" distR="114300" simplePos="0" relativeHeight="251663360" behindDoc="0" locked="0" layoutInCell="1" allowOverlap="1" wp14:anchorId="1163E88B" wp14:editId="40DCD6B7">
                <wp:simplePos x="0" y="0"/>
                <wp:positionH relativeFrom="margin">
                  <wp:align>right</wp:align>
                </wp:positionH>
                <wp:positionV relativeFrom="paragraph">
                  <wp:posOffset>2357120</wp:posOffset>
                </wp:positionV>
                <wp:extent cx="5429250" cy="1704975"/>
                <wp:effectExtent l="0" t="0" r="0" b="952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704975"/>
                        </a:xfrm>
                        <a:prstGeom prst="rect">
                          <a:avLst/>
                        </a:prstGeom>
                        <a:solidFill>
                          <a:srgbClr val="FFFFFF"/>
                        </a:solidFill>
                        <a:ln w="9525">
                          <a:noFill/>
                          <a:miter lim="800000"/>
                          <a:headEnd/>
                          <a:tailEnd/>
                        </a:ln>
                      </wps:spPr>
                      <wps:txbx>
                        <w:txbxContent>
                          <w:p w14:paraId="5810880F" w14:textId="77777777" w:rsidR="00307520" w:rsidRPr="001F2DCF" w:rsidRDefault="00307520" w:rsidP="00307520">
                            <w:pPr>
                              <w:jc w:val="both"/>
                              <w:rPr>
                                <w:sz w:val="20"/>
                                <w:szCs w:val="20"/>
                              </w:rPr>
                            </w:pPr>
                            <w:r w:rsidRPr="001F2DCF">
                              <w:rPr>
                                <w:sz w:val="20"/>
                                <w:szCs w:val="20"/>
                              </w:rPr>
                              <w:t xml:space="preserve">Supplemental Figure </w:t>
                            </w:r>
                            <w:r>
                              <w:rPr>
                                <w:sz w:val="20"/>
                                <w:szCs w:val="20"/>
                              </w:rPr>
                              <w:t>2</w:t>
                            </w:r>
                            <w:r w:rsidRPr="001F2DCF">
                              <w:rPr>
                                <w:sz w:val="20"/>
                                <w:szCs w:val="20"/>
                              </w:rPr>
                              <w:t>.</w:t>
                            </w:r>
                            <w:r w:rsidRPr="00812D50">
                              <w:rPr>
                                <w:rFonts w:cstheme="minorHAnsi"/>
                                <w:i/>
                              </w:rPr>
                              <w:t xml:space="preserve"> </w:t>
                            </w:r>
                            <w:r w:rsidRPr="00E56499">
                              <w:rPr>
                                <w:rFonts w:cstheme="minorHAnsi"/>
                                <w:i/>
                              </w:rPr>
                              <w:t>De novo</w:t>
                            </w:r>
                            <w:r>
                              <w:rPr>
                                <w:rFonts w:cstheme="minorHAnsi"/>
                              </w:rPr>
                              <w:t xml:space="preserve"> synthesis of fatty acids from glucose for cells metabolizing exogenous glucose but not glutamine. Cells were pre-treated 3-4 h with 40 </w:t>
                            </w:r>
                            <w:r>
                              <w:rPr>
                                <w:rFonts w:cstheme="minorHAnsi"/>
                              </w:rPr>
                              <w:sym w:font="Symbol" w:char="F06D"/>
                            </w:r>
                            <w:r>
                              <w:rPr>
                                <w:rFonts w:cstheme="minorHAnsi"/>
                              </w:rPr>
                              <w:t>M C75 or equivalent volume of vehicle (100% ethanol) to inhibit fatty acid synthesis. The decrease in glucose consumption relative to controls was used to assess flux of glucose to fatty acids as detailed in Supplemental Information Eq. 13. From one-way ANOVA, there was a significant main effect of cell line (p = 0.033), but no significant differences from Tukey’s post-hoc test (p = 0.050 for T47D vs. LM cells).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3E88B" id="_x0000_s1027" type="#_x0000_t202" style="position:absolute;left:0;text-align:left;margin-left:376.3pt;margin-top:185.6pt;width:427.5pt;height:134.2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" stroked="f">
                <v:textbox>
                  <w:txbxContent>
                    <w:p w14:paraId="5810880F" w14:textId="77777777" w:rsidR="00307520" w:rsidRPr="001F2DCF" w:rsidRDefault="00307520" w:rsidP="00307520">
                      <w:pPr>
                        <w:jc w:val="both"/>
                        <w:rPr>
                          <w:sz w:val="20"/>
                          <w:szCs w:val="20"/>
                        </w:rPr>
                      </w:pPr>
                      <w:r w:rsidRPr="001F2DCF">
                        <w:rPr>
                          <w:sz w:val="20"/>
                          <w:szCs w:val="20"/>
                        </w:rPr>
                        <w:t xml:space="preserve">Supplemental Figure </w:t>
                      </w:r>
                      <w:r>
                        <w:rPr>
                          <w:sz w:val="20"/>
                          <w:szCs w:val="20"/>
                        </w:rPr>
                        <w:t>2</w:t>
                      </w:r>
                      <w:r w:rsidRPr="001F2DCF">
                        <w:rPr>
                          <w:sz w:val="20"/>
                          <w:szCs w:val="20"/>
                        </w:rPr>
                        <w:t>.</w:t>
                      </w:r>
                      <w:r w:rsidRPr="00812D50">
                        <w:rPr>
                          <w:rFonts w:cstheme="minorHAnsi"/>
                          <w:i/>
                        </w:rPr>
                        <w:t xml:space="preserve"> </w:t>
                      </w:r>
                      <w:r w:rsidRPr="00E56499">
                        <w:rPr>
                          <w:rFonts w:cstheme="minorHAnsi"/>
                          <w:i/>
                        </w:rPr>
                        <w:t>De novo</w:t>
                      </w:r>
                      <w:r>
                        <w:rPr>
                          <w:rFonts w:cstheme="minorHAnsi"/>
                        </w:rPr>
                        <w:t xml:space="preserve"> synthesis of fatty acids from glucose for cells metabolizing exogenous glucose but not glutamine. Cells were pre-treated 3-4 h with 40 </w:t>
                      </w:r>
                      <w:r>
                        <w:rPr>
                          <w:rFonts w:cstheme="minorHAnsi"/>
                        </w:rPr>
                        <w:sym w:font="Symbol" w:char="F06D"/>
                      </w:r>
                      <w:r>
                        <w:rPr>
                          <w:rFonts w:cstheme="minorHAnsi"/>
                        </w:rPr>
                        <w:t>M C75 or equivalent volume of vehicle (100% ethanol) to inhibit fatty acid synthesis. The decrease in glucose consumption relative to controls was used to assess flux of glucose to fatty acids as detailed in Supplemental Information Eq. 13. From one-way ANOVA, there was a significant main effect of cell line (p = 0.033), but no significant differences from Tukey’s post-hoc test (p = 0.050 for T47D vs. LM cells).</w:t>
                      </w:r>
                    </w:p>
                  </w:txbxContent>
                </v:textbox>
                <w10:wrap type="square" anchorx="margin"/>
              </v:shape>
            </w:pict>
          </mc:Fallback>
        </mc:AlternateContent>
      </w:r>
      <w:r>
        <w:rPr>
          <w:rFonts w:cstheme="minorHAnsi"/>
          <w:noProof/>
        </w:rPr>
        <w:drawing>
          <wp:anchor distT="0" distB="0" distL="114300" distR="114300" simplePos="0" relativeHeight="251662336" behindDoc="0" locked="0" layoutInCell="1" allowOverlap="1" wp14:anchorId="7326097D" wp14:editId="1546E68A">
            <wp:simplePos x="914400" y="1352550"/>
            <wp:positionH relativeFrom="margin">
              <wp:align>center</wp:align>
            </wp:positionH>
            <wp:positionV relativeFrom="paragraph">
              <wp:posOffset>0</wp:posOffset>
            </wp:positionV>
            <wp:extent cx="3840480" cy="2350008"/>
            <wp:effectExtent l="0" t="0" r="762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uppl Fig2.jpg"/>
                    <pic:cNvPicPr/>
                  </pic:nvPicPr>
                  <pic:blipFill rotWithShape="1">
                    <a:blip r:embed="rId8">
                      <a:extLst>
                        <a:ext uri="{28A0092B-C50C-407E-A947-70E740481C1C}">
                          <a14:useLocalDpi xmlns:a14="http://schemas.microsoft.com/office/drawing/2010/main" val="0"/>
                        </a:ext>
                      </a:extLst>
                    </a:blip>
                    <a:srcRect l="31571" t="12251" r="31250" b="47293"/>
                    <a:stretch/>
                  </pic:blipFill>
                  <pic:spPr bwMode="auto">
                    <a:xfrm>
                      <a:off x="0" y="0"/>
                      <a:ext cx="3840480" cy="23500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75E8A8" w14:textId="77777777" w:rsidR="00307520" w:rsidRDefault="00307520" w:rsidP="00307520">
      <w:pPr>
        <w:spacing w:line="480" w:lineRule="auto"/>
        <w:jc w:val="both"/>
        <w:rPr>
          <w:rFonts w:cstheme="minorHAnsi"/>
        </w:rPr>
      </w:pPr>
    </w:p>
    <w:p w14:paraId="006B13AE" w14:textId="77777777" w:rsidR="00307520" w:rsidRDefault="00307520" w:rsidP="00307520">
      <w:pPr>
        <w:spacing w:line="480" w:lineRule="auto"/>
        <w:jc w:val="both"/>
        <w:rPr>
          <w:rFonts w:cstheme="minorHAnsi"/>
        </w:rPr>
      </w:pPr>
    </w:p>
    <w:p w14:paraId="26DEB8DB" w14:textId="77777777" w:rsidR="00307520" w:rsidRDefault="00307520" w:rsidP="00307520">
      <w:pPr>
        <w:spacing w:line="480" w:lineRule="auto"/>
        <w:jc w:val="both"/>
        <w:rPr>
          <w:rFonts w:cstheme="minorHAnsi"/>
        </w:rPr>
      </w:pPr>
    </w:p>
    <w:p w14:paraId="49666E56" w14:textId="77777777" w:rsidR="00307520" w:rsidRDefault="00307520" w:rsidP="00307520">
      <w:pPr>
        <w:rPr>
          <w:rFonts w:cstheme="minorHAnsi"/>
        </w:rPr>
      </w:pPr>
      <w:r>
        <w:rPr>
          <w:rFonts w:cstheme="minorHAnsi"/>
        </w:rPr>
        <w:br w:type="page"/>
      </w:r>
      <w:bookmarkStart w:id="0" w:name="_GoBack"/>
      <w:bookmarkEnd w:id="0"/>
    </w:p>
    <w:p w14:paraId="79A3BC8E" w14:textId="77777777" w:rsidR="00307520" w:rsidRDefault="00307520" w:rsidP="00307520">
      <w:pPr>
        <w:spacing w:line="480" w:lineRule="auto"/>
        <w:jc w:val="both"/>
        <w:rPr>
          <w:rFonts w:cstheme="minorHAnsi"/>
        </w:rPr>
      </w:pPr>
      <w:r w:rsidRPr="001F2DCF">
        <w:rPr>
          <w:rFonts w:cstheme="minorHAnsi"/>
          <w:noProof/>
        </w:rPr>
        <w:lastRenderedPageBreak/>
        <mc:AlternateContent>
          <mc:Choice Requires="wps">
            <w:drawing>
              <wp:anchor distT="45720" distB="45720" distL="114300" distR="114300" simplePos="0" relativeHeight="251664384" behindDoc="0" locked="0" layoutInCell="1" allowOverlap="1" wp14:anchorId="5C0705C9" wp14:editId="1475DF11">
                <wp:simplePos x="0" y="0"/>
                <wp:positionH relativeFrom="margin">
                  <wp:align>right</wp:align>
                </wp:positionH>
                <wp:positionV relativeFrom="paragraph">
                  <wp:posOffset>5273675</wp:posOffset>
                </wp:positionV>
                <wp:extent cx="5667375" cy="2486025"/>
                <wp:effectExtent l="0" t="0" r="9525" b="952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2486025"/>
                        </a:xfrm>
                        <a:prstGeom prst="rect">
                          <a:avLst/>
                        </a:prstGeom>
                        <a:solidFill>
                          <a:srgbClr val="FFFFFF"/>
                        </a:solidFill>
                        <a:ln w="9525">
                          <a:noFill/>
                          <a:miter lim="800000"/>
                          <a:headEnd/>
                          <a:tailEnd/>
                        </a:ln>
                      </wps:spPr>
                      <wps:txbx>
                        <w:txbxContent>
                          <w:p w14:paraId="7E2B6B5F" w14:textId="77777777" w:rsidR="00307520" w:rsidRPr="00C0331D" w:rsidRDefault="00307520" w:rsidP="00307520">
                            <w:pPr>
                              <w:jc w:val="both"/>
                              <w:rPr>
                                <w:sz w:val="20"/>
                                <w:szCs w:val="20"/>
                              </w:rPr>
                            </w:pPr>
                            <w:r w:rsidRPr="001F2DCF">
                              <w:rPr>
                                <w:sz w:val="20"/>
                                <w:szCs w:val="20"/>
                              </w:rPr>
                              <w:t xml:space="preserve">Supplemental Figure </w:t>
                            </w:r>
                            <w:r>
                              <w:rPr>
                                <w:sz w:val="20"/>
                                <w:szCs w:val="20"/>
                              </w:rPr>
                              <w:t>3</w:t>
                            </w:r>
                            <w:r w:rsidRPr="001F2DCF">
                              <w:rPr>
                                <w:sz w:val="20"/>
                                <w:szCs w:val="20"/>
                              </w:rPr>
                              <w:t>.</w:t>
                            </w:r>
                            <w:r w:rsidRPr="00812D50">
                              <w:rPr>
                                <w:rFonts w:cstheme="minorHAnsi"/>
                                <w:i/>
                              </w:rPr>
                              <w:t xml:space="preserve"> </w:t>
                            </w:r>
                            <w:r>
                              <w:rPr>
                                <w:rFonts w:cstheme="minorHAnsi"/>
                              </w:rPr>
                              <w:t>Relationship of anabolic and bioenergetic properties to cell growth. (A) Bi-plot of Scores and Loadings from principal component analysis of anabolic and bioenergetic indices. The percentage of glucose consumed that was shunted to nucleotides (NTs), serine (Ser), and fatty acids (FA), the percentage of glutamine shunted to FA and glutathione (GSH), and the percentage of pentose phosphates (R5P) from the reverse non-oxidative PPP (</w:t>
                            </w:r>
                            <w:proofErr w:type="spellStart"/>
                            <w:r>
                              <w:rPr>
                                <w:rFonts w:cstheme="minorHAnsi"/>
                              </w:rPr>
                              <w:t>NonPPP</w:t>
                            </w:r>
                            <w:proofErr w:type="spellEnd"/>
                            <w:r>
                              <w:rPr>
                                <w:rFonts w:cstheme="minorHAnsi"/>
                              </w:rPr>
                              <w:t>) were the anabolic indices used. The percentage of ATP derived from oxidative phosphorylation was the bioenergetic index included. (B) Cell line proliferation rate in cell culture media estimated in the 3-7 days preceding experiments with [5-</w:t>
                            </w:r>
                            <w:r w:rsidRPr="00246322">
                              <w:rPr>
                                <w:rFonts w:cstheme="minorHAnsi"/>
                                <w:vertAlign w:val="superscript"/>
                              </w:rPr>
                              <w:t>13</w:t>
                            </w:r>
                            <w:r>
                              <w:rPr>
                                <w:rFonts w:cstheme="minorHAnsi"/>
                              </w:rPr>
                              <w:t>C] glutamine. Cells were seeded in 10 cm dishes at 1-2 x 10</w:t>
                            </w:r>
                            <w:r w:rsidRPr="00246322">
                              <w:rPr>
                                <w:rFonts w:cstheme="minorHAnsi"/>
                                <w:vertAlign w:val="superscript"/>
                              </w:rPr>
                              <w:t>6</w:t>
                            </w:r>
                            <w:r>
                              <w:rPr>
                                <w:rFonts w:cstheme="minorHAnsi"/>
                              </w:rPr>
                              <w:t xml:space="preserve"> cells (T47D), 0.5-0.6 x 10</w:t>
                            </w:r>
                            <w:r w:rsidRPr="00DC18CE">
                              <w:rPr>
                                <w:rFonts w:cstheme="minorHAnsi"/>
                                <w:vertAlign w:val="superscript"/>
                              </w:rPr>
                              <w:t>6</w:t>
                            </w:r>
                            <w:r>
                              <w:rPr>
                                <w:rFonts w:cstheme="minorHAnsi"/>
                              </w:rPr>
                              <w:t xml:space="preserve"> cells (MDA-MB-231, BoM), or 0.8-1.0 x 10</w:t>
                            </w:r>
                            <w:r w:rsidRPr="00DC18CE">
                              <w:rPr>
                                <w:rFonts w:cstheme="minorHAnsi"/>
                                <w:vertAlign w:val="superscript"/>
                              </w:rPr>
                              <w:t>6</w:t>
                            </w:r>
                            <w:r>
                              <w:rPr>
                                <w:rFonts w:cstheme="minorHAnsi"/>
                              </w:rPr>
                              <w:t xml:space="preserve"> cells (LM) then counted after 3 (BoM, LM), 4-5 (MDA-MB-231), or 5-7 (T47D) days to calculate average proliferation rate over the culture time. Data are mean ± SEM of four experiments. Bars sharing common letters are not significantly different. (C) Principal component regression analysis of anabolic and bioenergetic indices to proliferation rate.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705C9" id="_x0000_s1028" type="#_x0000_t202" style="position:absolute;left:0;text-align:left;margin-left:395.05pt;margin-top:415.25pt;width:446.25pt;height:195.7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" stroked="f">
                <v:textbox>
                  <w:txbxContent>
                    <w:p w14:paraId="7E2B6B5F" w14:textId="77777777" w:rsidR="00307520" w:rsidRPr="00C0331D" w:rsidRDefault="00307520" w:rsidP="00307520">
                      <w:pPr>
                        <w:jc w:val="both"/>
                        <w:rPr>
                          <w:sz w:val="20"/>
                          <w:szCs w:val="20"/>
                        </w:rPr>
                      </w:pPr>
                      <w:r w:rsidRPr="001F2DCF">
                        <w:rPr>
                          <w:sz w:val="20"/>
                          <w:szCs w:val="20"/>
                        </w:rPr>
                        <w:t xml:space="preserve">Supplemental Figure </w:t>
                      </w:r>
                      <w:r>
                        <w:rPr>
                          <w:sz w:val="20"/>
                          <w:szCs w:val="20"/>
                        </w:rPr>
                        <w:t>3</w:t>
                      </w:r>
                      <w:r w:rsidRPr="001F2DCF">
                        <w:rPr>
                          <w:sz w:val="20"/>
                          <w:szCs w:val="20"/>
                        </w:rPr>
                        <w:t>.</w:t>
                      </w:r>
                      <w:r w:rsidRPr="00812D50">
                        <w:rPr>
                          <w:rFonts w:cstheme="minorHAnsi"/>
                          <w:i/>
                        </w:rPr>
                        <w:t xml:space="preserve"> </w:t>
                      </w:r>
                      <w:r>
                        <w:rPr>
                          <w:rFonts w:cstheme="minorHAnsi"/>
                        </w:rPr>
                        <w:t>Relationship of anabolic and bioenergetic properties to cell growth. (A) Bi-plot of Scores and Loadings from principal component analysis of anabolic and bioenergetic indices. The percentage of glucose consumed that was shunted to nucleotides (NTs), serine (Ser), and fatty acids (FA), the percentage of glutamine shunted to FA and glutathione (GSH), and the percentage of pentose phosphates (R5P) from the reverse non-oxidative PPP (</w:t>
                      </w:r>
                      <w:proofErr w:type="spellStart"/>
                      <w:r>
                        <w:rPr>
                          <w:rFonts w:cstheme="minorHAnsi"/>
                        </w:rPr>
                        <w:t>NonPPP</w:t>
                      </w:r>
                      <w:proofErr w:type="spellEnd"/>
                      <w:r>
                        <w:rPr>
                          <w:rFonts w:cstheme="minorHAnsi"/>
                        </w:rPr>
                        <w:t>) were the anabolic indices used. The percentage of ATP derived from oxidative phosphorylation was the bioenergetic index included. (B) Cell line proliferation rate in cell culture media estimated in the 3-7 days preceding experiments with [5-</w:t>
                      </w:r>
                      <w:r w:rsidRPr="00246322">
                        <w:rPr>
                          <w:rFonts w:cstheme="minorHAnsi"/>
                          <w:vertAlign w:val="superscript"/>
                        </w:rPr>
                        <w:t>13</w:t>
                      </w:r>
                      <w:r>
                        <w:rPr>
                          <w:rFonts w:cstheme="minorHAnsi"/>
                        </w:rPr>
                        <w:t>C] glutamine. Cells were seeded in 10 cm dishes at 1-2 x 10</w:t>
                      </w:r>
                      <w:r w:rsidRPr="00246322">
                        <w:rPr>
                          <w:rFonts w:cstheme="minorHAnsi"/>
                          <w:vertAlign w:val="superscript"/>
                        </w:rPr>
                        <w:t>6</w:t>
                      </w:r>
                      <w:r>
                        <w:rPr>
                          <w:rFonts w:cstheme="minorHAnsi"/>
                        </w:rPr>
                        <w:t xml:space="preserve"> cells (T47D), 0.5-0.6 x 10</w:t>
                      </w:r>
                      <w:r w:rsidRPr="00DC18CE">
                        <w:rPr>
                          <w:rFonts w:cstheme="minorHAnsi"/>
                          <w:vertAlign w:val="superscript"/>
                        </w:rPr>
                        <w:t>6</w:t>
                      </w:r>
                      <w:r>
                        <w:rPr>
                          <w:rFonts w:cstheme="minorHAnsi"/>
                        </w:rPr>
                        <w:t xml:space="preserve"> cells (MDA-MB-231, BoM), or 0.8-1.0 x 10</w:t>
                      </w:r>
                      <w:r w:rsidRPr="00DC18CE">
                        <w:rPr>
                          <w:rFonts w:cstheme="minorHAnsi"/>
                          <w:vertAlign w:val="superscript"/>
                        </w:rPr>
                        <w:t>6</w:t>
                      </w:r>
                      <w:r>
                        <w:rPr>
                          <w:rFonts w:cstheme="minorHAnsi"/>
                        </w:rPr>
                        <w:t xml:space="preserve"> cells (LM) then counted after 3 (BoM, LM), 4-5 (MDA-MB-231), or 5-7 (T47D) days to calculate average proliferation rate over the culture time. Data are mean ± SEM of four experiments. Bars sharing common letters are not significantly different. (C) Principal component regression analysis of anabolic and bioenergetic indices to proliferation rate. </w:t>
                      </w:r>
                    </w:p>
                  </w:txbxContent>
                </v:textbox>
                <w10:wrap type="square" anchorx="margin"/>
              </v:shape>
            </w:pict>
          </mc:Fallback>
        </mc:AlternateContent>
      </w:r>
      <w:r>
        <w:rPr>
          <w:rFonts w:cstheme="minorHAnsi"/>
        </w:rPr>
        <w:t>Supplemental Figure 3</w:t>
      </w:r>
    </w:p>
    <w:p w14:paraId="19859DE8" w14:textId="77777777" w:rsidR="00307520" w:rsidRDefault="00307520" w:rsidP="00307520">
      <w:pPr>
        <w:spacing w:line="480" w:lineRule="auto"/>
        <w:jc w:val="both"/>
        <w:rPr>
          <w:rFonts w:cstheme="minorHAnsi"/>
        </w:rPr>
      </w:pPr>
      <w:r>
        <w:rPr>
          <w:rFonts w:cstheme="minorHAnsi"/>
          <w:noProof/>
        </w:rPr>
        <w:drawing>
          <wp:anchor distT="0" distB="0" distL="114300" distR="114300" simplePos="0" relativeHeight="251671552" behindDoc="0" locked="0" layoutInCell="1" allowOverlap="1" wp14:anchorId="08FB4A00" wp14:editId="2B5285AB">
            <wp:simplePos x="914400" y="1352550"/>
            <wp:positionH relativeFrom="column">
              <wp:align>center</wp:align>
            </wp:positionH>
            <wp:positionV relativeFrom="paragraph">
              <wp:posOffset>0</wp:posOffset>
            </wp:positionV>
            <wp:extent cx="7031736" cy="4645152"/>
            <wp:effectExtent l="0" t="0" r="0" b="3175"/>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uppl Fig3.jpg"/>
                    <pic:cNvPicPr/>
                  </pic:nvPicPr>
                  <pic:blipFill rotWithShape="1">
                    <a:blip r:embed="rId9">
                      <a:extLst>
                        <a:ext uri="{28A0092B-C50C-407E-A947-70E740481C1C}">
                          <a14:useLocalDpi xmlns:a14="http://schemas.microsoft.com/office/drawing/2010/main" val="0"/>
                        </a:ext>
                      </a:extLst>
                    </a:blip>
                    <a:srcRect l="3526" r="11379"/>
                    <a:stretch/>
                  </pic:blipFill>
                  <pic:spPr bwMode="auto">
                    <a:xfrm>
                      <a:off x="0" y="0"/>
                      <a:ext cx="7031736" cy="46451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078CBF" w14:textId="77777777" w:rsidR="00307520" w:rsidRDefault="00307520" w:rsidP="00307520">
      <w:pPr>
        <w:spacing w:line="480" w:lineRule="auto"/>
        <w:jc w:val="both"/>
        <w:rPr>
          <w:rFonts w:cstheme="minorHAnsi"/>
        </w:rPr>
      </w:pPr>
      <w:r>
        <w:rPr>
          <w:rFonts w:cstheme="minorHAnsi"/>
          <w:noProof/>
        </w:rPr>
        <w:lastRenderedPageBreak/>
        <w:drawing>
          <wp:anchor distT="0" distB="0" distL="114300" distR="114300" simplePos="0" relativeHeight="251665408" behindDoc="0" locked="0" layoutInCell="1" allowOverlap="1" wp14:anchorId="17DEB648" wp14:editId="5603B4BB">
            <wp:simplePos x="0" y="0"/>
            <wp:positionH relativeFrom="margin">
              <wp:posOffset>-19050</wp:posOffset>
            </wp:positionH>
            <wp:positionV relativeFrom="paragraph">
              <wp:posOffset>438150</wp:posOffset>
            </wp:positionV>
            <wp:extent cx="6115050" cy="3602355"/>
            <wp:effectExtent l="0" t="0" r="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uppl Fig4.jpg"/>
                    <pic:cNvPicPr/>
                  </pic:nvPicPr>
                  <pic:blipFill rotWithShape="1">
                    <a:blip r:embed="rId10">
                      <a:extLst>
                        <a:ext uri="{28A0092B-C50C-407E-A947-70E740481C1C}">
                          <a14:useLocalDpi xmlns:a14="http://schemas.microsoft.com/office/drawing/2010/main" val="0"/>
                        </a:ext>
                      </a:extLst>
                    </a:blip>
                    <a:srcRect l="8083" t="6267" r="7843" b="5698"/>
                    <a:stretch/>
                  </pic:blipFill>
                  <pic:spPr bwMode="auto">
                    <a:xfrm>
                      <a:off x="0" y="0"/>
                      <a:ext cx="6115050" cy="36023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inorHAnsi"/>
        </w:rPr>
        <w:t>Supplemental Figure 4</w:t>
      </w:r>
    </w:p>
    <w:p w14:paraId="5AAF4F74" w14:textId="77777777" w:rsidR="00307520" w:rsidRDefault="00307520" w:rsidP="00307520">
      <w:pPr>
        <w:spacing w:line="480" w:lineRule="auto"/>
        <w:jc w:val="both"/>
        <w:rPr>
          <w:rFonts w:cstheme="minorHAnsi"/>
        </w:rPr>
      </w:pPr>
      <w:r w:rsidRPr="001F2DCF">
        <w:rPr>
          <w:rFonts w:cstheme="minorHAnsi"/>
          <w:noProof/>
        </w:rPr>
        <mc:AlternateContent>
          <mc:Choice Requires="wps">
            <w:drawing>
              <wp:anchor distT="45720" distB="45720" distL="114300" distR="114300" simplePos="0" relativeHeight="251666432" behindDoc="0" locked="0" layoutInCell="1" allowOverlap="1" wp14:anchorId="67395C32" wp14:editId="1E92EA72">
                <wp:simplePos x="0" y="0"/>
                <wp:positionH relativeFrom="margin">
                  <wp:posOffset>247650</wp:posOffset>
                </wp:positionH>
                <wp:positionV relativeFrom="paragraph">
                  <wp:posOffset>3910330</wp:posOffset>
                </wp:positionV>
                <wp:extent cx="5667375" cy="971550"/>
                <wp:effectExtent l="0" t="0" r="9525"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971550"/>
                        </a:xfrm>
                        <a:prstGeom prst="rect">
                          <a:avLst/>
                        </a:prstGeom>
                        <a:solidFill>
                          <a:srgbClr val="FFFFFF"/>
                        </a:solidFill>
                        <a:ln w="9525">
                          <a:noFill/>
                          <a:miter lim="800000"/>
                          <a:headEnd/>
                          <a:tailEnd/>
                        </a:ln>
                      </wps:spPr>
                      <wps:txbx>
                        <w:txbxContent>
                          <w:p w14:paraId="710578EB" w14:textId="77777777" w:rsidR="00307520" w:rsidRPr="00C0331D" w:rsidRDefault="00307520" w:rsidP="00307520">
                            <w:pPr>
                              <w:jc w:val="both"/>
                              <w:rPr>
                                <w:sz w:val="20"/>
                                <w:szCs w:val="20"/>
                              </w:rPr>
                            </w:pPr>
                            <w:r w:rsidRPr="001F2DCF">
                              <w:rPr>
                                <w:sz w:val="20"/>
                                <w:szCs w:val="20"/>
                              </w:rPr>
                              <w:t xml:space="preserve">Supplemental Figure </w:t>
                            </w:r>
                            <w:r>
                              <w:rPr>
                                <w:sz w:val="20"/>
                                <w:szCs w:val="20"/>
                              </w:rPr>
                              <w:t>4</w:t>
                            </w:r>
                            <w:r w:rsidRPr="001F2DCF">
                              <w:rPr>
                                <w:sz w:val="20"/>
                                <w:szCs w:val="20"/>
                              </w:rPr>
                              <w:t>.</w:t>
                            </w:r>
                            <w:r w:rsidRPr="00812D50">
                              <w:rPr>
                                <w:rFonts w:cstheme="minorHAnsi"/>
                                <w:i/>
                              </w:rPr>
                              <w:t xml:space="preserve"> </w:t>
                            </w:r>
                            <w:r>
                              <w:rPr>
                                <w:rFonts w:cstheme="minorHAnsi"/>
                              </w:rPr>
                              <w:t xml:space="preserve">Morphology of MDA-MB-231 and T47D cells. Representative images of MDA-MB-231 cells (A-C) and T47D cells (D-F) cultured with experimental buffer in 2-well Lab-Tek chambers for flux analysis. Images were acquired with a 63x oil objective on a Zeiss 200M </w:t>
                            </w:r>
                            <w:proofErr w:type="spellStart"/>
                            <w:r>
                              <w:rPr>
                                <w:rFonts w:cstheme="minorHAnsi"/>
                              </w:rPr>
                              <w:t>Axiovert</w:t>
                            </w:r>
                            <w:proofErr w:type="spellEnd"/>
                            <w:r>
                              <w:rPr>
                                <w:rFonts w:cstheme="minorHAnsi"/>
                              </w:rPr>
                              <w:t xml:space="preserve"> microscope. Red scale bar is 5 </w:t>
                            </w:r>
                            <w:r>
                              <w:rPr>
                                <w:rFonts w:cstheme="minorHAnsi"/>
                              </w:rPr>
                              <w:sym w:font="Symbol" w:char="F06D"/>
                            </w:r>
                            <w:r>
                              <w:rPr>
                                <w:rFonts w:cstheme="minorHAnsi"/>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395C32" id="_x0000_s1029" type="#_x0000_t202" style="position:absolute;left:0;text-align:left;margin-left:19.5pt;margin-top:307.9pt;width:446.25pt;height:76.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" stroked="f">
                <v:textbox>
                  <w:txbxContent>
                    <w:p w14:paraId="710578EB" w14:textId="77777777" w:rsidR="00307520" w:rsidRPr="00C0331D" w:rsidRDefault="00307520" w:rsidP="00307520">
                      <w:pPr>
                        <w:jc w:val="both"/>
                        <w:rPr>
                          <w:sz w:val="20"/>
                          <w:szCs w:val="20"/>
                        </w:rPr>
                      </w:pPr>
                      <w:r w:rsidRPr="001F2DCF">
                        <w:rPr>
                          <w:sz w:val="20"/>
                          <w:szCs w:val="20"/>
                        </w:rPr>
                        <w:t xml:space="preserve">Supplemental Figure </w:t>
                      </w:r>
                      <w:r>
                        <w:rPr>
                          <w:sz w:val="20"/>
                          <w:szCs w:val="20"/>
                        </w:rPr>
                        <w:t>4</w:t>
                      </w:r>
                      <w:r w:rsidRPr="001F2DCF">
                        <w:rPr>
                          <w:sz w:val="20"/>
                          <w:szCs w:val="20"/>
                        </w:rPr>
                        <w:t>.</w:t>
                      </w:r>
                      <w:r w:rsidRPr="00812D50">
                        <w:rPr>
                          <w:rFonts w:cstheme="minorHAnsi"/>
                          <w:i/>
                        </w:rPr>
                        <w:t xml:space="preserve"> </w:t>
                      </w:r>
                      <w:r>
                        <w:rPr>
                          <w:rFonts w:cstheme="minorHAnsi"/>
                        </w:rPr>
                        <w:t xml:space="preserve">Morphology of MDA-MB-231 and T47D cells. Representative images of MDA-MB-231 cells (A-C) and T47D cells (D-F) cultured with experimental buffer in 2-well Lab-Tek chambers for flux analysis. Images were acquired with a 63x oil objective on a Zeiss 200M </w:t>
                      </w:r>
                      <w:proofErr w:type="spellStart"/>
                      <w:r>
                        <w:rPr>
                          <w:rFonts w:cstheme="minorHAnsi"/>
                        </w:rPr>
                        <w:t>Axiovert</w:t>
                      </w:r>
                      <w:proofErr w:type="spellEnd"/>
                      <w:r>
                        <w:rPr>
                          <w:rFonts w:cstheme="minorHAnsi"/>
                        </w:rPr>
                        <w:t xml:space="preserve"> microscope. Red scale bar is 5 </w:t>
                      </w:r>
                      <w:r>
                        <w:rPr>
                          <w:rFonts w:cstheme="minorHAnsi"/>
                        </w:rPr>
                        <w:sym w:font="Symbol" w:char="F06D"/>
                      </w:r>
                      <w:r>
                        <w:rPr>
                          <w:rFonts w:cstheme="minorHAnsi"/>
                        </w:rPr>
                        <w:t>m.</w:t>
                      </w:r>
                    </w:p>
                  </w:txbxContent>
                </v:textbox>
                <w10:wrap type="square" anchorx="margin"/>
              </v:shape>
            </w:pict>
          </mc:Fallback>
        </mc:AlternateContent>
      </w:r>
    </w:p>
    <w:p w14:paraId="12880DB4" w14:textId="77777777" w:rsidR="00307520" w:rsidRDefault="00307520" w:rsidP="00307520">
      <w:pPr>
        <w:spacing w:line="480" w:lineRule="auto"/>
        <w:jc w:val="both"/>
        <w:rPr>
          <w:rFonts w:cstheme="minorHAnsi"/>
        </w:rPr>
      </w:pPr>
    </w:p>
    <w:p w14:paraId="08826FD6" w14:textId="77777777" w:rsidR="00307520" w:rsidRDefault="00307520" w:rsidP="00307520">
      <w:pPr>
        <w:spacing w:line="480" w:lineRule="auto"/>
        <w:jc w:val="both"/>
        <w:rPr>
          <w:rFonts w:cstheme="minorHAnsi"/>
        </w:rPr>
      </w:pPr>
    </w:p>
    <w:p w14:paraId="0F091620" w14:textId="77777777" w:rsidR="00307520" w:rsidRDefault="00307520" w:rsidP="00307520">
      <w:pPr>
        <w:rPr>
          <w:rFonts w:cstheme="minorHAnsi"/>
        </w:rPr>
      </w:pPr>
      <w:r>
        <w:rPr>
          <w:rFonts w:cstheme="minorHAnsi"/>
        </w:rPr>
        <w:br w:type="page"/>
      </w:r>
    </w:p>
    <w:p w14:paraId="6AA271A2" w14:textId="77777777" w:rsidR="00307520" w:rsidRDefault="00307520" w:rsidP="00307520">
      <w:pPr>
        <w:spacing w:line="480" w:lineRule="auto"/>
        <w:jc w:val="both"/>
        <w:rPr>
          <w:rFonts w:cstheme="minorHAnsi"/>
        </w:rPr>
      </w:pPr>
      <w:r>
        <w:rPr>
          <w:rFonts w:cstheme="minorHAnsi"/>
        </w:rPr>
        <w:lastRenderedPageBreak/>
        <w:t>Supplemental Figure 5</w:t>
      </w:r>
    </w:p>
    <w:p w14:paraId="74EE53E7" w14:textId="77777777" w:rsidR="00307520" w:rsidRDefault="00307520" w:rsidP="00307520">
      <w:pPr>
        <w:spacing w:line="480" w:lineRule="auto"/>
        <w:jc w:val="both"/>
        <w:rPr>
          <w:rFonts w:cstheme="minorHAnsi"/>
        </w:rPr>
      </w:pPr>
      <w:r w:rsidRPr="001F2DCF">
        <w:rPr>
          <w:rFonts w:cstheme="minorHAnsi"/>
          <w:noProof/>
        </w:rPr>
        <mc:AlternateContent>
          <mc:Choice Requires="wps">
            <w:drawing>
              <wp:anchor distT="45720" distB="45720" distL="114300" distR="114300" simplePos="0" relativeHeight="251668480" behindDoc="0" locked="0" layoutInCell="1" allowOverlap="1" wp14:anchorId="0538C9B2" wp14:editId="6E9E6091">
                <wp:simplePos x="0" y="0"/>
                <wp:positionH relativeFrom="margin">
                  <wp:align>left</wp:align>
                </wp:positionH>
                <wp:positionV relativeFrom="paragraph">
                  <wp:posOffset>3185795</wp:posOffset>
                </wp:positionV>
                <wp:extent cx="5667375" cy="1619250"/>
                <wp:effectExtent l="0" t="0" r="9525"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1619250"/>
                        </a:xfrm>
                        <a:prstGeom prst="rect">
                          <a:avLst/>
                        </a:prstGeom>
                        <a:solidFill>
                          <a:srgbClr val="FFFFFF"/>
                        </a:solidFill>
                        <a:ln w="9525">
                          <a:noFill/>
                          <a:miter lim="800000"/>
                          <a:headEnd/>
                          <a:tailEnd/>
                        </a:ln>
                      </wps:spPr>
                      <wps:txbx>
                        <w:txbxContent>
                          <w:p w14:paraId="71583BDF" w14:textId="77777777" w:rsidR="00307520" w:rsidRPr="00C0331D" w:rsidRDefault="00307520" w:rsidP="00307520">
                            <w:pPr>
                              <w:jc w:val="both"/>
                              <w:rPr>
                                <w:sz w:val="20"/>
                                <w:szCs w:val="20"/>
                              </w:rPr>
                            </w:pPr>
                            <w:r w:rsidRPr="001F2DCF">
                              <w:rPr>
                                <w:sz w:val="20"/>
                                <w:szCs w:val="20"/>
                              </w:rPr>
                              <w:t xml:space="preserve">Supplemental Figure </w:t>
                            </w:r>
                            <w:r>
                              <w:rPr>
                                <w:sz w:val="20"/>
                                <w:szCs w:val="20"/>
                              </w:rPr>
                              <w:t>5</w:t>
                            </w:r>
                            <w:r w:rsidRPr="001F2DCF">
                              <w:rPr>
                                <w:sz w:val="20"/>
                                <w:szCs w:val="20"/>
                              </w:rPr>
                              <w:t>.</w:t>
                            </w:r>
                            <w:r w:rsidRPr="00812D50">
                              <w:rPr>
                                <w:rFonts w:cstheme="minorHAnsi"/>
                                <w:i/>
                              </w:rPr>
                              <w:t xml:space="preserve"> </w:t>
                            </w:r>
                            <w:r>
                              <w:rPr>
                                <w:rFonts w:cstheme="minorHAnsi"/>
                              </w:rPr>
                              <w:t>MDA-MB-231 proliferation rate is lower than predicted from the relative rate of NADPH used for biosynthesis. NADPH consumption normalized to respiration rate is an index of that used for biosynthesis assuming that mitochondrial ROS production directly correlates with respiration rate. The regression line was from analysis of T47D, BoM, and LM lines, with MDA-MB-231 cells being an outlier. Data are mean ± SEM of four experiments for each cell line. The high NADPH/respiration rate ratio of MDA-MB-231 cells relative to their low proliferation rate suggests a higher proportion of NADPH is used for protection from ROS rather than biosynthesis.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38C9B2" id="_x0000_s1030" type="#_x0000_t202" style="position:absolute;left:0;text-align:left;margin-left:0;margin-top:250.85pt;width:446.25pt;height:127.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" stroked="f">
                <v:textbox>
                  <w:txbxContent>
                    <w:p w14:paraId="71583BDF" w14:textId="77777777" w:rsidR="00307520" w:rsidRPr="00C0331D" w:rsidRDefault="00307520" w:rsidP="00307520">
                      <w:pPr>
                        <w:jc w:val="both"/>
                        <w:rPr>
                          <w:sz w:val="20"/>
                          <w:szCs w:val="20"/>
                        </w:rPr>
                      </w:pPr>
                      <w:r w:rsidRPr="001F2DCF">
                        <w:rPr>
                          <w:sz w:val="20"/>
                          <w:szCs w:val="20"/>
                        </w:rPr>
                        <w:t xml:space="preserve">Supplemental Figure </w:t>
                      </w:r>
                      <w:r>
                        <w:rPr>
                          <w:sz w:val="20"/>
                          <w:szCs w:val="20"/>
                        </w:rPr>
                        <w:t>5</w:t>
                      </w:r>
                      <w:r w:rsidRPr="001F2DCF">
                        <w:rPr>
                          <w:sz w:val="20"/>
                          <w:szCs w:val="20"/>
                        </w:rPr>
                        <w:t>.</w:t>
                      </w:r>
                      <w:r w:rsidRPr="00812D50">
                        <w:rPr>
                          <w:rFonts w:cstheme="minorHAnsi"/>
                          <w:i/>
                        </w:rPr>
                        <w:t xml:space="preserve"> </w:t>
                      </w:r>
                      <w:r>
                        <w:rPr>
                          <w:rFonts w:cstheme="minorHAnsi"/>
                        </w:rPr>
                        <w:t>MDA-MB-231 proliferation rate is lower than predicted from the relative rate of NADPH used for biosynthesis. NADPH consumption normalized to respiration rate is an index of that used for biosynthesis assuming that mitochondrial ROS production directly correlates with respiration rate. The regression line was from analysis of T47D, BoM, and LM lines, with MDA-MB-231 cells being an outlier. Data are mean ± SEM of four experiments for each cell line. The high NADPH/respiration rate ratio of MDA-MB-231 cells relative to their low proliferation rate suggests a higher proportion of NADPH is used for protection from ROS rather than biosynthesis.</w:t>
                      </w:r>
                    </w:p>
                  </w:txbxContent>
                </v:textbox>
                <w10:wrap type="square" anchorx="margin"/>
              </v:shape>
            </w:pict>
          </mc:Fallback>
        </mc:AlternateContent>
      </w:r>
    </w:p>
    <w:p w14:paraId="7615AF03" w14:textId="77777777" w:rsidR="00307520" w:rsidRDefault="00307520" w:rsidP="00307520">
      <w:pPr>
        <w:spacing w:line="480" w:lineRule="auto"/>
        <w:jc w:val="both"/>
        <w:rPr>
          <w:rFonts w:cstheme="minorHAnsi"/>
        </w:rPr>
      </w:pPr>
      <w:r>
        <w:rPr>
          <w:rFonts w:cstheme="minorHAnsi"/>
          <w:noProof/>
        </w:rPr>
        <w:drawing>
          <wp:anchor distT="0" distB="0" distL="114300" distR="114300" simplePos="0" relativeHeight="251667456" behindDoc="0" locked="0" layoutInCell="1" allowOverlap="1" wp14:anchorId="4CEB8FA3" wp14:editId="03F24EE3">
            <wp:simplePos x="914400" y="1800225"/>
            <wp:positionH relativeFrom="margin">
              <wp:align>center</wp:align>
            </wp:positionH>
            <wp:positionV relativeFrom="paragraph">
              <wp:posOffset>0</wp:posOffset>
            </wp:positionV>
            <wp:extent cx="4526280" cy="2532888"/>
            <wp:effectExtent l="0" t="0" r="7620" b="127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uppl Fig5.jpg"/>
                    <pic:cNvPicPr/>
                  </pic:nvPicPr>
                  <pic:blipFill rotWithShape="1">
                    <a:blip r:embed="rId11">
                      <a:extLst>
                        <a:ext uri="{28A0092B-C50C-407E-A947-70E740481C1C}">
                          <a14:useLocalDpi xmlns:a14="http://schemas.microsoft.com/office/drawing/2010/main" val="0"/>
                        </a:ext>
                      </a:extLst>
                    </a:blip>
                    <a:srcRect l="29648" t="11681" r="28846" b="47008"/>
                    <a:stretch/>
                  </pic:blipFill>
                  <pic:spPr bwMode="auto">
                    <a:xfrm>
                      <a:off x="0" y="0"/>
                      <a:ext cx="4526280" cy="2532888"/>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8E80E16" w14:textId="77777777" w:rsidR="00307520" w:rsidRDefault="00307520" w:rsidP="00307520">
      <w:pPr>
        <w:rPr>
          <w:rFonts w:cstheme="minorHAnsi"/>
        </w:rPr>
      </w:pPr>
      <w:r>
        <w:rPr>
          <w:rFonts w:cstheme="minorHAnsi"/>
        </w:rPr>
        <w:br w:type="page"/>
      </w:r>
    </w:p>
    <w:p w14:paraId="39712F8B" w14:textId="77777777" w:rsidR="00307520" w:rsidRDefault="00307520" w:rsidP="00307520">
      <w:pPr>
        <w:spacing w:line="480" w:lineRule="auto"/>
        <w:jc w:val="both"/>
        <w:rPr>
          <w:rFonts w:cstheme="minorHAnsi"/>
        </w:rPr>
      </w:pPr>
      <w:r>
        <w:rPr>
          <w:rFonts w:cstheme="minorHAnsi"/>
        </w:rPr>
        <w:lastRenderedPageBreak/>
        <w:t>Supplemental Figure 6</w:t>
      </w:r>
    </w:p>
    <w:p w14:paraId="4639C143" w14:textId="77777777" w:rsidR="00307520" w:rsidRDefault="00307520" w:rsidP="00307520">
      <w:pPr>
        <w:spacing w:line="480" w:lineRule="auto"/>
        <w:jc w:val="both"/>
        <w:rPr>
          <w:rFonts w:cstheme="minorHAnsi"/>
        </w:rPr>
      </w:pPr>
      <w:r>
        <w:rPr>
          <w:rFonts w:cstheme="minorHAnsi"/>
          <w:noProof/>
        </w:rPr>
        <w:drawing>
          <wp:anchor distT="0" distB="0" distL="114300" distR="114300" simplePos="0" relativeHeight="251670528" behindDoc="0" locked="0" layoutInCell="1" allowOverlap="1" wp14:anchorId="01C918CF" wp14:editId="1AC97579">
            <wp:simplePos x="0" y="0"/>
            <wp:positionH relativeFrom="margin">
              <wp:posOffset>85725</wp:posOffset>
            </wp:positionH>
            <wp:positionV relativeFrom="paragraph">
              <wp:posOffset>586105</wp:posOffset>
            </wp:positionV>
            <wp:extent cx="6501384" cy="3657600"/>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uppl Fig6.jpg"/>
                    <pic:cNvPicPr/>
                  </pic:nvPicPr>
                  <pic:blipFill rotWithShape="1">
                    <a:blip r:embed="rId12">
                      <a:extLst>
                        <a:ext uri="{28A0092B-C50C-407E-A947-70E740481C1C}">
                          <a14:useLocalDpi xmlns:a14="http://schemas.microsoft.com/office/drawing/2010/main" val="0"/>
                        </a:ext>
                      </a:extLst>
                    </a:blip>
                    <a:srcRect l="1441" t="4270" r="2806"/>
                    <a:stretch/>
                  </pic:blipFill>
                  <pic:spPr bwMode="auto">
                    <a:xfrm>
                      <a:off x="0" y="0"/>
                      <a:ext cx="6501384" cy="365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B7F20B" w14:textId="77777777" w:rsidR="00307520" w:rsidRDefault="00307520" w:rsidP="00307520">
      <w:pPr>
        <w:spacing w:line="480" w:lineRule="auto"/>
        <w:jc w:val="both"/>
        <w:rPr>
          <w:rFonts w:cstheme="minorHAnsi"/>
        </w:rPr>
      </w:pPr>
      <w:r w:rsidRPr="001F2DCF">
        <w:rPr>
          <w:rFonts w:cstheme="minorHAnsi"/>
          <w:noProof/>
        </w:rPr>
        <mc:AlternateContent>
          <mc:Choice Requires="wps">
            <w:drawing>
              <wp:anchor distT="45720" distB="45720" distL="114300" distR="114300" simplePos="0" relativeHeight="251669504" behindDoc="0" locked="0" layoutInCell="1" allowOverlap="1" wp14:anchorId="3DAC663F" wp14:editId="19DB4DB7">
                <wp:simplePos x="0" y="0"/>
                <wp:positionH relativeFrom="margin">
                  <wp:align>left</wp:align>
                </wp:positionH>
                <wp:positionV relativeFrom="paragraph">
                  <wp:posOffset>4077335</wp:posOffset>
                </wp:positionV>
                <wp:extent cx="6448425" cy="2305050"/>
                <wp:effectExtent l="0" t="0" r="9525"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2305050"/>
                        </a:xfrm>
                        <a:prstGeom prst="rect">
                          <a:avLst/>
                        </a:prstGeom>
                        <a:solidFill>
                          <a:srgbClr val="FFFFFF"/>
                        </a:solidFill>
                        <a:ln w="9525">
                          <a:noFill/>
                          <a:miter lim="800000"/>
                          <a:headEnd/>
                          <a:tailEnd/>
                        </a:ln>
                      </wps:spPr>
                      <wps:txbx>
                        <w:txbxContent>
                          <w:p w14:paraId="01EEECAB" w14:textId="77777777" w:rsidR="00307520" w:rsidRPr="00C0331D" w:rsidRDefault="00307520" w:rsidP="00307520">
                            <w:pPr>
                              <w:jc w:val="both"/>
                              <w:rPr>
                                <w:sz w:val="20"/>
                                <w:szCs w:val="20"/>
                              </w:rPr>
                            </w:pPr>
                            <w:r w:rsidRPr="001F2DCF">
                              <w:rPr>
                                <w:sz w:val="20"/>
                                <w:szCs w:val="20"/>
                              </w:rPr>
                              <w:t xml:space="preserve">Supplemental Figure </w:t>
                            </w:r>
                            <w:r>
                              <w:rPr>
                                <w:sz w:val="20"/>
                                <w:szCs w:val="20"/>
                              </w:rPr>
                              <w:t>6</w:t>
                            </w:r>
                            <w:r>
                              <w:rPr>
                                <w:rFonts w:cstheme="minorHAnsi"/>
                              </w:rPr>
                              <w:t xml:space="preserve">. Detailed LM flux scheme assuming cytoplasmic NADH not used by lactate dehydrogenase is re-oxidized by malate dehydrogenase 1 (MDH1). Measured LM fluxes from Tables 5 and 6 are shown as blue numbers with blue arrows. LM cells generate 3.86 nmol cytoplasmic NADH/min above that required for lactate production and limited mitochondrial respiration rate precludes its oxidation by mitochondria through the malate-aspartate shuttle, suggesting this shuttle is not operating in these cells. If MDH1 re-oxidizes the ‘excess’ NADH, then fatty acid synthesis and residual </w:t>
                            </w:r>
                            <w:r>
                              <w:rPr>
                                <w:rFonts w:cstheme="minorHAnsi"/>
                              </w:rPr>
                              <w:sym w:font="Symbol" w:char="F061"/>
                            </w:r>
                            <w:r>
                              <w:rPr>
                                <w:rFonts w:cstheme="minorHAnsi"/>
                              </w:rPr>
                              <w:t xml:space="preserve">-ketoglutarate from serine synthesis can supply only 47% of the required oxaloacetate (OAA) to MDH1. The remaining OAA (2.05 nmol/min) is proposed to come from pyruvate carboxylase, which has previously been shown to be upregulated in some lung-homing lines. Red arrows indicate hypothetical fluxes not shown in Tables 5 or 6. Thick blue line is the mitochondrial inner membrane (MIM), and proposed carriers involved are shown as circles. Orange circle: </w:t>
                            </w:r>
                            <w:r>
                              <w:rPr>
                                <w:rFonts w:cstheme="minorHAnsi"/>
                              </w:rPr>
                              <w:sym w:font="Symbol" w:char="F061"/>
                            </w:r>
                            <w:r>
                              <w:rPr>
                                <w:rFonts w:cstheme="minorHAnsi"/>
                              </w:rPr>
                              <w:t>-ketoglutarate carrier, yellow circle: tricarboxylate carrier, green circle: OAA carrier, and purple circle: dicarboxylate carrier.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AC663F" id="_x0000_s1031" type="#_x0000_t202" style="position:absolute;left:0;text-align:left;margin-left:0;margin-top:321.05pt;width:507.75pt;height:181.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" stroked="f">
                <v:textbox>
                  <w:txbxContent>
                    <w:p w14:paraId="01EEECAB" w14:textId="77777777" w:rsidR="00307520" w:rsidRPr="00C0331D" w:rsidRDefault="00307520" w:rsidP="00307520">
                      <w:pPr>
                        <w:jc w:val="both"/>
                        <w:rPr>
                          <w:sz w:val="20"/>
                          <w:szCs w:val="20"/>
                        </w:rPr>
                      </w:pPr>
                      <w:r w:rsidRPr="001F2DCF">
                        <w:rPr>
                          <w:sz w:val="20"/>
                          <w:szCs w:val="20"/>
                        </w:rPr>
                        <w:t xml:space="preserve">Supplemental Figure </w:t>
                      </w:r>
                      <w:r>
                        <w:rPr>
                          <w:sz w:val="20"/>
                          <w:szCs w:val="20"/>
                        </w:rPr>
                        <w:t>6</w:t>
                      </w:r>
                      <w:r>
                        <w:rPr>
                          <w:rFonts w:cstheme="minorHAnsi"/>
                        </w:rPr>
                        <w:t xml:space="preserve">. Detailed LM flux scheme assuming cytoplasmic NADH not used by lactate dehydrogenase is re-oxidized by malate dehydrogenase 1 (MDH1). Measured LM fluxes from Tables 5 and 6 are shown as blue numbers with blue arrows. LM cells generate 3.86 nmol cytoplasmic NADH/min above that required for lactate production and limited mitochondrial respiration rate precludes its oxidation by mitochondria through the malate-aspartate shuttle, suggesting this shuttle is not operating in these cells. If MDH1 re-oxidizes the ‘excess’ NADH, then fatty acid synthesis and residual </w:t>
                      </w:r>
                      <w:r>
                        <w:rPr>
                          <w:rFonts w:cstheme="minorHAnsi"/>
                        </w:rPr>
                        <w:sym w:font="Symbol" w:char="F061"/>
                      </w:r>
                      <w:r>
                        <w:rPr>
                          <w:rFonts w:cstheme="minorHAnsi"/>
                        </w:rPr>
                        <w:t xml:space="preserve">-ketoglutarate from serine synthesis can supply only 47% of the required oxaloacetate (OAA) to MDH1. The remaining OAA (2.05 nmol/min) is proposed to come from pyruvate carboxylase, which has previously been shown to be upregulated in some lung-homing lines. Red arrows indicate hypothetical fluxes not shown in Tables 5 or 6. Thick blue line is the mitochondrial inner membrane (MIM), and proposed carriers involved are shown as circles. Orange circle: </w:t>
                      </w:r>
                      <w:r>
                        <w:rPr>
                          <w:rFonts w:cstheme="minorHAnsi"/>
                        </w:rPr>
                        <w:sym w:font="Symbol" w:char="F061"/>
                      </w:r>
                      <w:r>
                        <w:rPr>
                          <w:rFonts w:cstheme="minorHAnsi"/>
                        </w:rPr>
                        <w:t>-ketoglutarate carrier, yellow circle: tricarboxylate carrier, green circle: OAA carrier, and purple circle: dicarboxylate carrier.</w:t>
                      </w:r>
                    </w:p>
                  </w:txbxContent>
                </v:textbox>
                <w10:wrap type="square" anchorx="margin"/>
              </v:shape>
            </w:pict>
          </mc:Fallback>
        </mc:AlternateContent>
      </w:r>
    </w:p>
    <w:p w14:paraId="1BCD6D82" w14:textId="77777777" w:rsidR="00307520" w:rsidRDefault="00307520" w:rsidP="00307520">
      <w:pPr>
        <w:spacing w:line="480" w:lineRule="auto"/>
        <w:jc w:val="both"/>
        <w:rPr>
          <w:rFonts w:cstheme="minorHAnsi"/>
        </w:rPr>
      </w:pPr>
    </w:p>
    <w:p w14:paraId="59D7EFEF" w14:textId="77777777" w:rsidR="00572FEF" w:rsidRDefault="00572FEF"/>
    <w:sectPr w:rsidR="00572FEF" w:rsidSect="00307520">
      <w:footerReference w:type="default" r:id="rId13"/>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A2EAE3" w14:textId="77777777" w:rsidR="00C83A93" w:rsidRDefault="00C83A93" w:rsidP="00307520">
      <w:pPr>
        <w:spacing w:after="0" w:line="240" w:lineRule="auto"/>
      </w:pPr>
      <w:r>
        <w:separator/>
      </w:r>
    </w:p>
  </w:endnote>
  <w:endnote w:type="continuationSeparator" w:id="0">
    <w:p w14:paraId="55BFE711" w14:textId="77777777" w:rsidR="00C83A93" w:rsidRDefault="00C83A93" w:rsidP="00307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9131226"/>
      <w:docPartObj>
        <w:docPartGallery w:val="Page Numbers (Bottom of Page)"/>
        <w:docPartUnique/>
      </w:docPartObj>
    </w:sdtPr>
    <w:sdtEndPr>
      <w:rPr>
        <w:noProof/>
      </w:rPr>
    </w:sdtEndPr>
    <w:sdtContent>
      <w:p w14:paraId="7F6F3838" w14:textId="0F816E98" w:rsidR="00307520" w:rsidRDefault="003075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E31C12" w14:textId="77777777" w:rsidR="00307520" w:rsidRDefault="00307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D65258" w14:textId="77777777" w:rsidR="00C83A93" w:rsidRDefault="00C83A93" w:rsidP="00307520">
      <w:pPr>
        <w:spacing w:after="0" w:line="240" w:lineRule="auto"/>
      </w:pPr>
      <w:r>
        <w:separator/>
      </w:r>
    </w:p>
  </w:footnote>
  <w:footnote w:type="continuationSeparator" w:id="0">
    <w:p w14:paraId="1F20C560" w14:textId="77777777" w:rsidR="00C83A93" w:rsidRDefault="00C83A93" w:rsidP="003075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3067CB"/>
    <w:multiLevelType w:val="hybridMultilevel"/>
    <w:tmpl w:val="F92462F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520"/>
    <w:rsid w:val="00307520"/>
    <w:rsid w:val="00572FEF"/>
    <w:rsid w:val="00C83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7E2A9"/>
  <w15:chartTrackingRefBased/>
  <w15:docId w15:val="{7CD9B0F6-40A8-48AB-B85A-249841EAD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75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520"/>
  </w:style>
  <w:style w:type="paragraph" w:styleId="Footer">
    <w:name w:val="footer"/>
    <w:basedOn w:val="Normal"/>
    <w:link w:val="FooterChar"/>
    <w:uiPriority w:val="99"/>
    <w:unhideWhenUsed/>
    <w:rsid w:val="00307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520"/>
  </w:style>
  <w:style w:type="character" w:styleId="LineNumber">
    <w:name w:val="line number"/>
    <w:basedOn w:val="DefaultParagraphFont"/>
    <w:uiPriority w:val="99"/>
    <w:semiHidden/>
    <w:unhideWhenUsed/>
    <w:rsid w:val="00307520"/>
  </w:style>
  <w:style w:type="paragraph" w:customStyle="1" w:styleId="EndNoteBibliographyTitle">
    <w:name w:val="EndNote Bibliography Title"/>
    <w:basedOn w:val="Normal"/>
    <w:link w:val="EndNoteBibliographyTitleChar"/>
    <w:rsid w:val="0030752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07520"/>
    <w:rPr>
      <w:rFonts w:ascii="Calibri" w:hAnsi="Calibri" w:cs="Calibri"/>
      <w:noProof/>
    </w:rPr>
  </w:style>
  <w:style w:type="paragraph" w:customStyle="1" w:styleId="EndNoteBibliography">
    <w:name w:val="EndNote Bibliography"/>
    <w:basedOn w:val="Normal"/>
    <w:link w:val="EndNoteBibliographyChar"/>
    <w:rsid w:val="00307520"/>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307520"/>
    <w:rPr>
      <w:rFonts w:ascii="Calibri" w:hAnsi="Calibri" w:cs="Calibri"/>
      <w:noProof/>
    </w:rPr>
  </w:style>
  <w:style w:type="character" w:styleId="PlaceholderText">
    <w:name w:val="Placeholder Text"/>
    <w:basedOn w:val="DefaultParagraphFont"/>
    <w:uiPriority w:val="99"/>
    <w:semiHidden/>
    <w:rsid w:val="00307520"/>
    <w:rPr>
      <w:color w:val="808080"/>
    </w:rPr>
  </w:style>
  <w:style w:type="table" w:styleId="TableGrid">
    <w:name w:val="Table Grid"/>
    <w:basedOn w:val="TableNormal"/>
    <w:uiPriority w:val="39"/>
    <w:rsid w:val="00307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75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520"/>
    <w:rPr>
      <w:rFonts w:ascii="Segoe UI" w:hAnsi="Segoe UI" w:cs="Segoe UI"/>
      <w:sz w:val="18"/>
      <w:szCs w:val="18"/>
    </w:rPr>
  </w:style>
  <w:style w:type="paragraph" w:styleId="ListParagraph">
    <w:name w:val="List Paragraph"/>
    <w:basedOn w:val="Normal"/>
    <w:uiPriority w:val="34"/>
    <w:qFormat/>
    <w:rsid w:val="00307520"/>
    <w:pPr>
      <w:ind w:left="720"/>
      <w:contextualSpacing/>
    </w:pPr>
  </w:style>
  <w:style w:type="character" w:styleId="Hyperlink">
    <w:name w:val="Hyperlink"/>
    <w:basedOn w:val="DefaultParagraphFont"/>
    <w:uiPriority w:val="99"/>
    <w:unhideWhenUsed/>
    <w:rsid w:val="00307520"/>
    <w:rPr>
      <w:color w:val="0563C1" w:themeColor="hyperlink"/>
      <w:u w:val="single"/>
    </w:rPr>
  </w:style>
  <w:style w:type="character" w:styleId="UnresolvedMention">
    <w:name w:val="Unresolved Mention"/>
    <w:basedOn w:val="DefaultParagraphFont"/>
    <w:uiPriority w:val="99"/>
    <w:semiHidden/>
    <w:unhideWhenUsed/>
    <w:rsid w:val="003075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2183</Words>
  <Characters>11728</Characters>
  <Application>Microsoft Office Word</Application>
  <DocSecurity>0</DocSecurity>
  <Lines>300</Lines>
  <Paragraphs>214</Paragraphs>
  <ScaleCrop>false</ScaleCrop>
  <Company/>
  <LinksUpToDate>false</LinksUpToDate>
  <CharactersWithSpaces>13697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 B Jekabsons</dc:creator>
  <cp:keywords/>
  <dc:description/>
  <cp:lastModifiedBy>Mika B Jekabsons</cp:lastModifiedBy>
  <cp:revision>1</cp:revision>
  <dcterms:created xsi:type="dcterms:W3CDTF">2022-09-08T18:54:00Z</dcterms:created>
  <dcterms:modified xsi:type="dcterms:W3CDTF">2022-09-08T19:33:00Z</dcterms:modified>
</cp:coreProperties>
</file>