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1AD" w:rsidRPr="00EA112A" w:rsidRDefault="005C01AD" w:rsidP="005C01AD">
      <w:pPr>
        <w:jc w:val="both"/>
        <w:rPr>
          <w:rFonts w:ascii="Times New Roman" w:hAnsi="Times New Roman" w:cs="Times New Roman"/>
          <w:sz w:val="24"/>
          <w:szCs w:val="24"/>
        </w:rPr>
      </w:pPr>
      <w:r>
        <w:rPr>
          <w:rFonts w:ascii="Times New Roman" w:hAnsi="Times New Roman" w:cs="Times New Roman"/>
          <w:b/>
          <w:sz w:val="24"/>
          <w:szCs w:val="24"/>
        </w:rPr>
        <w:t>Online material</w:t>
      </w:r>
      <w:r w:rsidR="00A42AE6">
        <w:rPr>
          <w:rFonts w:ascii="Times New Roman" w:hAnsi="Times New Roman" w:cs="Times New Roman"/>
          <w:b/>
          <w:sz w:val="24"/>
          <w:szCs w:val="24"/>
        </w:rPr>
        <w:t xml:space="preserve"> A</w:t>
      </w:r>
      <w:bookmarkStart w:id="0" w:name="_GoBack"/>
      <w:bookmarkEnd w:id="0"/>
      <w:r>
        <w:rPr>
          <w:rFonts w:ascii="Times New Roman" w:hAnsi="Times New Roman" w:cs="Times New Roman"/>
          <w:b/>
          <w:sz w:val="24"/>
          <w:szCs w:val="24"/>
        </w:rPr>
        <w:t xml:space="preserve">: </w:t>
      </w:r>
      <w:r w:rsidRPr="002E2032">
        <w:rPr>
          <w:rFonts w:ascii="Times New Roman" w:hAnsi="Times New Roman" w:cs="Times New Roman"/>
          <w:b/>
          <w:sz w:val="24"/>
          <w:szCs w:val="24"/>
        </w:rPr>
        <w:t>Data sources on migration</w:t>
      </w:r>
    </w:p>
    <w:p w:rsidR="005C01AD" w:rsidRPr="002E2032" w:rsidRDefault="005C01AD" w:rsidP="005C01AD">
      <w:pPr>
        <w:pStyle w:val="BoxText"/>
        <w:rPr>
          <w:sz w:val="24"/>
        </w:rPr>
      </w:pPr>
      <w:r w:rsidRPr="002E2032">
        <w:rPr>
          <w:sz w:val="24"/>
        </w:rPr>
        <w:t>A number of data sources on migration statistics are available for EU countries, with different sources providing insights on different aspects of migration. Below a description is provided of the main features of the statistical sources used in the present analysis.</w:t>
      </w:r>
    </w:p>
    <w:p w:rsidR="005C01AD" w:rsidRPr="002E2032" w:rsidRDefault="005C01AD" w:rsidP="005C01AD">
      <w:pPr>
        <w:pStyle w:val="BoxText"/>
        <w:rPr>
          <w:b/>
          <w:sz w:val="24"/>
        </w:rPr>
      </w:pPr>
      <w:r w:rsidRPr="002E2032">
        <w:rPr>
          <w:b/>
          <w:sz w:val="24"/>
        </w:rPr>
        <w:t>Eurostat population statistics</w:t>
      </w:r>
    </w:p>
    <w:p w:rsidR="005C01AD" w:rsidRPr="002E2032" w:rsidRDefault="005C01AD" w:rsidP="005C01AD">
      <w:pPr>
        <w:pStyle w:val="BoxText"/>
        <w:rPr>
          <w:sz w:val="24"/>
        </w:rPr>
      </w:pPr>
      <w:r w:rsidRPr="002E2032">
        <w:rPr>
          <w:sz w:val="24"/>
        </w:rPr>
        <w:t xml:space="preserve">Eurostat data on net migration plus statistical adjustment give a snapshot of migration balances. Net migration flows are constructed as the difference between the total population change and the estimated ‘natural population change’ (i.e., the change due to </w:t>
      </w:r>
      <w:proofErr w:type="spellStart"/>
      <w:r w:rsidRPr="002E2032">
        <w:rPr>
          <w:sz w:val="24"/>
        </w:rPr>
        <w:t>natality</w:t>
      </w:r>
      <w:proofErr w:type="spellEnd"/>
      <w:r w:rsidRPr="002E2032">
        <w:rPr>
          <w:sz w:val="24"/>
        </w:rPr>
        <w:t xml:space="preserve"> and mortality). Such flows, expressed as shares of population are named crude rate of net migration. The advantage of these net migration flows is that they are available for most countries in long time series. The statistic is available also at regional (including NUTS2) level. The main shortcoming is that these flows are affected by inaccuracies in the estimation of population change, as underlying administrative registers are not always up-to-date. Statistical adjustments, including census-related population revisions, lead to outliers </w:t>
      </w:r>
      <w:r w:rsidR="00712903">
        <w:rPr>
          <w:sz w:val="24"/>
        </w:rPr>
        <w:t xml:space="preserve">and breaks in the series in </w:t>
      </w:r>
      <w:r w:rsidR="004F1B35">
        <w:rPr>
          <w:sz w:val="24"/>
        </w:rPr>
        <w:t>many</w:t>
      </w:r>
      <w:r w:rsidRPr="002E2032">
        <w:rPr>
          <w:sz w:val="24"/>
        </w:rPr>
        <w:t xml:space="preserve"> instances. Since this indicator is calculated on a residual basis, it does not allow the identification of actual inflows and outflows, or their composition. </w:t>
      </w:r>
    </w:p>
    <w:p w:rsidR="005C01AD" w:rsidRPr="002E2032" w:rsidRDefault="005C01AD" w:rsidP="005C01AD">
      <w:pPr>
        <w:pStyle w:val="BoxText"/>
        <w:rPr>
          <w:sz w:val="24"/>
        </w:rPr>
      </w:pPr>
      <w:r w:rsidRPr="002E2032">
        <w:rPr>
          <w:sz w:val="24"/>
        </w:rPr>
        <w:t xml:space="preserve">Comprehensive statistics on population by citizenship and country of birth are made available by Eurostat since 2008. The data sources are administrative records or national surveys. The advantage of these statistics is that they capture migration directly, rather than on a residual basis. Such statistics also allow for a breakdown by sex, age. However, shortcomings may be related to imperfect comparability of administrative data and lack of compliance of migrants to register or deregister as residents. </w:t>
      </w:r>
    </w:p>
    <w:p w:rsidR="005C01AD" w:rsidRPr="002E2032" w:rsidRDefault="005C01AD" w:rsidP="005C01AD">
      <w:pPr>
        <w:pStyle w:val="BoxText"/>
        <w:rPr>
          <w:b/>
          <w:sz w:val="24"/>
        </w:rPr>
      </w:pPr>
      <w:r w:rsidRPr="002E2032">
        <w:rPr>
          <w:b/>
          <w:sz w:val="24"/>
        </w:rPr>
        <w:t xml:space="preserve">Eurostat Labour Force Survey </w:t>
      </w:r>
    </w:p>
    <w:p w:rsidR="005C01AD" w:rsidRPr="002E2032" w:rsidRDefault="005C01AD" w:rsidP="005C01AD">
      <w:pPr>
        <w:pStyle w:val="BoxText"/>
        <w:rPr>
          <w:sz w:val="24"/>
        </w:rPr>
      </w:pPr>
      <w:r w:rsidRPr="002E2032">
        <w:rPr>
          <w:sz w:val="24"/>
        </w:rPr>
        <w:t>The Eurostat Labour Force Survey (LFS) is a standardised survey primarily aiming at assessing employment and unemployment in the EU. Harmonised data, allowing assessment of EU27 mobility, are available in general starting 2005. As the survey asks questions about recent changes of residence, the data provides an estimate of recent sub-national and international migration movements. It also allows researchers to analyse the age profile and labour market status of migrants. Its shortcomings are those of surveys in general: migrants, among other vulnerable groups, may be underrepresented in the sample partly due to a higher non-response rate. As a result, mobility flows implied by LFS are usually lower than those implied by Eurostat population statistics. Also, not all statistical breakdowns are available for all countries. A somewhat more detailed discussion of European data sources and, in particular, of the EU LFS is provided by European Commission (2012, p. 282-283).</w:t>
      </w:r>
    </w:p>
    <w:p w:rsidR="005C01AD" w:rsidRPr="002E2032" w:rsidRDefault="005C01AD" w:rsidP="005C01AD">
      <w:pPr>
        <w:pStyle w:val="BoxText"/>
        <w:rPr>
          <w:b/>
          <w:sz w:val="24"/>
        </w:rPr>
      </w:pPr>
      <w:r w:rsidRPr="002E2032">
        <w:rPr>
          <w:b/>
          <w:sz w:val="24"/>
        </w:rPr>
        <w:t xml:space="preserve">OECD International Migration Database </w:t>
      </w:r>
    </w:p>
    <w:p w:rsidR="005C01AD" w:rsidRDefault="005C01AD" w:rsidP="005C01AD">
      <w:pPr>
        <w:pStyle w:val="BoxText"/>
        <w:rPr>
          <w:sz w:val="24"/>
        </w:rPr>
      </w:pPr>
      <w:r w:rsidRPr="002E2032">
        <w:rPr>
          <w:sz w:val="24"/>
        </w:rPr>
        <w:t>The OECD International Migration Database cover migration flows into most OECD Member countries as well as the Baltic States, Bulgaria and Romania from more than 200 origin countries. The period covered is 1990-2011, and coverage is higher for more recent time periods. The data are based on submissions by national correspondents and reflect existing national statistics, so that methodologies and definitions are not always harmonised (OECD, 2013, Statistical annex, pp. 311-315).</w:t>
      </w:r>
    </w:p>
    <w:p w:rsidR="00243954" w:rsidRDefault="00A42AE6"/>
    <w:sectPr w:rsidR="00243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1AD"/>
    <w:rsid w:val="000F57B4"/>
    <w:rsid w:val="004F1B35"/>
    <w:rsid w:val="005C01AD"/>
    <w:rsid w:val="00712903"/>
    <w:rsid w:val="007500CA"/>
    <w:rsid w:val="00A42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ext">
    <w:name w:val="Box Text"/>
    <w:basedOn w:val="Normal"/>
    <w:rsid w:val="005C01AD"/>
    <w:pPr>
      <w:spacing w:after="220" w:line="220" w:lineRule="atLeast"/>
      <w:ind w:right="85"/>
      <w:jc w:val="both"/>
    </w:pPr>
    <w:rPr>
      <w:rFonts w:ascii="Times New Roman" w:eastAsia="Times New Roman" w:hAnsi="Times New Roman" w:cs="Times New Roman"/>
      <w:color w:val="000000"/>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ext">
    <w:name w:val="Box Text"/>
    <w:basedOn w:val="Normal"/>
    <w:rsid w:val="005C01AD"/>
    <w:pPr>
      <w:spacing w:after="220" w:line="220" w:lineRule="atLeast"/>
      <w:ind w:right="85"/>
      <w:jc w:val="both"/>
    </w:pPr>
    <w:rPr>
      <w:rFonts w:ascii="Times New Roman" w:eastAsia="Times New Roman" w:hAnsi="Times New Roman" w:cs="Times New Roman"/>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 Aron (ECFIN)</dc:creator>
  <cp:lastModifiedBy>KISS Aron (ECFIN)</cp:lastModifiedBy>
  <cp:revision>4</cp:revision>
  <dcterms:created xsi:type="dcterms:W3CDTF">2015-11-30T16:24:00Z</dcterms:created>
  <dcterms:modified xsi:type="dcterms:W3CDTF">2016-06-30T12:36:00Z</dcterms:modified>
</cp:coreProperties>
</file>