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87A" w:rsidRDefault="005A687A" w:rsidP="005A687A">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Additional file 4</w:t>
      </w:r>
      <w:r w:rsidRPr="00042CA4">
        <w:rPr>
          <w:rFonts w:ascii="Times New Roman" w:hAnsi="Times New Roman" w:cs="Times New Roman"/>
          <w:b/>
          <w:sz w:val="24"/>
          <w:szCs w:val="24"/>
        </w:rPr>
        <w:t>: Functions of the en</w:t>
      </w:r>
      <w:bookmarkStart w:id="0" w:name="_GoBack"/>
      <w:bookmarkEnd w:id="0"/>
      <w:r w:rsidRPr="00042CA4">
        <w:rPr>
          <w:rFonts w:ascii="Times New Roman" w:hAnsi="Times New Roman" w:cs="Times New Roman"/>
          <w:b/>
          <w:sz w:val="24"/>
          <w:szCs w:val="24"/>
        </w:rPr>
        <w:t xml:space="preserve">riched genes for the development of </w:t>
      </w:r>
      <w:proofErr w:type="spellStart"/>
      <w:r w:rsidRPr="00042CA4">
        <w:rPr>
          <w:rFonts w:ascii="Times New Roman" w:hAnsi="Times New Roman" w:cs="Times New Roman"/>
          <w:b/>
          <w:sz w:val="24"/>
          <w:szCs w:val="24"/>
        </w:rPr>
        <w:t>hyperinsulinemia</w:t>
      </w:r>
      <w:proofErr w:type="spellEnd"/>
      <w:r>
        <w:rPr>
          <w:rFonts w:ascii="Times New Roman" w:hAnsi="Times New Roman" w:cs="Times New Roman"/>
          <w:b/>
          <w:sz w:val="24"/>
          <w:szCs w:val="24"/>
        </w:rPr>
        <w:t>;</w:t>
      </w:r>
      <w:r w:rsidRPr="00042CA4">
        <w:rPr>
          <w:rFonts w:ascii="Times New Roman" w:hAnsi="Times New Roman" w:cs="Times New Roman"/>
          <w:b/>
          <w:sz w:val="24"/>
          <w:szCs w:val="24"/>
        </w:rPr>
        <w:t xml:space="preserve"> </w:t>
      </w:r>
      <w:r w:rsidR="005059E1">
        <w:rPr>
          <w:rFonts w:ascii="Times New Roman" w:hAnsi="Times New Roman" w:cs="Times New Roman"/>
          <w:b/>
          <w:sz w:val="24"/>
          <w:szCs w:val="24"/>
        </w:rPr>
        <w:t>and Neurodegeneration.</w:t>
      </w:r>
    </w:p>
    <w:tbl>
      <w:tblPr>
        <w:tblStyle w:val="TableGrid"/>
        <w:tblW w:w="5000" w:type="pct"/>
        <w:tblLook w:val="04A0" w:firstRow="1" w:lastRow="0" w:firstColumn="1" w:lastColumn="0" w:noHBand="0" w:noVBand="1"/>
      </w:tblPr>
      <w:tblGrid>
        <w:gridCol w:w="1373"/>
        <w:gridCol w:w="7977"/>
      </w:tblGrid>
      <w:tr w:rsidR="005A687A" w:rsidRPr="00C674B2" w:rsidTr="007161B1">
        <w:tc>
          <w:tcPr>
            <w:tcW w:w="734" w:type="pct"/>
            <w:vAlign w:val="center"/>
          </w:tcPr>
          <w:p w:rsidR="005A687A" w:rsidRPr="00567766" w:rsidRDefault="005A687A" w:rsidP="007161B1">
            <w:pPr>
              <w:spacing w:line="360" w:lineRule="auto"/>
              <w:jc w:val="center"/>
              <w:rPr>
                <w:rFonts w:ascii="Times New Roman" w:hAnsi="Times New Roman" w:cs="Times New Roman"/>
                <w:b/>
                <w:sz w:val="24"/>
                <w:szCs w:val="24"/>
              </w:rPr>
            </w:pPr>
            <w:r w:rsidRPr="00567766">
              <w:rPr>
                <w:rFonts w:ascii="Times New Roman" w:hAnsi="Times New Roman" w:cs="Times New Roman"/>
                <w:b/>
                <w:sz w:val="24"/>
                <w:szCs w:val="24"/>
              </w:rPr>
              <w:t>Gene Name</w:t>
            </w:r>
          </w:p>
        </w:tc>
        <w:tc>
          <w:tcPr>
            <w:tcW w:w="4266" w:type="pct"/>
            <w:vAlign w:val="center"/>
          </w:tcPr>
          <w:p w:rsidR="005A687A" w:rsidRPr="00567766" w:rsidRDefault="005A687A" w:rsidP="007161B1">
            <w:pPr>
              <w:spacing w:line="360" w:lineRule="auto"/>
              <w:jc w:val="center"/>
              <w:rPr>
                <w:rFonts w:ascii="Times New Roman" w:hAnsi="Times New Roman" w:cs="Times New Roman"/>
                <w:b/>
                <w:sz w:val="24"/>
                <w:szCs w:val="24"/>
              </w:rPr>
            </w:pPr>
            <w:r w:rsidRPr="00567766">
              <w:rPr>
                <w:rFonts w:ascii="Times New Roman" w:hAnsi="Times New Roman" w:cs="Times New Roman"/>
                <w:b/>
                <w:sz w:val="24"/>
                <w:szCs w:val="24"/>
              </w:rPr>
              <w:t>Function</w:t>
            </w:r>
          </w:p>
        </w:tc>
      </w:tr>
      <w:tr w:rsidR="005A687A" w:rsidRPr="00C674B2" w:rsidTr="007161B1">
        <w:tc>
          <w:tcPr>
            <w:tcW w:w="734" w:type="pct"/>
          </w:tcPr>
          <w:p w:rsidR="005A687A" w:rsidRPr="00567766" w:rsidRDefault="005A687A" w:rsidP="007161B1">
            <w:pPr>
              <w:spacing w:line="360" w:lineRule="auto"/>
              <w:rPr>
                <w:rFonts w:ascii="Times New Roman" w:hAnsi="Times New Roman" w:cs="Times New Roman"/>
                <w:i/>
                <w:szCs w:val="24"/>
              </w:rPr>
            </w:pPr>
            <w:r w:rsidRPr="00567766">
              <w:rPr>
                <w:rFonts w:ascii="Times New Roman" w:hAnsi="Times New Roman" w:cs="Times New Roman"/>
                <w:i/>
                <w:szCs w:val="24"/>
              </w:rPr>
              <w:t>GNAS</w:t>
            </w:r>
          </w:p>
          <w:p w:rsidR="005A687A" w:rsidRPr="00567766" w:rsidRDefault="005A687A" w:rsidP="007161B1">
            <w:pPr>
              <w:jc w:val="center"/>
              <w:rPr>
                <w:rFonts w:ascii="Times New Roman" w:hAnsi="Times New Roman" w:cs="Times New Roman"/>
                <w:i/>
                <w:szCs w:val="24"/>
              </w:rPr>
            </w:pPr>
          </w:p>
        </w:tc>
        <w:tc>
          <w:tcPr>
            <w:tcW w:w="4266" w:type="pct"/>
          </w:tcPr>
          <w:p w:rsidR="005A687A" w:rsidRPr="00C674B2" w:rsidRDefault="005A687A" w:rsidP="007161B1">
            <w:pPr>
              <w:spacing w:line="360" w:lineRule="auto"/>
              <w:jc w:val="both"/>
              <w:rPr>
                <w:rFonts w:ascii="Times New Roman" w:hAnsi="Times New Roman" w:cs="Times New Roman"/>
                <w:szCs w:val="24"/>
              </w:rPr>
            </w:pPr>
            <w:r w:rsidRPr="00C674B2">
              <w:rPr>
                <w:rFonts w:ascii="Times New Roman" w:hAnsi="Times New Roman" w:cs="Times New Roman"/>
                <w:szCs w:val="24"/>
              </w:rPr>
              <w:t xml:space="preserve">GNAS complex locus; Guanine nucleotide-binding proteins (G proteins) are involved as modulators or transducers in various </w:t>
            </w:r>
            <w:proofErr w:type="spellStart"/>
            <w:r w:rsidRPr="00C674B2">
              <w:rPr>
                <w:rFonts w:ascii="Times New Roman" w:hAnsi="Times New Roman" w:cs="Times New Roman"/>
                <w:szCs w:val="24"/>
              </w:rPr>
              <w:t>transmembrane</w:t>
            </w:r>
            <w:proofErr w:type="spellEnd"/>
            <w:r w:rsidRPr="00C674B2">
              <w:rPr>
                <w:rFonts w:ascii="Times New Roman" w:hAnsi="Times New Roman" w:cs="Times New Roman"/>
                <w:szCs w:val="24"/>
              </w:rPr>
              <w:t xml:space="preserve"> signaling systems. The G(s) protein is involved in hormonal regulation of </w:t>
            </w:r>
            <w:proofErr w:type="spellStart"/>
            <w:r w:rsidRPr="00C674B2">
              <w:rPr>
                <w:rFonts w:ascii="Times New Roman" w:hAnsi="Times New Roman" w:cs="Times New Roman"/>
                <w:szCs w:val="24"/>
              </w:rPr>
              <w:t>adenylate</w:t>
            </w:r>
            <w:proofErr w:type="spellEnd"/>
            <w:r w:rsidRPr="00C674B2">
              <w:rPr>
                <w:rFonts w:ascii="Times New Roman" w:hAnsi="Times New Roman" w:cs="Times New Roman"/>
                <w:szCs w:val="24"/>
              </w:rPr>
              <w:t xml:space="preserve"> </w:t>
            </w:r>
            <w:proofErr w:type="spellStart"/>
            <w:r w:rsidRPr="00C674B2">
              <w:rPr>
                <w:rFonts w:ascii="Times New Roman" w:hAnsi="Times New Roman" w:cs="Times New Roman"/>
                <w:szCs w:val="24"/>
              </w:rPr>
              <w:t>cyclase</w:t>
            </w:r>
            <w:proofErr w:type="spellEnd"/>
            <w:r w:rsidRPr="00C674B2">
              <w:rPr>
                <w:rFonts w:ascii="Times New Roman" w:hAnsi="Times New Roman" w:cs="Times New Roman"/>
                <w:szCs w:val="24"/>
              </w:rPr>
              <w:t xml:space="preserve">- it activates the </w:t>
            </w:r>
            <w:proofErr w:type="spellStart"/>
            <w:r w:rsidRPr="00C674B2">
              <w:rPr>
                <w:rFonts w:ascii="Times New Roman" w:hAnsi="Times New Roman" w:cs="Times New Roman"/>
                <w:szCs w:val="24"/>
              </w:rPr>
              <w:t>cyclase</w:t>
            </w:r>
            <w:proofErr w:type="spellEnd"/>
            <w:r w:rsidRPr="00C674B2">
              <w:rPr>
                <w:rFonts w:ascii="Times New Roman" w:hAnsi="Times New Roman" w:cs="Times New Roman"/>
                <w:szCs w:val="24"/>
              </w:rPr>
              <w:t xml:space="preserve"> in response to beta-adrenergic stimuli.</w:t>
            </w:r>
          </w:p>
        </w:tc>
      </w:tr>
      <w:tr w:rsidR="005A687A" w:rsidRPr="00C674B2" w:rsidTr="007161B1">
        <w:tc>
          <w:tcPr>
            <w:tcW w:w="734" w:type="pct"/>
          </w:tcPr>
          <w:p w:rsidR="005A687A" w:rsidRPr="00567766" w:rsidRDefault="005A687A" w:rsidP="007161B1">
            <w:pPr>
              <w:spacing w:line="360" w:lineRule="auto"/>
              <w:rPr>
                <w:rFonts w:ascii="Times New Roman" w:hAnsi="Times New Roman" w:cs="Times New Roman"/>
                <w:i/>
                <w:szCs w:val="24"/>
              </w:rPr>
            </w:pPr>
            <w:r w:rsidRPr="00567766">
              <w:rPr>
                <w:rFonts w:ascii="Times New Roman" w:hAnsi="Times New Roman" w:cs="Times New Roman"/>
                <w:i/>
                <w:szCs w:val="24"/>
              </w:rPr>
              <w:t>PRKACB</w:t>
            </w:r>
          </w:p>
        </w:tc>
        <w:tc>
          <w:tcPr>
            <w:tcW w:w="4266" w:type="pct"/>
          </w:tcPr>
          <w:p w:rsidR="005A687A" w:rsidRPr="00C674B2" w:rsidRDefault="005A687A" w:rsidP="007161B1">
            <w:pPr>
              <w:spacing w:line="360" w:lineRule="auto"/>
              <w:jc w:val="both"/>
              <w:rPr>
                <w:rFonts w:ascii="Times New Roman" w:hAnsi="Times New Roman" w:cs="Times New Roman"/>
                <w:szCs w:val="24"/>
              </w:rPr>
            </w:pPr>
            <w:r w:rsidRPr="00C674B2">
              <w:rPr>
                <w:rFonts w:ascii="Times New Roman" w:hAnsi="Times New Roman" w:cs="Times New Roman"/>
                <w:szCs w:val="24"/>
              </w:rPr>
              <w:t xml:space="preserve">Mediates </w:t>
            </w:r>
            <w:proofErr w:type="spellStart"/>
            <w:r w:rsidRPr="00C674B2">
              <w:rPr>
                <w:rFonts w:ascii="Times New Roman" w:hAnsi="Times New Roman" w:cs="Times New Roman"/>
                <w:szCs w:val="24"/>
              </w:rPr>
              <w:t>cAMP</w:t>
            </w:r>
            <w:proofErr w:type="spellEnd"/>
            <w:r w:rsidRPr="00C674B2">
              <w:rPr>
                <w:rFonts w:ascii="Times New Roman" w:hAnsi="Times New Roman" w:cs="Times New Roman"/>
                <w:szCs w:val="24"/>
              </w:rPr>
              <w:t xml:space="preserve">-dependent signaling triggered by receptor binding to GPCRs. PKA activation regulates diverse cellular processes such as cell proliferation, the cell cycle, differentiation and regulation of microtubule dynamics, chromatin condensation and </w:t>
            </w:r>
            <w:proofErr w:type="spellStart"/>
            <w:r w:rsidRPr="00C674B2">
              <w:rPr>
                <w:rFonts w:ascii="Times New Roman" w:hAnsi="Times New Roman" w:cs="Times New Roman"/>
                <w:szCs w:val="24"/>
              </w:rPr>
              <w:t>decondensation</w:t>
            </w:r>
            <w:proofErr w:type="spellEnd"/>
            <w:r w:rsidRPr="00C674B2">
              <w:rPr>
                <w:rFonts w:ascii="Times New Roman" w:hAnsi="Times New Roman" w:cs="Times New Roman"/>
                <w:szCs w:val="24"/>
              </w:rPr>
              <w:t xml:space="preserve">, nuclear envelope disassembly and reassembly, as well as regulation of intracellular transport mechanisms and ion flux. Regulates the abundance of compartmentalized pools of its regulatory subunits through phosphorylation of PJA2 which binds and </w:t>
            </w:r>
            <w:proofErr w:type="spellStart"/>
            <w:r w:rsidRPr="00C674B2">
              <w:rPr>
                <w:rFonts w:ascii="Times New Roman" w:hAnsi="Times New Roman" w:cs="Times New Roman"/>
                <w:szCs w:val="24"/>
              </w:rPr>
              <w:t>ubiquitinates</w:t>
            </w:r>
            <w:proofErr w:type="spellEnd"/>
            <w:r w:rsidRPr="00C674B2">
              <w:rPr>
                <w:rFonts w:ascii="Times New Roman" w:hAnsi="Times New Roman" w:cs="Times New Roman"/>
                <w:szCs w:val="24"/>
              </w:rPr>
              <w:t xml:space="preserve"> these subunits, leading to their subsequent proteolysis</w:t>
            </w:r>
          </w:p>
        </w:tc>
      </w:tr>
      <w:tr w:rsidR="005A687A" w:rsidRPr="00C674B2" w:rsidTr="007161B1">
        <w:tc>
          <w:tcPr>
            <w:tcW w:w="734" w:type="pct"/>
          </w:tcPr>
          <w:p w:rsidR="005A687A" w:rsidRPr="00567766" w:rsidRDefault="005A687A" w:rsidP="007161B1">
            <w:pPr>
              <w:spacing w:line="360" w:lineRule="auto"/>
              <w:rPr>
                <w:rFonts w:ascii="Times New Roman" w:hAnsi="Times New Roman" w:cs="Times New Roman"/>
                <w:i/>
                <w:szCs w:val="24"/>
              </w:rPr>
            </w:pPr>
            <w:r w:rsidRPr="00567766">
              <w:rPr>
                <w:rFonts w:ascii="Times New Roman" w:hAnsi="Times New Roman" w:cs="Times New Roman"/>
                <w:i/>
                <w:szCs w:val="24"/>
              </w:rPr>
              <w:t>PRKCE</w:t>
            </w:r>
          </w:p>
        </w:tc>
        <w:tc>
          <w:tcPr>
            <w:tcW w:w="4266" w:type="pct"/>
          </w:tcPr>
          <w:p w:rsidR="005A687A" w:rsidRPr="00C674B2" w:rsidRDefault="005A687A" w:rsidP="007161B1">
            <w:pPr>
              <w:spacing w:line="360" w:lineRule="auto"/>
              <w:jc w:val="both"/>
              <w:rPr>
                <w:rFonts w:ascii="Times New Roman" w:hAnsi="Times New Roman" w:cs="Times New Roman"/>
                <w:szCs w:val="24"/>
              </w:rPr>
            </w:pPr>
            <w:r w:rsidRPr="00C674B2">
              <w:rPr>
                <w:rFonts w:ascii="Times New Roman" w:hAnsi="Times New Roman" w:cs="Times New Roman"/>
                <w:szCs w:val="24"/>
              </w:rPr>
              <w:t xml:space="preserve">Calcium-independent, phospholipid- and </w:t>
            </w:r>
            <w:proofErr w:type="spellStart"/>
            <w:r w:rsidRPr="00C674B2">
              <w:rPr>
                <w:rFonts w:ascii="Times New Roman" w:hAnsi="Times New Roman" w:cs="Times New Roman"/>
                <w:szCs w:val="24"/>
              </w:rPr>
              <w:t>diacylglycerol</w:t>
            </w:r>
            <w:proofErr w:type="spellEnd"/>
            <w:r w:rsidRPr="00C674B2">
              <w:rPr>
                <w:rFonts w:ascii="Times New Roman" w:hAnsi="Times New Roman" w:cs="Times New Roman"/>
                <w:szCs w:val="24"/>
              </w:rPr>
              <w:t xml:space="preserve"> (DAG)-dependent serine/threonine-protein kinase that plays essential roles in the regulation of multiple cellular processes linked to cytoskeletal proteins, such as cell adhesion, motility, migration and cell cycle, functions in neuron growth and ion channel regulation, and is involved in immune response, cancer cell invasion and regulation of apoptosis.</w:t>
            </w:r>
          </w:p>
        </w:tc>
      </w:tr>
      <w:tr w:rsidR="005A687A" w:rsidRPr="00C674B2" w:rsidTr="007161B1">
        <w:tc>
          <w:tcPr>
            <w:tcW w:w="734" w:type="pct"/>
          </w:tcPr>
          <w:p w:rsidR="005A687A" w:rsidRPr="00567766" w:rsidRDefault="005A687A" w:rsidP="007161B1">
            <w:pPr>
              <w:spacing w:line="360" w:lineRule="auto"/>
              <w:rPr>
                <w:rFonts w:ascii="Times New Roman" w:hAnsi="Times New Roman" w:cs="Times New Roman"/>
                <w:i/>
                <w:szCs w:val="24"/>
              </w:rPr>
            </w:pPr>
            <w:r w:rsidRPr="00567766">
              <w:rPr>
                <w:rFonts w:ascii="Times New Roman" w:hAnsi="Times New Roman" w:cs="Times New Roman"/>
                <w:i/>
                <w:szCs w:val="24"/>
              </w:rPr>
              <w:t>MAP4K4</w:t>
            </w:r>
          </w:p>
        </w:tc>
        <w:tc>
          <w:tcPr>
            <w:tcW w:w="4266" w:type="pct"/>
          </w:tcPr>
          <w:p w:rsidR="005A687A" w:rsidRPr="00C674B2" w:rsidRDefault="005A687A" w:rsidP="007161B1">
            <w:pPr>
              <w:spacing w:line="360" w:lineRule="auto"/>
              <w:jc w:val="both"/>
              <w:rPr>
                <w:rFonts w:ascii="Times New Roman" w:hAnsi="Times New Roman" w:cs="Times New Roman"/>
                <w:szCs w:val="24"/>
              </w:rPr>
            </w:pPr>
            <w:r w:rsidRPr="00C674B2">
              <w:rPr>
                <w:rFonts w:ascii="Times New Roman" w:hAnsi="Times New Roman" w:cs="Times New Roman"/>
                <w:szCs w:val="24"/>
              </w:rPr>
              <w:t xml:space="preserve">Mitogen-activated protein kinase </w:t>
            </w:r>
            <w:proofErr w:type="spellStart"/>
            <w:r w:rsidRPr="00C674B2">
              <w:rPr>
                <w:rFonts w:ascii="Times New Roman" w:hAnsi="Times New Roman" w:cs="Times New Roman"/>
                <w:szCs w:val="24"/>
              </w:rPr>
              <w:t>kinase</w:t>
            </w:r>
            <w:proofErr w:type="spellEnd"/>
            <w:r w:rsidRPr="00C674B2">
              <w:rPr>
                <w:rFonts w:ascii="Times New Roman" w:hAnsi="Times New Roman" w:cs="Times New Roman"/>
                <w:szCs w:val="24"/>
              </w:rPr>
              <w:t xml:space="preserve"> </w:t>
            </w:r>
            <w:proofErr w:type="spellStart"/>
            <w:r w:rsidRPr="00C674B2">
              <w:rPr>
                <w:rFonts w:ascii="Times New Roman" w:hAnsi="Times New Roman" w:cs="Times New Roman"/>
                <w:szCs w:val="24"/>
              </w:rPr>
              <w:t>kinase</w:t>
            </w:r>
            <w:proofErr w:type="spellEnd"/>
            <w:r w:rsidRPr="00C674B2">
              <w:rPr>
                <w:rFonts w:ascii="Times New Roman" w:hAnsi="Times New Roman" w:cs="Times New Roman"/>
                <w:szCs w:val="24"/>
              </w:rPr>
              <w:t xml:space="preserve"> </w:t>
            </w:r>
            <w:proofErr w:type="spellStart"/>
            <w:r w:rsidRPr="00C674B2">
              <w:rPr>
                <w:rFonts w:ascii="Times New Roman" w:hAnsi="Times New Roman" w:cs="Times New Roman"/>
                <w:szCs w:val="24"/>
              </w:rPr>
              <w:t>kinase</w:t>
            </w:r>
            <w:proofErr w:type="spellEnd"/>
            <w:r w:rsidRPr="00C674B2">
              <w:rPr>
                <w:rFonts w:ascii="Times New Roman" w:hAnsi="Times New Roman" w:cs="Times New Roman"/>
                <w:szCs w:val="24"/>
              </w:rPr>
              <w:t xml:space="preserve"> 4; Serine/threonine kinase that may play a role in the response to environmental stress and cytokines such as TNF-alpha. Appears to act upstream of the JUN N-terminal pathway. Phosphorylates SMAD1 on Thr-322</w:t>
            </w:r>
          </w:p>
        </w:tc>
      </w:tr>
      <w:tr w:rsidR="005A687A" w:rsidRPr="00C674B2" w:rsidTr="007161B1">
        <w:tc>
          <w:tcPr>
            <w:tcW w:w="734" w:type="pct"/>
          </w:tcPr>
          <w:p w:rsidR="005A687A" w:rsidRPr="00567766" w:rsidRDefault="005A687A" w:rsidP="007161B1">
            <w:pPr>
              <w:spacing w:line="360" w:lineRule="auto"/>
              <w:rPr>
                <w:rFonts w:ascii="Times New Roman" w:hAnsi="Times New Roman" w:cs="Times New Roman"/>
                <w:i/>
                <w:szCs w:val="24"/>
              </w:rPr>
            </w:pPr>
            <w:r w:rsidRPr="00567766">
              <w:rPr>
                <w:rFonts w:ascii="Times New Roman" w:hAnsi="Times New Roman" w:cs="Times New Roman"/>
                <w:i/>
                <w:szCs w:val="24"/>
              </w:rPr>
              <w:t>BDNF</w:t>
            </w:r>
          </w:p>
        </w:tc>
        <w:tc>
          <w:tcPr>
            <w:tcW w:w="4266" w:type="pct"/>
          </w:tcPr>
          <w:p w:rsidR="005A687A" w:rsidRPr="00C674B2" w:rsidRDefault="005A687A" w:rsidP="007161B1">
            <w:pPr>
              <w:spacing w:line="360" w:lineRule="auto"/>
              <w:jc w:val="both"/>
              <w:rPr>
                <w:rFonts w:ascii="Times New Roman" w:hAnsi="Times New Roman" w:cs="Times New Roman"/>
                <w:szCs w:val="24"/>
              </w:rPr>
            </w:pPr>
            <w:r w:rsidRPr="00C674B2">
              <w:rPr>
                <w:rFonts w:ascii="Times New Roman" w:hAnsi="Times New Roman" w:cs="Times New Roman"/>
                <w:szCs w:val="24"/>
              </w:rPr>
              <w:t xml:space="preserve">During development, promotes the survival and differentiation of selected neuronal populations of the peripheral and central nervous systems. Participates in axonal growth, </w:t>
            </w:r>
            <w:proofErr w:type="spellStart"/>
            <w:r w:rsidRPr="00C674B2">
              <w:rPr>
                <w:rFonts w:ascii="Times New Roman" w:hAnsi="Times New Roman" w:cs="Times New Roman"/>
                <w:szCs w:val="24"/>
              </w:rPr>
              <w:t>pathfinding</w:t>
            </w:r>
            <w:proofErr w:type="spellEnd"/>
            <w:r w:rsidRPr="00C674B2">
              <w:rPr>
                <w:rFonts w:ascii="Times New Roman" w:hAnsi="Times New Roman" w:cs="Times New Roman"/>
                <w:szCs w:val="24"/>
              </w:rPr>
              <w:t xml:space="preserve"> and in the modulation of dendritic growth and morphology. </w:t>
            </w:r>
            <w:r>
              <w:rPr>
                <w:rFonts w:ascii="Times New Roman" w:hAnsi="Times New Roman" w:cs="Times New Roman"/>
                <w:szCs w:val="24"/>
              </w:rPr>
              <w:t>A m</w:t>
            </w:r>
            <w:r w:rsidRPr="00C674B2">
              <w:rPr>
                <w:rFonts w:ascii="Times New Roman" w:hAnsi="Times New Roman" w:cs="Times New Roman"/>
                <w:szCs w:val="24"/>
              </w:rPr>
              <w:t>ajor regulator of synaptic transmission and plasticity at adult synapses in many regions of the CNS. The versatility of BDNF is emphasized by its contribution to a range of adaptive neuronal responses including long-term potentiation (LTP), long-term depression (LTD), certain forms of short-term synaptic plasticity, as well as homeostatic regulation of intrinsic neuronal excitability.</w:t>
            </w:r>
          </w:p>
        </w:tc>
      </w:tr>
      <w:tr w:rsidR="005A687A" w:rsidRPr="00C674B2" w:rsidTr="007161B1">
        <w:tc>
          <w:tcPr>
            <w:tcW w:w="734" w:type="pct"/>
          </w:tcPr>
          <w:p w:rsidR="005A687A" w:rsidRPr="00567766" w:rsidRDefault="005A687A" w:rsidP="007161B1">
            <w:pPr>
              <w:spacing w:line="360" w:lineRule="auto"/>
              <w:rPr>
                <w:rFonts w:ascii="Times New Roman" w:hAnsi="Times New Roman" w:cs="Times New Roman"/>
                <w:i/>
                <w:szCs w:val="24"/>
              </w:rPr>
            </w:pPr>
            <w:r w:rsidRPr="00567766">
              <w:rPr>
                <w:rFonts w:ascii="Times New Roman" w:hAnsi="Times New Roman" w:cs="Times New Roman"/>
                <w:i/>
                <w:szCs w:val="24"/>
              </w:rPr>
              <w:lastRenderedPageBreak/>
              <w:t>PEA15</w:t>
            </w:r>
          </w:p>
        </w:tc>
        <w:tc>
          <w:tcPr>
            <w:tcW w:w="4266" w:type="pct"/>
          </w:tcPr>
          <w:p w:rsidR="005A687A" w:rsidRPr="00C674B2" w:rsidRDefault="005A687A" w:rsidP="007161B1">
            <w:pPr>
              <w:spacing w:line="360" w:lineRule="auto"/>
              <w:jc w:val="both"/>
              <w:rPr>
                <w:rFonts w:ascii="Times New Roman" w:hAnsi="Times New Roman" w:cs="Times New Roman"/>
                <w:szCs w:val="24"/>
              </w:rPr>
            </w:pPr>
            <w:r w:rsidRPr="00C674B2">
              <w:rPr>
                <w:rFonts w:ascii="Times New Roman" w:hAnsi="Times New Roman" w:cs="Times New Roman"/>
                <w:szCs w:val="24"/>
              </w:rPr>
              <w:t xml:space="preserve">Blocks </w:t>
            </w:r>
            <w:proofErr w:type="spellStart"/>
            <w:r w:rsidRPr="00C674B2">
              <w:rPr>
                <w:rFonts w:ascii="Times New Roman" w:hAnsi="Times New Roman" w:cs="Times New Roman"/>
                <w:szCs w:val="24"/>
              </w:rPr>
              <w:t>Ras</w:t>
            </w:r>
            <w:proofErr w:type="spellEnd"/>
            <w:r w:rsidRPr="00C674B2">
              <w:rPr>
                <w:rFonts w:ascii="Times New Roman" w:hAnsi="Times New Roman" w:cs="Times New Roman"/>
                <w:szCs w:val="24"/>
              </w:rPr>
              <w:t>-mediated inhibition of integrin activation and modulates the ERK MAP kinase cascade. Inhibits RPS6KA3 activities by retaining it in the cytoplasm (By similarity). Inhibits both TNFRSF6- and TNFRSF1A-mediated CASP8 activity and apoptosis. Regulates glucose transport by controlling both the content of SLC2A1 glucose transporters on the plasma membrane and the insulin-dependent trafficking of SLC2A4 from the cell interior to the surface.</w:t>
            </w:r>
          </w:p>
        </w:tc>
      </w:tr>
    </w:tbl>
    <w:p w:rsidR="0031536F" w:rsidRDefault="0031536F"/>
    <w:sectPr w:rsidR="003153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UwNzUxNDY1tjS2MDFX0lEKTi0uzszPAykwrAUAZ8AT7ywAAAA="/>
  </w:docVars>
  <w:rsids>
    <w:rsidRoot w:val="00906603"/>
    <w:rsid w:val="0031536F"/>
    <w:rsid w:val="005059E1"/>
    <w:rsid w:val="005A687A"/>
    <w:rsid w:val="00720FC8"/>
    <w:rsid w:val="00906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D6621-F859-480A-8637-DFEAAA30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6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Kamran</cp:lastModifiedBy>
  <cp:revision>4</cp:revision>
  <dcterms:created xsi:type="dcterms:W3CDTF">2019-10-18T12:30:00Z</dcterms:created>
  <dcterms:modified xsi:type="dcterms:W3CDTF">2019-10-18T12:30:00Z</dcterms:modified>
</cp:coreProperties>
</file>