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5411C" w14:textId="46C74AA3" w:rsidR="000B68A6" w:rsidRPr="00543353" w:rsidRDefault="002317A5" w:rsidP="00E02E91">
      <w:pPr>
        <w:widowControl/>
        <w:jc w:val="center"/>
        <w:rPr>
          <w:rFonts w:asciiTheme="minorBidi" w:hAnsiTheme="minorBidi"/>
          <w:b/>
          <w:bCs/>
          <w:sz w:val="24"/>
        </w:rPr>
      </w:pPr>
      <w:r w:rsidRPr="00543353">
        <w:rPr>
          <w:rFonts w:asciiTheme="minorBidi" w:hAnsiTheme="minorBidi"/>
          <w:b/>
          <w:bCs/>
          <w:sz w:val="24"/>
        </w:rPr>
        <w:t xml:space="preserve">Supplementary </w:t>
      </w:r>
      <w:r w:rsidR="003512ED" w:rsidRPr="00543353">
        <w:rPr>
          <w:rFonts w:asciiTheme="minorBidi" w:hAnsiTheme="minorBidi"/>
          <w:b/>
          <w:bCs/>
          <w:sz w:val="24"/>
        </w:rPr>
        <w:t>Materials</w:t>
      </w:r>
    </w:p>
    <w:p w14:paraId="5E93F70E" w14:textId="4197636D" w:rsidR="006E6A32" w:rsidRPr="00543353" w:rsidRDefault="006E6A32" w:rsidP="006E6A32">
      <w:pPr>
        <w:widowControl/>
        <w:jc w:val="left"/>
        <w:rPr>
          <w:rFonts w:ascii="Arial" w:hAnsi="Arial" w:cs="Arial"/>
        </w:rPr>
      </w:pPr>
    </w:p>
    <w:p w14:paraId="67CE2982" w14:textId="4C456051" w:rsidR="003043CC" w:rsidRPr="00543353" w:rsidRDefault="005569F7" w:rsidP="006E6A32">
      <w:pPr>
        <w:widowControl/>
        <w:jc w:val="left"/>
        <w:rPr>
          <w:rFonts w:ascii="Arial" w:hAnsi="Arial" w:cs="Arial"/>
          <w:b/>
          <w:bCs/>
        </w:rPr>
      </w:pPr>
      <w:r w:rsidRPr="00543353">
        <w:rPr>
          <w:rFonts w:ascii="Arial" w:hAnsi="Arial" w:cs="Arial"/>
          <w:b/>
          <w:bCs/>
        </w:rPr>
        <w:t>Determination of threshold</w:t>
      </w:r>
      <w:r w:rsidR="00A6061D" w:rsidRPr="00543353">
        <w:rPr>
          <w:rFonts w:ascii="Arial" w:hAnsi="Arial" w:cs="Arial"/>
          <w:b/>
          <w:bCs/>
        </w:rPr>
        <w:t>s</w:t>
      </w:r>
      <w:r w:rsidRPr="00543353">
        <w:rPr>
          <w:rFonts w:ascii="Arial" w:hAnsi="Arial" w:cs="Arial"/>
          <w:b/>
          <w:bCs/>
        </w:rPr>
        <w:t xml:space="preserve"> </w:t>
      </w:r>
      <w:r w:rsidR="00A6061D" w:rsidRPr="00543353">
        <w:rPr>
          <w:rFonts w:ascii="Arial" w:hAnsi="Arial" w:cs="Arial"/>
          <w:b/>
          <w:bCs/>
        </w:rPr>
        <w:t>for identifying</w:t>
      </w:r>
      <w:r w:rsidRPr="00543353">
        <w:rPr>
          <w:rFonts w:ascii="Arial" w:hAnsi="Arial" w:cs="Arial"/>
          <w:b/>
          <w:bCs/>
        </w:rPr>
        <w:t xml:space="preserve"> mismatch clusters</w:t>
      </w:r>
    </w:p>
    <w:p w14:paraId="091F361C" w14:textId="54DE08AE" w:rsidR="00B8438D" w:rsidRPr="00543353" w:rsidRDefault="00F91C9A" w:rsidP="00BA2E66">
      <w:pPr>
        <w:widowControl/>
        <w:rPr>
          <w:rFonts w:ascii="Arial" w:hAnsi="Arial" w:cs="Arial"/>
        </w:rPr>
      </w:pPr>
      <w:proofErr w:type="spellStart"/>
      <w:r w:rsidRPr="00543353">
        <w:rPr>
          <w:rFonts w:ascii="Arial" w:hAnsi="Arial" w:cs="Arial"/>
        </w:rPr>
        <w:t>LoMA</w:t>
      </w:r>
      <w:proofErr w:type="spellEnd"/>
      <w:r w:rsidRPr="00543353">
        <w:rPr>
          <w:rFonts w:ascii="Arial" w:hAnsi="Arial" w:cs="Arial"/>
        </w:rPr>
        <w:t xml:space="preserve"> detects heterozygous SVs in a target region and outputs haplotype-resolved sequences. To detect heterozygous SVs</w:t>
      </w:r>
      <w:r w:rsidR="003E7B5E" w:rsidRPr="00543353">
        <w:rPr>
          <w:rFonts w:ascii="Arial" w:hAnsi="Arial" w:cs="Arial"/>
        </w:rPr>
        <w:t>, all input reads are aligned to the first CS using minimap2</w:t>
      </w:r>
      <w:r w:rsidR="009F0D53" w:rsidRPr="00543353">
        <w:rPr>
          <w:rFonts w:ascii="Arial" w:hAnsi="Arial" w:cs="Arial"/>
        </w:rPr>
        <w:t>,</w:t>
      </w:r>
      <w:r w:rsidR="00BC7232" w:rsidRPr="00543353">
        <w:rPr>
          <w:rFonts w:ascii="Arial" w:hAnsi="Arial" w:cs="Arial"/>
        </w:rPr>
        <w:t xml:space="preserve"> and </w:t>
      </w:r>
      <w:r w:rsidR="00382516" w:rsidRPr="00543353">
        <w:rPr>
          <w:rFonts w:ascii="Arial" w:hAnsi="Arial" w:cs="Arial"/>
        </w:rPr>
        <w:t xml:space="preserve">heterozygous SVs are detected based on the number of </w:t>
      </w:r>
      <w:r w:rsidR="006C5900" w:rsidRPr="00543353">
        <w:rPr>
          <w:rFonts w:ascii="Arial" w:hAnsi="Arial" w:cs="Arial"/>
        </w:rPr>
        <w:t xml:space="preserve">discordant </w:t>
      </w:r>
      <w:r w:rsidR="00382516" w:rsidRPr="00543353">
        <w:rPr>
          <w:rFonts w:ascii="Arial" w:hAnsi="Arial" w:cs="Arial"/>
        </w:rPr>
        <w:t>reads.</w:t>
      </w:r>
      <w:r w:rsidRPr="00543353">
        <w:rPr>
          <w:rFonts w:ascii="Arial" w:hAnsi="Arial" w:cs="Arial"/>
        </w:rPr>
        <w:t xml:space="preserve"> </w:t>
      </w:r>
      <w:r w:rsidR="008B1568" w:rsidRPr="00543353">
        <w:rPr>
          <w:rFonts w:ascii="Arial" w:hAnsi="Arial" w:cs="Arial"/>
        </w:rPr>
        <w:t>T</w:t>
      </w:r>
      <w:r w:rsidR="002A69DC" w:rsidRPr="00543353">
        <w:rPr>
          <w:rFonts w:ascii="Arial" w:hAnsi="Arial" w:cs="Arial"/>
        </w:rPr>
        <w:t xml:space="preserve">he number of reads containing </w:t>
      </w:r>
      <w:r w:rsidR="00FF2734" w:rsidRPr="00543353">
        <w:rPr>
          <w:rFonts w:ascii="Arial" w:hAnsi="Arial" w:cs="Arial"/>
        </w:rPr>
        <w:t xml:space="preserve">a </w:t>
      </w:r>
      <w:r w:rsidR="008B1568" w:rsidRPr="00543353">
        <w:rPr>
          <w:rFonts w:ascii="Arial" w:hAnsi="Arial" w:cs="Arial"/>
        </w:rPr>
        <w:t>heterozygous</w:t>
      </w:r>
      <w:r w:rsidR="006107DB" w:rsidRPr="00543353">
        <w:rPr>
          <w:rFonts w:ascii="Arial" w:hAnsi="Arial" w:cs="Arial"/>
        </w:rPr>
        <w:t xml:space="preserve"> </w:t>
      </w:r>
      <w:r w:rsidR="00DC3BE3" w:rsidRPr="00543353">
        <w:rPr>
          <w:rFonts w:ascii="Arial" w:hAnsi="Arial" w:cs="Arial"/>
        </w:rPr>
        <w:t xml:space="preserve">SV </w:t>
      </w:r>
      <w:r w:rsidR="006F4D1F" w:rsidRPr="00543353">
        <w:rPr>
          <w:rFonts w:ascii="Arial" w:hAnsi="Arial" w:cs="Arial"/>
        </w:rPr>
        <w:t xml:space="preserve">is expected to </w:t>
      </w:r>
      <w:r w:rsidR="002A69DC" w:rsidRPr="00543353">
        <w:rPr>
          <w:rFonts w:ascii="Arial" w:hAnsi="Arial" w:cs="Arial"/>
        </w:rPr>
        <w:t xml:space="preserve">follow a binomial distribution with </w:t>
      </w:r>
      <w:r w:rsidR="002A69DC" w:rsidRPr="00543353">
        <w:rPr>
          <w:rFonts w:ascii="Arial" w:hAnsi="Arial" w:cs="Arial"/>
          <w:i/>
          <w:iCs/>
        </w:rPr>
        <w:t>n</w:t>
      </w:r>
      <w:r w:rsidR="00486BBF" w:rsidRPr="00543353">
        <w:rPr>
          <w:rFonts w:ascii="Arial" w:hAnsi="Arial" w:cs="Arial"/>
        </w:rPr>
        <w:t xml:space="preserve"> (coverage)</w:t>
      </w:r>
      <w:r w:rsidR="002A69DC" w:rsidRPr="00543353">
        <w:rPr>
          <w:rFonts w:ascii="Arial" w:hAnsi="Arial" w:cs="Arial"/>
        </w:rPr>
        <w:t xml:space="preserve"> and </w:t>
      </w:r>
      <w:r w:rsidR="002A69DC" w:rsidRPr="00543353">
        <w:rPr>
          <w:rFonts w:ascii="Arial" w:hAnsi="Arial" w:cs="Arial"/>
          <w:i/>
          <w:iCs/>
        </w:rPr>
        <w:t>p</w:t>
      </w:r>
      <w:r w:rsidR="002A69DC" w:rsidRPr="00543353">
        <w:rPr>
          <w:rFonts w:ascii="Arial" w:hAnsi="Arial" w:cs="Arial"/>
        </w:rPr>
        <w:t xml:space="preserve"> = 0.5. </w:t>
      </w:r>
      <w:r w:rsidR="00330075" w:rsidRPr="00543353">
        <w:rPr>
          <w:rFonts w:ascii="Arial" w:hAnsi="Arial" w:cs="Arial"/>
        </w:rPr>
        <w:t>I</w:t>
      </w:r>
      <w:r w:rsidR="002A69DC" w:rsidRPr="00543353">
        <w:rPr>
          <w:rFonts w:ascii="Arial" w:hAnsi="Arial" w:cs="Arial"/>
        </w:rPr>
        <w:t xml:space="preserve">f </w:t>
      </w:r>
      <w:r w:rsidR="0045332A" w:rsidRPr="00543353">
        <w:rPr>
          <w:rFonts w:ascii="Arial" w:hAnsi="Arial" w:cs="Arial"/>
        </w:rPr>
        <w:t xml:space="preserve">the </w:t>
      </w:r>
      <w:r w:rsidR="002A69DC" w:rsidRPr="00543353">
        <w:rPr>
          <w:rFonts w:ascii="Arial" w:hAnsi="Arial" w:cs="Arial"/>
        </w:rPr>
        <w:t>coverage is sufficient</w:t>
      </w:r>
      <w:r w:rsidR="00FA2C18" w:rsidRPr="00543353">
        <w:rPr>
          <w:rFonts w:ascii="Arial" w:hAnsi="Arial" w:cs="Arial"/>
        </w:rPr>
        <w:t>ly high</w:t>
      </w:r>
      <w:r w:rsidR="002A69DC" w:rsidRPr="00543353">
        <w:rPr>
          <w:rFonts w:ascii="Arial" w:hAnsi="Arial" w:cs="Arial"/>
        </w:rPr>
        <w:t xml:space="preserve">, the binomial distribution approximates a normal distribution with mean </w:t>
      </w:r>
      <w:r w:rsidR="002A69DC" w:rsidRPr="00543353">
        <w:rPr>
          <w:rFonts w:ascii="Arial" w:hAnsi="Arial" w:cs="Arial"/>
          <w:i/>
          <w:iCs/>
        </w:rPr>
        <w:t>n</w:t>
      </w:r>
      <w:r w:rsidR="002A69DC" w:rsidRPr="00543353">
        <w:rPr>
          <w:rFonts w:ascii="Arial" w:hAnsi="Arial" w:cs="Arial"/>
        </w:rPr>
        <w:t xml:space="preserve">/2 and variance </w:t>
      </w:r>
      <w:r w:rsidR="002A69DC" w:rsidRPr="00543353">
        <w:rPr>
          <w:rFonts w:ascii="Arial" w:hAnsi="Arial" w:cs="Arial"/>
          <w:i/>
          <w:iCs/>
        </w:rPr>
        <w:t>n</w:t>
      </w:r>
      <w:r w:rsidR="002A69DC" w:rsidRPr="00543353">
        <w:rPr>
          <w:rFonts w:ascii="Arial" w:hAnsi="Arial" w:cs="Arial"/>
        </w:rPr>
        <w:t xml:space="preserve">/4. </w:t>
      </w:r>
      <w:r w:rsidR="00E50318" w:rsidRPr="00543353">
        <w:rPr>
          <w:rFonts w:ascii="Arial" w:hAnsi="Arial" w:cs="Arial"/>
        </w:rPr>
        <w:t>Using the mean and standard deviation (</w:t>
      </w:r>
      <w:r w:rsidR="005247B9" w:rsidRPr="00543353">
        <w:rPr>
          <w:rFonts w:ascii="Arial" w:eastAsia="Yu Mincho" w:hAnsi="Arial" w:cs="Arial" w:hint="eastAsia"/>
        </w:rPr>
        <w:t>σ</w:t>
      </w:r>
      <w:r w:rsidR="00E50318" w:rsidRPr="00543353">
        <w:rPr>
          <w:rFonts w:ascii="Arial" w:hAnsi="Arial" w:cs="Arial"/>
        </w:rPr>
        <w:t>) of the normal distribution,</w:t>
      </w:r>
      <w:r w:rsidR="00E50318" w:rsidRPr="00543353" w:rsidDel="00846FD8">
        <w:rPr>
          <w:rFonts w:ascii="Arial" w:hAnsi="Arial" w:cs="Arial"/>
        </w:rPr>
        <w:t xml:space="preserve"> </w:t>
      </w:r>
      <w:r w:rsidR="00E50318" w:rsidRPr="00543353">
        <w:rPr>
          <w:rFonts w:ascii="Arial" w:hAnsi="Arial" w:cs="Arial"/>
        </w:rPr>
        <w:t>w</w:t>
      </w:r>
      <w:r w:rsidR="00304E30" w:rsidRPr="00543353">
        <w:rPr>
          <w:rFonts w:ascii="Arial" w:hAnsi="Arial" w:cs="Arial"/>
        </w:rPr>
        <w:t xml:space="preserve">e calculated the </w:t>
      </w:r>
      <w:r w:rsidR="0016347F" w:rsidRPr="00543353">
        <w:rPr>
          <w:rFonts w:ascii="Arial" w:hAnsi="Arial" w:cs="Arial"/>
        </w:rPr>
        <w:t xml:space="preserve">expected </w:t>
      </w:r>
      <w:r w:rsidR="00304E30" w:rsidRPr="00543353">
        <w:rPr>
          <w:rFonts w:ascii="Arial" w:hAnsi="Arial" w:cs="Arial"/>
        </w:rPr>
        <w:t xml:space="preserve">range of </w:t>
      </w:r>
      <w:r w:rsidR="00CA4E9B" w:rsidRPr="00543353">
        <w:rPr>
          <w:rFonts w:ascii="Arial" w:hAnsi="Arial" w:cs="Arial"/>
        </w:rPr>
        <w:t xml:space="preserve">the </w:t>
      </w:r>
      <w:r w:rsidR="00304E30" w:rsidRPr="00543353">
        <w:rPr>
          <w:rFonts w:ascii="Arial" w:hAnsi="Arial" w:cs="Arial"/>
        </w:rPr>
        <w:t xml:space="preserve">number of discordant reads. </w:t>
      </w:r>
      <w:r w:rsidR="009F04B6" w:rsidRPr="00543353">
        <w:rPr>
          <w:rFonts w:ascii="Arial" w:hAnsi="Arial" w:cs="Arial"/>
        </w:rPr>
        <w:t xml:space="preserve">We additionally used a threshold for </w:t>
      </w:r>
      <w:r w:rsidR="009F7D51" w:rsidRPr="00543353">
        <w:rPr>
          <w:rFonts w:ascii="Arial" w:hAnsi="Arial" w:cs="Arial"/>
        </w:rPr>
        <w:t xml:space="preserve">the </w:t>
      </w:r>
      <w:r w:rsidR="009F04B6" w:rsidRPr="00543353">
        <w:rPr>
          <w:rFonts w:ascii="Arial" w:hAnsi="Arial" w:cs="Arial"/>
        </w:rPr>
        <w:t xml:space="preserve">minimum number of discordant reads. </w:t>
      </w:r>
      <w:r w:rsidR="00783F8A" w:rsidRPr="00543353">
        <w:rPr>
          <w:rFonts w:ascii="Arial" w:hAnsi="Arial" w:cs="Arial"/>
        </w:rPr>
        <w:t>In this analysis</w:t>
      </w:r>
      <w:r w:rsidR="00783F8A" w:rsidRPr="00543353">
        <w:rPr>
          <w:rFonts w:ascii="Arial" w:hAnsi="Arial" w:cs="Arial" w:hint="eastAsia"/>
        </w:rPr>
        <w:t xml:space="preserve"> </w:t>
      </w:r>
      <w:r w:rsidR="00783F8A" w:rsidRPr="00543353">
        <w:rPr>
          <w:rFonts w:ascii="Arial" w:hAnsi="Arial" w:cs="Arial"/>
        </w:rPr>
        <w:t xml:space="preserve">(~80x coverage), </w:t>
      </w:r>
      <w:r w:rsidR="004C7E77" w:rsidRPr="00543353">
        <w:rPr>
          <w:rFonts w:ascii="Arial" w:hAnsi="Arial" w:cs="Arial"/>
        </w:rPr>
        <w:t xml:space="preserve">the </w:t>
      </w:r>
      <w:r w:rsidR="00A97DCD" w:rsidRPr="00543353">
        <w:rPr>
          <w:rFonts w:ascii="Arial" w:hAnsi="Arial" w:cs="Arial"/>
        </w:rPr>
        <w:t>range of</w:t>
      </w:r>
      <w:r w:rsidR="004C7E77" w:rsidRPr="00543353">
        <w:rPr>
          <w:rFonts w:ascii="Arial" w:hAnsi="Arial" w:cs="Arial"/>
        </w:rPr>
        <w:t xml:space="preserve"> </w:t>
      </w:r>
      <w:r w:rsidR="009F7D51" w:rsidRPr="00543353">
        <w:rPr>
          <w:rFonts w:ascii="Arial" w:hAnsi="Arial" w:cs="Arial"/>
        </w:rPr>
        <w:t xml:space="preserve">the </w:t>
      </w:r>
      <w:r w:rsidR="004C7E77" w:rsidRPr="00543353">
        <w:rPr>
          <w:rFonts w:ascii="Arial" w:hAnsi="Arial" w:cs="Arial"/>
        </w:rPr>
        <w:t>number of</w:t>
      </w:r>
      <w:r w:rsidR="00783F8A" w:rsidRPr="00543353">
        <w:rPr>
          <w:rFonts w:ascii="Arial" w:hAnsi="Arial" w:cs="Arial"/>
        </w:rPr>
        <w:t xml:space="preserve"> discordant reads</w:t>
      </w:r>
      <w:r w:rsidR="009F04B6" w:rsidRPr="00543353">
        <w:rPr>
          <w:rFonts w:ascii="Arial" w:hAnsi="Arial" w:cs="Arial"/>
        </w:rPr>
        <w:t xml:space="preserve"> and the minimum number of discordant reads</w:t>
      </w:r>
      <w:r w:rsidR="00783F8A" w:rsidRPr="00543353">
        <w:rPr>
          <w:rFonts w:ascii="Arial" w:hAnsi="Arial" w:cs="Arial"/>
        </w:rPr>
        <w:t xml:space="preserve"> </w:t>
      </w:r>
      <w:r w:rsidR="00FF2BD5" w:rsidRPr="00543353">
        <w:rPr>
          <w:rFonts w:ascii="Arial" w:hAnsi="Arial" w:cs="Arial"/>
        </w:rPr>
        <w:t>w</w:t>
      </w:r>
      <w:r w:rsidR="009F04B6" w:rsidRPr="00543353">
        <w:rPr>
          <w:rFonts w:ascii="Arial" w:hAnsi="Arial" w:cs="Arial"/>
        </w:rPr>
        <w:t>ere</w:t>
      </w:r>
      <w:r w:rsidR="00783F8A" w:rsidRPr="00543353">
        <w:rPr>
          <w:rFonts w:ascii="Arial" w:hAnsi="Arial" w:cs="Arial"/>
        </w:rPr>
        <w:t xml:space="preserve"> set to</w:t>
      </w:r>
      <w:r w:rsidR="006F4D1F" w:rsidRPr="00543353">
        <w:rPr>
          <w:rFonts w:ascii="Arial" w:hAnsi="Arial" w:cs="Arial"/>
        </w:rPr>
        <w:t xml:space="preserve"> the</w:t>
      </w:r>
      <w:r w:rsidR="00783F8A" w:rsidRPr="00543353">
        <w:rPr>
          <w:rFonts w:ascii="Arial" w:hAnsi="Arial" w:cs="Arial"/>
        </w:rPr>
        <w:t xml:space="preserve"> mean </w:t>
      </w:r>
      <w:r w:rsidR="00724DD0" w:rsidRPr="00543353">
        <w:rPr>
          <w:rFonts w:ascii="Arial" w:hAnsi="Arial" w:cs="Arial"/>
        </w:rPr>
        <w:sym w:font="Symbol" w:char="F0B1"/>
      </w:r>
      <w:r w:rsidR="00783F8A" w:rsidRPr="00543353">
        <w:rPr>
          <w:rFonts w:ascii="Arial" w:hAnsi="Arial" w:cs="Arial"/>
        </w:rPr>
        <w:t xml:space="preserve"> 3</w:t>
      </w:r>
      <w:r w:rsidR="005247B9" w:rsidRPr="00543353">
        <w:rPr>
          <w:rFonts w:ascii="Arial" w:eastAsia="Yu Mincho" w:hAnsi="Arial" w:cs="Arial"/>
        </w:rPr>
        <w:t>σ</w:t>
      </w:r>
      <w:r w:rsidR="009F04B6" w:rsidRPr="00543353">
        <w:rPr>
          <w:rFonts w:ascii="Arial" w:hAnsi="Arial" w:cs="Arial"/>
        </w:rPr>
        <w:t xml:space="preserve"> and</w:t>
      </w:r>
      <w:r w:rsidR="00136431" w:rsidRPr="00543353">
        <w:rPr>
          <w:rFonts w:ascii="Arial" w:hAnsi="Arial" w:cs="Arial"/>
        </w:rPr>
        <w:t xml:space="preserve"> </w:t>
      </w:r>
      <w:r w:rsidR="009F04B6" w:rsidRPr="00543353">
        <w:rPr>
          <w:rFonts w:ascii="Arial" w:hAnsi="Arial" w:cs="Arial"/>
        </w:rPr>
        <w:t>8</w:t>
      </w:r>
      <w:r w:rsidR="00136431" w:rsidRPr="00543353">
        <w:rPr>
          <w:rFonts w:ascii="Arial" w:hAnsi="Arial" w:cs="Arial"/>
        </w:rPr>
        <w:t>, respectively</w:t>
      </w:r>
      <w:r w:rsidR="006F4D1F" w:rsidRPr="00543353">
        <w:rPr>
          <w:rFonts w:ascii="Arial" w:hAnsi="Arial" w:cs="Arial"/>
        </w:rPr>
        <w:t>, respectively</w:t>
      </w:r>
      <w:r w:rsidR="00F46F7E" w:rsidRPr="00543353">
        <w:rPr>
          <w:rFonts w:ascii="Arial" w:hAnsi="Arial" w:cs="Arial"/>
        </w:rPr>
        <w:t>.</w:t>
      </w:r>
      <w:r w:rsidR="004C1BAF" w:rsidRPr="00543353">
        <w:rPr>
          <w:rFonts w:ascii="Arial" w:hAnsi="Arial" w:cs="Arial"/>
        </w:rPr>
        <w:t xml:space="preserve"> </w:t>
      </w:r>
      <w:r w:rsidR="0059071C" w:rsidRPr="00543353">
        <w:rPr>
          <w:rFonts w:ascii="Arial" w:hAnsi="Arial" w:cs="Arial"/>
        </w:rPr>
        <w:t>T</w:t>
      </w:r>
      <w:r w:rsidR="002A69DC" w:rsidRPr="00543353">
        <w:rPr>
          <w:rFonts w:ascii="Arial" w:hAnsi="Arial" w:cs="Arial"/>
        </w:rPr>
        <w:t xml:space="preserve">hese </w:t>
      </w:r>
      <w:r w:rsidR="004B1EF0" w:rsidRPr="00543353">
        <w:rPr>
          <w:rFonts w:ascii="Arial" w:hAnsi="Arial" w:cs="Arial"/>
        </w:rPr>
        <w:t>thresholds</w:t>
      </w:r>
      <w:r w:rsidR="002A69DC" w:rsidRPr="00543353">
        <w:rPr>
          <w:rFonts w:ascii="Arial" w:hAnsi="Arial" w:cs="Arial"/>
        </w:rPr>
        <w:t xml:space="preserve"> </w:t>
      </w:r>
      <w:r w:rsidR="006F4D1F" w:rsidRPr="00543353">
        <w:rPr>
          <w:rFonts w:ascii="Arial" w:hAnsi="Arial" w:cs="Arial"/>
        </w:rPr>
        <w:t>can be</w:t>
      </w:r>
      <w:r w:rsidR="002A69DC" w:rsidRPr="00543353">
        <w:rPr>
          <w:rFonts w:ascii="Arial" w:hAnsi="Arial" w:cs="Arial"/>
        </w:rPr>
        <w:t xml:space="preserve"> </w:t>
      </w:r>
      <w:r w:rsidR="0017071D" w:rsidRPr="00543353">
        <w:rPr>
          <w:rFonts w:ascii="Arial" w:hAnsi="Arial" w:cs="Arial"/>
        </w:rPr>
        <w:t>change</w:t>
      </w:r>
      <w:r w:rsidR="006F4D1F" w:rsidRPr="00543353">
        <w:rPr>
          <w:rFonts w:ascii="Arial" w:hAnsi="Arial" w:cs="Arial"/>
        </w:rPr>
        <w:t>d</w:t>
      </w:r>
      <w:r w:rsidR="005634B7" w:rsidRPr="00543353">
        <w:rPr>
          <w:rFonts w:ascii="Arial" w:hAnsi="Arial" w:cs="Arial"/>
        </w:rPr>
        <w:t xml:space="preserve"> </w:t>
      </w:r>
      <w:r w:rsidR="002A69DC" w:rsidRPr="00543353">
        <w:rPr>
          <w:rFonts w:ascii="Arial" w:hAnsi="Arial" w:cs="Arial"/>
        </w:rPr>
        <w:t xml:space="preserve">according to the amount </w:t>
      </w:r>
      <w:r w:rsidR="008239B0" w:rsidRPr="00543353">
        <w:rPr>
          <w:rFonts w:ascii="Arial" w:hAnsi="Arial" w:cs="Arial"/>
        </w:rPr>
        <w:t xml:space="preserve">and characteristics </w:t>
      </w:r>
      <w:r w:rsidR="002A69DC" w:rsidRPr="00543353">
        <w:rPr>
          <w:rFonts w:ascii="Arial" w:hAnsi="Arial" w:cs="Arial"/>
        </w:rPr>
        <w:t xml:space="preserve">of </w:t>
      </w:r>
      <w:r w:rsidR="00CD1AAA" w:rsidRPr="00543353">
        <w:rPr>
          <w:rFonts w:ascii="Arial" w:hAnsi="Arial" w:cs="Arial"/>
        </w:rPr>
        <w:t xml:space="preserve">the </w:t>
      </w:r>
      <w:r w:rsidR="006F4D1F" w:rsidRPr="00543353">
        <w:rPr>
          <w:rFonts w:ascii="Arial" w:hAnsi="Arial" w:cs="Arial"/>
        </w:rPr>
        <w:t>user’</w:t>
      </w:r>
      <w:r w:rsidR="00720488" w:rsidRPr="00543353">
        <w:rPr>
          <w:rFonts w:ascii="Arial" w:hAnsi="Arial" w:cs="Arial"/>
        </w:rPr>
        <w:t>s</w:t>
      </w:r>
      <w:r w:rsidR="006F4D1F" w:rsidRPr="00543353">
        <w:rPr>
          <w:rFonts w:ascii="Arial" w:hAnsi="Arial" w:cs="Arial"/>
        </w:rPr>
        <w:t xml:space="preserve"> </w:t>
      </w:r>
      <w:r w:rsidR="002A69DC" w:rsidRPr="00543353">
        <w:rPr>
          <w:rFonts w:ascii="Arial" w:hAnsi="Arial" w:cs="Arial"/>
        </w:rPr>
        <w:t>data</w:t>
      </w:r>
      <w:r w:rsidR="009D3458" w:rsidRPr="00543353">
        <w:rPr>
          <w:rFonts w:ascii="Arial" w:hAnsi="Arial" w:cs="Arial"/>
        </w:rPr>
        <w:t>.</w:t>
      </w:r>
    </w:p>
    <w:p w14:paraId="722497C6" w14:textId="77777777" w:rsidR="00B8438D" w:rsidRPr="00543353" w:rsidRDefault="00B8438D" w:rsidP="006E6A32">
      <w:pPr>
        <w:widowControl/>
        <w:jc w:val="left"/>
        <w:rPr>
          <w:rFonts w:ascii="Arial" w:hAnsi="Arial" w:cs="Arial"/>
        </w:rPr>
      </w:pPr>
    </w:p>
    <w:p w14:paraId="702EED79" w14:textId="652F46C1" w:rsidR="006E6A32" w:rsidRPr="00543353" w:rsidRDefault="006E6A32" w:rsidP="002A7B87">
      <w:pPr>
        <w:widowControl/>
        <w:jc w:val="left"/>
        <w:rPr>
          <w:rFonts w:ascii="Arial" w:hAnsi="Arial" w:cs="Arial"/>
          <w:b/>
          <w:bCs/>
        </w:rPr>
      </w:pPr>
      <w:r w:rsidRPr="00543353">
        <w:rPr>
          <w:rFonts w:ascii="Arial" w:hAnsi="Arial" w:cs="Arial"/>
          <w:b/>
          <w:bCs/>
        </w:rPr>
        <w:t>Counting STR</w:t>
      </w:r>
      <w:r w:rsidR="00961A34" w:rsidRPr="00543353">
        <w:rPr>
          <w:rFonts w:ascii="Arial" w:hAnsi="Arial" w:cs="Arial"/>
          <w:b/>
          <w:bCs/>
        </w:rPr>
        <w:t xml:space="preserve"> types</w:t>
      </w:r>
    </w:p>
    <w:p w14:paraId="5972571F" w14:textId="220D4094" w:rsidR="002A7B87" w:rsidRPr="00543353" w:rsidRDefault="002A7B87" w:rsidP="002A7B87">
      <w:pPr>
        <w:widowControl/>
        <w:jc w:val="left"/>
        <w:rPr>
          <w:rFonts w:ascii="Arial" w:hAnsi="Arial" w:cs="Arial"/>
        </w:rPr>
      </w:pPr>
      <w:r w:rsidRPr="00543353">
        <w:rPr>
          <w:rFonts w:ascii="Arial" w:hAnsi="Arial" w:cs="Arial"/>
        </w:rPr>
        <w:t xml:space="preserve">In principle, it is difficult to distinguish in which strand a TR expansion event </w:t>
      </w:r>
      <w:r w:rsidR="00794671" w:rsidRPr="00543353">
        <w:rPr>
          <w:rFonts w:ascii="Arial" w:hAnsi="Arial" w:cs="Arial"/>
        </w:rPr>
        <w:t>occu</w:t>
      </w:r>
      <w:r w:rsidR="001C5FE4" w:rsidRPr="00543353">
        <w:rPr>
          <w:rFonts w:ascii="Arial" w:hAnsi="Arial" w:cs="Arial"/>
        </w:rPr>
        <w:t>r</w:t>
      </w:r>
      <w:r w:rsidR="00794671" w:rsidRPr="00543353">
        <w:rPr>
          <w:rFonts w:ascii="Arial" w:hAnsi="Arial" w:cs="Arial"/>
        </w:rPr>
        <w:t xml:space="preserve">red </w:t>
      </w:r>
      <w:r w:rsidRPr="00543353">
        <w:rPr>
          <w:rFonts w:ascii="Arial" w:hAnsi="Arial" w:cs="Arial"/>
        </w:rPr>
        <w:t>by observing DNA sequences. Additionally, it is also difficult to analyze STRs</w:t>
      </w:r>
      <w:r w:rsidR="00075393" w:rsidRPr="00543353">
        <w:rPr>
          <w:rFonts w:ascii="Arial" w:hAnsi="Arial" w:cs="Arial"/>
        </w:rPr>
        <w:t xml:space="preserve"> tandemly</w:t>
      </w:r>
      <w:r w:rsidRPr="00543353">
        <w:rPr>
          <w:rFonts w:ascii="Arial" w:hAnsi="Arial" w:cs="Arial"/>
        </w:rPr>
        <w:t xml:space="preserve"> </w:t>
      </w:r>
      <w:r w:rsidR="00075393" w:rsidRPr="00543353">
        <w:rPr>
          <w:rFonts w:ascii="Arial" w:hAnsi="Arial" w:cs="Arial"/>
        </w:rPr>
        <w:t xml:space="preserve">repeated many </w:t>
      </w:r>
      <w:r w:rsidRPr="00543353">
        <w:rPr>
          <w:rFonts w:ascii="Arial" w:hAnsi="Arial" w:cs="Arial"/>
        </w:rPr>
        <w:t xml:space="preserve">times after discriminating sorted sequences that keep </w:t>
      </w:r>
      <w:r w:rsidR="00816B36" w:rsidRPr="00543353">
        <w:rPr>
          <w:rFonts w:ascii="Arial" w:hAnsi="Arial" w:cs="Arial"/>
        </w:rPr>
        <w:t>their</w:t>
      </w:r>
      <w:r w:rsidRPr="00543353">
        <w:rPr>
          <w:rFonts w:ascii="Arial" w:hAnsi="Arial" w:cs="Arial"/>
        </w:rPr>
        <w:t xml:space="preserve"> order (e.g., CGA, ACG and GAC)</w:t>
      </w:r>
      <w:r w:rsidR="00816B36" w:rsidRPr="00543353">
        <w:rPr>
          <w:rFonts w:ascii="Arial" w:hAnsi="Arial" w:cs="Arial"/>
        </w:rPr>
        <w:t>.</w:t>
      </w:r>
      <w:r w:rsidR="00075393" w:rsidRPr="00543353">
        <w:rPr>
          <w:rFonts w:ascii="Arial" w:hAnsi="Arial" w:cs="Arial"/>
        </w:rPr>
        <w:t xml:space="preserve"> Therefore, we treated</w:t>
      </w:r>
      <w:r w:rsidR="00D701E3" w:rsidRPr="00543353">
        <w:rPr>
          <w:rFonts w:ascii="Arial" w:hAnsi="Arial" w:cs="Arial"/>
        </w:rPr>
        <w:t xml:space="preserve"> and counted</w:t>
      </w:r>
      <w:r w:rsidR="00075393" w:rsidRPr="00543353">
        <w:rPr>
          <w:rFonts w:ascii="Arial" w:hAnsi="Arial" w:cs="Arial"/>
        </w:rPr>
        <w:t xml:space="preserve"> a group of STRs that were the same in lexicographical order without discriminating strands as the same group.</w:t>
      </w:r>
    </w:p>
    <w:p w14:paraId="6CDEA04A" w14:textId="06A2B8AE" w:rsidR="00141695" w:rsidRPr="00543353" w:rsidRDefault="00141695" w:rsidP="002A7B87">
      <w:pPr>
        <w:widowControl/>
        <w:jc w:val="left"/>
        <w:rPr>
          <w:rFonts w:ascii="Arial" w:hAnsi="Arial" w:cs="Arial"/>
        </w:rPr>
      </w:pPr>
    </w:p>
    <w:p w14:paraId="0517B217" w14:textId="0DA9BC15" w:rsidR="006E6A32" w:rsidRPr="00543353" w:rsidRDefault="004540EB" w:rsidP="002A7B87">
      <w:pPr>
        <w:widowControl/>
        <w:jc w:val="left"/>
        <w:rPr>
          <w:rFonts w:ascii="Arial" w:hAnsi="Arial" w:cs="Arial"/>
          <w:b/>
          <w:bCs/>
        </w:rPr>
      </w:pPr>
      <w:r w:rsidRPr="00543353">
        <w:rPr>
          <w:rFonts w:ascii="Arial" w:hAnsi="Arial" w:cs="Arial"/>
          <w:b/>
          <w:bCs/>
        </w:rPr>
        <w:t xml:space="preserve">Genome-wide analysis of SVs using </w:t>
      </w:r>
      <w:proofErr w:type="spellStart"/>
      <w:r w:rsidR="006E6A32" w:rsidRPr="00543353">
        <w:rPr>
          <w:rFonts w:ascii="Arial" w:hAnsi="Arial" w:cs="Arial"/>
          <w:b/>
          <w:bCs/>
        </w:rPr>
        <w:t>LoMA</w:t>
      </w:r>
      <w:proofErr w:type="spellEnd"/>
    </w:p>
    <w:p w14:paraId="6D9E6B55" w14:textId="06C54594" w:rsidR="00715950" w:rsidRPr="00543353" w:rsidRDefault="00141695" w:rsidP="009B4134">
      <w:pPr>
        <w:jc w:val="left"/>
        <w:rPr>
          <w:rFonts w:ascii="Arial" w:hAnsi="Arial" w:cs="Arial"/>
        </w:rPr>
      </w:pPr>
      <w:r w:rsidRPr="00543353">
        <w:rPr>
          <w:rFonts w:ascii="Arial" w:hAnsi="Arial" w:cs="Arial"/>
        </w:rPr>
        <w:t xml:space="preserve">The success rate of </w:t>
      </w:r>
      <w:r w:rsidR="00816B36" w:rsidRPr="00543353">
        <w:rPr>
          <w:rFonts w:ascii="Arial" w:hAnsi="Arial" w:cs="Arial"/>
        </w:rPr>
        <w:t xml:space="preserve">the </w:t>
      </w:r>
      <w:r w:rsidRPr="00543353">
        <w:rPr>
          <w:rFonts w:ascii="Arial" w:hAnsi="Arial" w:cs="Arial"/>
        </w:rPr>
        <w:t>reconstruction of unclear regions w</w:t>
      </w:r>
      <w:r w:rsidR="00816B36" w:rsidRPr="00543353">
        <w:rPr>
          <w:rFonts w:ascii="Arial" w:hAnsi="Arial" w:cs="Arial"/>
        </w:rPr>
        <w:t>as</w:t>
      </w:r>
      <w:r w:rsidRPr="00543353">
        <w:rPr>
          <w:rFonts w:ascii="Arial" w:hAnsi="Arial" w:cs="Arial"/>
        </w:rPr>
        <w:t xml:space="preserve"> 88.1% and 92.2% in NA18943 and NA19240</w:t>
      </w:r>
      <w:r w:rsidR="00816B36" w:rsidRPr="00543353">
        <w:rPr>
          <w:rFonts w:ascii="Arial" w:hAnsi="Arial" w:cs="Arial"/>
        </w:rPr>
        <w:t>,</w:t>
      </w:r>
      <w:r w:rsidRPr="00543353">
        <w:rPr>
          <w:rFonts w:ascii="Arial" w:hAnsi="Arial" w:cs="Arial"/>
        </w:rPr>
        <w:t xml:space="preserve"> respectively, excluding </w:t>
      </w:r>
      <w:r w:rsidR="00BF2082" w:rsidRPr="00543353">
        <w:rPr>
          <w:rFonts w:ascii="Arial" w:hAnsi="Arial" w:cs="Arial"/>
        </w:rPr>
        <w:t xml:space="preserve">the failed regions derived from </w:t>
      </w:r>
      <w:proofErr w:type="spellStart"/>
      <w:r w:rsidRPr="00543353">
        <w:rPr>
          <w:rFonts w:ascii="Arial" w:hAnsi="Arial" w:cs="Arial"/>
        </w:rPr>
        <w:t>centromeric</w:t>
      </w:r>
      <w:proofErr w:type="spellEnd"/>
      <w:r w:rsidRPr="00543353">
        <w:rPr>
          <w:rFonts w:ascii="Arial" w:hAnsi="Arial" w:cs="Arial"/>
        </w:rPr>
        <w:t xml:space="preserve"> regions. In NA18943, 3,065 regions were classified as heterozygous, and 10,757 were homozygous regions. In NA19240, 7,542 </w:t>
      </w:r>
      <w:r w:rsidR="00794671" w:rsidRPr="00543353">
        <w:rPr>
          <w:rFonts w:ascii="Arial" w:hAnsi="Arial" w:cs="Arial"/>
        </w:rPr>
        <w:t xml:space="preserve">and 7,678 </w:t>
      </w:r>
      <w:r w:rsidRPr="00543353">
        <w:rPr>
          <w:rFonts w:ascii="Arial" w:hAnsi="Arial" w:cs="Arial"/>
        </w:rPr>
        <w:t>regions were heterozygous and homozygous</w:t>
      </w:r>
      <w:r w:rsidR="00794671" w:rsidRPr="00543353">
        <w:rPr>
          <w:rFonts w:ascii="Arial" w:hAnsi="Arial" w:cs="Arial"/>
        </w:rPr>
        <w:t>, respectively</w:t>
      </w:r>
      <w:r w:rsidRPr="00543353">
        <w:rPr>
          <w:rFonts w:ascii="Arial" w:hAnsi="Arial" w:cs="Arial"/>
        </w:rPr>
        <w:t xml:space="preserve">. The difference in </w:t>
      </w:r>
      <w:r w:rsidR="00B9340D" w:rsidRPr="00543353">
        <w:rPr>
          <w:rFonts w:ascii="Arial" w:hAnsi="Arial" w:cs="Arial"/>
        </w:rPr>
        <w:t xml:space="preserve">the </w:t>
      </w:r>
      <w:r w:rsidRPr="00543353">
        <w:rPr>
          <w:rFonts w:ascii="Arial" w:hAnsi="Arial" w:cs="Arial"/>
        </w:rPr>
        <w:t xml:space="preserve">ratio of heterozygous and homozygous regions reflected </w:t>
      </w:r>
      <w:r w:rsidR="00816B36" w:rsidRPr="00543353">
        <w:rPr>
          <w:rFonts w:ascii="Arial" w:hAnsi="Arial" w:cs="Arial"/>
        </w:rPr>
        <w:t xml:space="preserve">the </w:t>
      </w:r>
      <w:r w:rsidRPr="00543353">
        <w:rPr>
          <w:rFonts w:ascii="Arial" w:hAnsi="Arial" w:cs="Arial"/>
        </w:rPr>
        <w:t xml:space="preserve">high genetic diversity in the African population. We then assessed the success rate of </w:t>
      </w:r>
      <w:proofErr w:type="spellStart"/>
      <w:r w:rsidRPr="00543353">
        <w:rPr>
          <w:rFonts w:ascii="Arial" w:hAnsi="Arial" w:cs="Arial"/>
        </w:rPr>
        <w:t>LoMA</w:t>
      </w:r>
      <w:proofErr w:type="spellEnd"/>
      <w:r w:rsidRPr="00543353">
        <w:rPr>
          <w:rFonts w:ascii="Arial" w:hAnsi="Arial" w:cs="Arial"/>
        </w:rPr>
        <w:t xml:space="preserve"> in regions </w:t>
      </w:r>
      <w:bookmarkStart w:id="0" w:name="_GoBack"/>
      <w:bookmarkEnd w:id="0"/>
      <w:r w:rsidRPr="00543353">
        <w:rPr>
          <w:rFonts w:ascii="Arial" w:hAnsi="Arial" w:cs="Arial"/>
        </w:rPr>
        <w:t xml:space="preserve">in which clipped sequences accumulated, </w:t>
      </w:r>
      <w:r w:rsidR="00816B36" w:rsidRPr="00543353">
        <w:rPr>
          <w:rFonts w:ascii="Arial" w:hAnsi="Arial" w:cs="Arial"/>
        </w:rPr>
        <w:t>because</w:t>
      </w:r>
      <w:r w:rsidRPr="00543353">
        <w:rPr>
          <w:rFonts w:ascii="Arial" w:hAnsi="Arial" w:cs="Arial"/>
        </w:rPr>
        <w:t xml:space="preserve"> sequence information is not accessible in regions full of clipped reads and</w:t>
      </w:r>
      <w:r w:rsidR="00136431" w:rsidRPr="00543353">
        <w:rPr>
          <w:rFonts w:ascii="Arial" w:hAnsi="Arial" w:cs="Arial"/>
        </w:rPr>
        <w:t xml:space="preserve"> thus</w:t>
      </w:r>
      <w:r w:rsidRPr="00543353">
        <w:rPr>
          <w:rFonts w:ascii="Arial" w:hAnsi="Arial" w:cs="Arial"/>
        </w:rPr>
        <w:t xml:space="preserve"> </w:t>
      </w:r>
      <w:r w:rsidR="00816B36" w:rsidRPr="00543353">
        <w:rPr>
          <w:rFonts w:ascii="Arial" w:hAnsi="Arial" w:cs="Arial"/>
        </w:rPr>
        <w:t>clipped sequences</w:t>
      </w:r>
      <w:r w:rsidRPr="00543353">
        <w:rPr>
          <w:rFonts w:ascii="Arial" w:hAnsi="Arial" w:cs="Arial"/>
        </w:rPr>
        <w:t xml:space="preserve"> are ignored </w:t>
      </w:r>
      <w:r w:rsidR="00B9340D" w:rsidRPr="00543353">
        <w:rPr>
          <w:rFonts w:ascii="Arial" w:hAnsi="Arial" w:cs="Arial"/>
        </w:rPr>
        <w:t xml:space="preserve">in </w:t>
      </w:r>
      <w:r w:rsidRPr="00543353">
        <w:rPr>
          <w:rFonts w:ascii="Arial" w:hAnsi="Arial" w:cs="Arial"/>
        </w:rPr>
        <w:t>typical analyses. In NA18943</w:t>
      </w:r>
      <w:r w:rsidR="00816B36" w:rsidRPr="00543353">
        <w:rPr>
          <w:rFonts w:ascii="Arial" w:hAnsi="Arial" w:cs="Arial"/>
        </w:rPr>
        <w:t xml:space="preserve"> and NA19240</w:t>
      </w:r>
      <w:r w:rsidRPr="00543353">
        <w:rPr>
          <w:rFonts w:ascii="Arial" w:hAnsi="Arial" w:cs="Arial"/>
        </w:rPr>
        <w:t xml:space="preserve">, 82.5% </w:t>
      </w:r>
      <w:r w:rsidR="00816B36" w:rsidRPr="00543353">
        <w:rPr>
          <w:rFonts w:ascii="Arial" w:hAnsi="Arial" w:cs="Arial"/>
        </w:rPr>
        <w:t xml:space="preserve">and 71.8%, respectively, </w:t>
      </w:r>
      <w:r w:rsidRPr="00543353">
        <w:rPr>
          <w:rFonts w:ascii="Arial" w:hAnsi="Arial" w:cs="Arial"/>
        </w:rPr>
        <w:t>of the clipped-sequence-accumulating regions were correctly assembled excluding centromeres.</w:t>
      </w:r>
    </w:p>
    <w:p w14:paraId="3AE9785B" w14:textId="5F4AF708" w:rsidR="00F413D4" w:rsidRPr="00543353" w:rsidRDefault="00F413D4" w:rsidP="009B4134">
      <w:pPr>
        <w:widowControl/>
        <w:jc w:val="center"/>
        <w:rPr>
          <w:rFonts w:ascii="Times New Roman" w:hAnsi="Times New Roman" w:cs="Times New Roman"/>
        </w:rPr>
      </w:pPr>
    </w:p>
    <w:p w14:paraId="4211911B" w14:textId="75B56CA5" w:rsidR="00BA2E66" w:rsidRPr="00543353" w:rsidRDefault="00BA2E66" w:rsidP="009B4134">
      <w:pPr>
        <w:widowControl/>
        <w:jc w:val="center"/>
        <w:rPr>
          <w:rFonts w:ascii="Times New Roman" w:hAnsi="Times New Roman" w:cs="Times New Roman"/>
        </w:rPr>
      </w:pPr>
      <w:r w:rsidRPr="00543353">
        <w:rPr>
          <w:rFonts w:ascii="Times New Roman" w:hAnsi="Times New Roman" w:cs="Times New Roman" w:hint="eastAsia"/>
          <w:noProof/>
          <w:lang w:eastAsia="en-US"/>
        </w:rPr>
        <w:lastRenderedPageBreak/>
        <w:drawing>
          <wp:inline distT="0" distB="0" distL="0" distR="0" wp14:anchorId="7C3248B6" wp14:editId="1882371D">
            <wp:extent cx="5133677" cy="7203688"/>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5">
                      <a:extLst>
                        <a:ext uri="{28A0092B-C50C-407E-A947-70E740481C1C}">
                          <a14:useLocalDpi xmlns:a14="http://schemas.microsoft.com/office/drawing/2010/main" val="0"/>
                        </a:ext>
                      </a:extLst>
                    </a:blip>
                    <a:stretch>
                      <a:fillRect/>
                    </a:stretch>
                  </pic:blipFill>
                  <pic:spPr>
                    <a:xfrm>
                      <a:off x="0" y="0"/>
                      <a:ext cx="5160963" cy="7241976"/>
                    </a:xfrm>
                    <a:prstGeom prst="rect">
                      <a:avLst/>
                    </a:prstGeom>
                  </pic:spPr>
                </pic:pic>
              </a:graphicData>
            </a:graphic>
          </wp:inline>
        </w:drawing>
      </w:r>
    </w:p>
    <w:p w14:paraId="4C15EB81" w14:textId="77777777" w:rsidR="00BA2E66" w:rsidRPr="00543353" w:rsidRDefault="00BA2E66" w:rsidP="009B4134">
      <w:pPr>
        <w:widowControl/>
        <w:jc w:val="center"/>
        <w:rPr>
          <w:rFonts w:ascii="Times New Roman" w:hAnsi="Times New Roman" w:cs="Times New Roman"/>
        </w:rPr>
      </w:pPr>
    </w:p>
    <w:p w14:paraId="4327122B" w14:textId="13A5CA14" w:rsidR="007D55E4" w:rsidRPr="00543353" w:rsidRDefault="00F413D4" w:rsidP="00BA2E66">
      <w:pPr>
        <w:widowControl/>
        <w:jc w:val="left"/>
        <w:rPr>
          <w:rFonts w:ascii="Arial" w:hAnsi="Arial" w:cs="Arial"/>
          <w:sz w:val="24"/>
          <w:szCs w:val="32"/>
        </w:rPr>
      </w:pPr>
      <w:r w:rsidRPr="00543353">
        <w:rPr>
          <w:rFonts w:ascii="Arial" w:hAnsi="Arial" w:cs="Arial"/>
          <w:b/>
          <w:bCs/>
          <w:sz w:val="24"/>
          <w:szCs w:val="32"/>
        </w:rPr>
        <w:t>Fig. S1</w:t>
      </w:r>
      <w:r w:rsidRPr="00543353">
        <w:rPr>
          <w:rFonts w:ascii="Arial" w:hAnsi="Arial" w:cs="Arial"/>
          <w:sz w:val="24"/>
          <w:szCs w:val="32"/>
        </w:rPr>
        <w:t xml:space="preserve">: Quality control in data preprocessing. </w:t>
      </w:r>
      <w:r w:rsidR="005673DE" w:rsidRPr="00543353">
        <w:rPr>
          <w:rFonts w:ascii="Arial" w:hAnsi="Arial" w:cs="Arial"/>
          <w:sz w:val="24"/>
          <w:szCs w:val="32"/>
        </w:rPr>
        <w:t>R</w:t>
      </w:r>
      <w:r w:rsidR="009B4134" w:rsidRPr="00543353">
        <w:rPr>
          <w:rFonts w:ascii="Arial" w:hAnsi="Arial" w:cs="Arial"/>
          <w:sz w:val="24"/>
          <w:szCs w:val="32"/>
        </w:rPr>
        <w:t xml:space="preserve">ead pairs with a </w:t>
      </w:r>
      <w:r w:rsidR="000F299C" w:rsidRPr="00543353">
        <w:rPr>
          <w:rFonts w:ascii="Arial" w:hAnsi="Arial" w:cs="Arial"/>
          <w:sz w:val="24"/>
          <w:szCs w:val="32"/>
        </w:rPr>
        <w:t>d</w:t>
      </w:r>
      <w:r w:rsidRPr="00543353">
        <w:rPr>
          <w:rFonts w:ascii="Arial" w:hAnsi="Arial" w:cs="Arial"/>
          <w:sz w:val="24"/>
          <w:szCs w:val="32"/>
        </w:rPr>
        <w:t>angling read</w:t>
      </w:r>
      <w:r w:rsidR="00AF3925" w:rsidRPr="00543353">
        <w:rPr>
          <w:rFonts w:ascii="Arial" w:hAnsi="Arial" w:cs="Arial"/>
          <w:sz w:val="24"/>
          <w:szCs w:val="32"/>
        </w:rPr>
        <w:t xml:space="preserve"> and th</w:t>
      </w:r>
      <w:r w:rsidR="006F4D1F" w:rsidRPr="00543353">
        <w:rPr>
          <w:rFonts w:ascii="Arial" w:hAnsi="Arial" w:cs="Arial"/>
          <w:sz w:val="24"/>
          <w:szCs w:val="32"/>
        </w:rPr>
        <w:t>ose</w:t>
      </w:r>
      <w:r w:rsidRPr="00543353">
        <w:rPr>
          <w:rFonts w:ascii="Arial" w:hAnsi="Arial" w:cs="Arial"/>
          <w:sz w:val="24"/>
          <w:szCs w:val="32"/>
        </w:rPr>
        <w:t xml:space="preserve"> with short alignment lengths</w:t>
      </w:r>
      <w:r w:rsidR="005673DE" w:rsidRPr="00543353">
        <w:rPr>
          <w:rFonts w:ascii="Arial" w:hAnsi="Arial" w:cs="Arial"/>
          <w:sz w:val="24"/>
          <w:szCs w:val="32"/>
        </w:rPr>
        <w:t xml:space="preserve"> are exclu</w:t>
      </w:r>
      <w:r w:rsidR="00564ED8" w:rsidRPr="00543353">
        <w:rPr>
          <w:rFonts w:ascii="Arial" w:hAnsi="Arial" w:cs="Arial"/>
          <w:sz w:val="24"/>
          <w:szCs w:val="32"/>
        </w:rPr>
        <w:t>d</w:t>
      </w:r>
      <w:r w:rsidR="005673DE" w:rsidRPr="00543353">
        <w:rPr>
          <w:rFonts w:ascii="Arial" w:hAnsi="Arial" w:cs="Arial"/>
          <w:sz w:val="24"/>
          <w:szCs w:val="32"/>
        </w:rPr>
        <w:t>ed</w:t>
      </w:r>
      <w:r w:rsidRPr="00543353">
        <w:rPr>
          <w:rFonts w:ascii="Arial" w:hAnsi="Arial" w:cs="Arial"/>
          <w:sz w:val="24"/>
          <w:szCs w:val="32"/>
        </w:rPr>
        <w:t xml:space="preserve">. </w:t>
      </w:r>
      <w:r w:rsidR="004132A4" w:rsidRPr="00543353">
        <w:rPr>
          <w:rFonts w:ascii="Arial" w:hAnsi="Arial" w:cs="Arial"/>
          <w:sz w:val="24"/>
          <w:szCs w:val="32"/>
        </w:rPr>
        <w:t>Read pairs</w:t>
      </w:r>
      <w:r w:rsidRPr="00543353">
        <w:rPr>
          <w:rFonts w:ascii="Arial" w:hAnsi="Arial" w:cs="Arial"/>
          <w:sz w:val="24"/>
          <w:szCs w:val="32"/>
        </w:rPr>
        <w:t xml:space="preserve"> that pass </w:t>
      </w:r>
      <w:r w:rsidR="009B4134" w:rsidRPr="00543353">
        <w:rPr>
          <w:rFonts w:ascii="Arial" w:hAnsi="Arial" w:cs="Arial"/>
          <w:sz w:val="24"/>
          <w:szCs w:val="32"/>
        </w:rPr>
        <w:t>these</w:t>
      </w:r>
      <w:r w:rsidRPr="00543353">
        <w:rPr>
          <w:rFonts w:ascii="Arial" w:hAnsi="Arial" w:cs="Arial"/>
          <w:sz w:val="24"/>
          <w:szCs w:val="32"/>
        </w:rPr>
        <w:t xml:space="preserve"> filters </w:t>
      </w:r>
      <w:r w:rsidR="00475BA4" w:rsidRPr="00543353">
        <w:rPr>
          <w:rFonts w:ascii="Arial" w:hAnsi="Arial" w:cs="Arial"/>
          <w:sz w:val="24"/>
          <w:szCs w:val="32"/>
        </w:rPr>
        <w:t>are</w:t>
      </w:r>
      <w:r w:rsidR="0038341C" w:rsidRPr="00543353">
        <w:rPr>
          <w:rFonts w:ascii="Arial" w:hAnsi="Arial" w:cs="Arial"/>
          <w:sz w:val="24"/>
          <w:szCs w:val="32"/>
        </w:rPr>
        <w:t xml:space="preserve"> </w:t>
      </w:r>
      <w:r w:rsidRPr="00543353">
        <w:rPr>
          <w:rFonts w:ascii="Arial" w:hAnsi="Arial" w:cs="Arial"/>
          <w:sz w:val="24"/>
          <w:szCs w:val="32"/>
        </w:rPr>
        <w:t xml:space="preserve">used </w:t>
      </w:r>
      <w:r w:rsidR="00A23ACD" w:rsidRPr="00543353">
        <w:rPr>
          <w:rFonts w:ascii="Arial" w:hAnsi="Arial" w:cs="Arial"/>
          <w:sz w:val="24"/>
          <w:szCs w:val="32"/>
        </w:rPr>
        <w:t>to construct</w:t>
      </w:r>
      <w:r w:rsidR="006F4D1F" w:rsidRPr="00543353">
        <w:rPr>
          <w:rFonts w:ascii="Arial" w:hAnsi="Arial" w:cs="Arial"/>
          <w:sz w:val="24"/>
          <w:szCs w:val="32"/>
        </w:rPr>
        <w:t xml:space="preserve"> a</w:t>
      </w:r>
      <w:r w:rsidRPr="00543353">
        <w:rPr>
          <w:rFonts w:ascii="Arial" w:hAnsi="Arial" w:cs="Arial"/>
          <w:sz w:val="24"/>
          <w:szCs w:val="32"/>
        </w:rPr>
        <w:t xml:space="preserve"> </w:t>
      </w:r>
      <w:r w:rsidR="00705746" w:rsidRPr="00543353">
        <w:rPr>
          <w:rFonts w:ascii="Arial" w:hAnsi="Arial" w:cs="Arial"/>
          <w:sz w:val="24"/>
          <w:szCs w:val="32"/>
        </w:rPr>
        <w:t>read layout</w:t>
      </w:r>
      <w:r w:rsidRPr="00543353">
        <w:rPr>
          <w:rFonts w:ascii="Arial" w:hAnsi="Arial" w:cs="Arial"/>
          <w:sz w:val="24"/>
          <w:szCs w:val="32"/>
        </w:rPr>
        <w:t>.</w:t>
      </w:r>
    </w:p>
    <w:p w14:paraId="4CF0D04A" w14:textId="4D7FAF7C" w:rsidR="007D55E4" w:rsidRPr="00543353" w:rsidRDefault="00FC665C" w:rsidP="00FC665C">
      <w:pPr>
        <w:widowControl/>
        <w:jc w:val="center"/>
        <w:rPr>
          <w:rFonts w:ascii="Times New Roman" w:hAnsi="Times New Roman" w:cs="Times New Roman"/>
        </w:rPr>
      </w:pPr>
      <w:r w:rsidRPr="00543353">
        <w:rPr>
          <w:rFonts w:ascii="Times New Roman" w:hAnsi="Times New Roman" w:cs="Times New Roman"/>
          <w:noProof/>
          <w:lang w:eastAsia="en-US"/>
        </w:rPr>
        <w:lastRenderedPageBreak/>
        <w:drawing>
          <wp:inline distT="0" distB="0" distL="0" distR="0" wp14:anchorId="1DE92B1D" wp14:editId="1527C5D7">
            <wp:extent cx="2848777" cy="36576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6">
                      <a:extLst>
                        <a:ext uri="{28A0092B-C50C-407E-A947-70E740481C1C}">
                          <a14:useLocalDpi xmlns:a14="http://schemas.microsoft.com/office/drawing/2010/main" val="0"/>
                        </a:ext>
                      </a:extLst>
                    </a:blip>
                    <a:stretch>
                      <a:fillRect/>
                    </a:stretch>
                  </pic:blipFill>
                  <pic:spPr>
                    <a:xfrm>
                      <a:off x="0" y="0"/>
                      <a:ext cx="2858456" cy="3670027"/>
                    </a:xfrm>
                    <a:prstGeom prst="rect">
                      <a:avLst/>
                    </a:prstGeom>
                  </pic:spPr>
                </pic:pic>
              </a:graphicData>
            </a:graphic>
          </wp:inline>
        </w:drawing>
      </w:r>
    </w:p>
    <w:p w14:paraId="367C1538" w14:textId="5146D1C5" w:rsidR="00FC665C" w:rsidRPr="00543353" w:rsidRDefault="00FC665C" w:rsidP="00FC665C">
      <w:pPr>
        <w:widowControl/>
        <w:jc w:val="center"/>
        <w:rPr>
          <w:rFonts w:ascii="Times New Roman" w:hAnsi="Times New Roman" w:cs="Times New Roman"/>
        </w:rPr>
      </w:pPr>
    </w:p>
    <w:p w14:paraId="32C67522" w14:textId="5A461CD5" w:rsidR="00FC665C" w:rsidRPr="00543353" w:rsidRDefault="00FC665C" w:rsidP="00FC665C">
      <w:pPr>
        <w:rPr>
          <w:rFonts w:asciiTheme="minorBidi" w:hAnsiTheme="minorBidi"/>
          <w:sz w:val="32"/>
          <w:szCs w:val="32"/>
        </w:rPr>
      </w:pPr>
      <w:r w:rsidRPr="00543353">
        <w:rPr>
          <w:rFonts w:ascii="Arial" w:hAnsi="Arial" w:cs="Arial"/>
          <w:b/>
          <w:bCs/>
          <w:sz w:val="24"/>
        </w:rPr>
        <w:t>Fig. S</w:t>
      </w:r>
      <w:r w:rsidR="00BA2E66" w:rsidRPr="00543353">
        <w:rPr>
          <w:rFonts w:ascii="Arial" w:hAnsi="Arial" w:cs="Arial"/>
          <w:b/>
          <w:bCs/>
          <w:sz w:val="24"/>
        </w:rPr>
        <w:t>2</w:t>
      </w:r>
      <w:r w:rsidRPr="00543353">
        <w:rPr>
          <w:rFonts w:ascii="Arial" w:hAnsi="Arial" w:cs="Arial"/>
          <w:b/>
          <w:bCs/>
          <w:sz w:val="24"/>
        </w:rPr>
        <w:t>:</w:t>
      </w:r>
      <w:r w:rsidRPr="00543353">
        <w:rPr>
          <w:rFonts w:ascii="Arial" w:hAnsi="Arial" w:cs="Arial"/>
          <w:sz w:val="24"/>
        </w:rPr>
        <w:t xml:space="preserve"> Examples of PCR validation. Six </w:t>
      </w:r>
      <w:r w:rsidR="00B9340D" w:rsidRPr="00543353">
        <w:rPr>
          <w:rFonts w:ascii="Arial" w:hAnsi="Arial" w:cs="Arial"/>
          <w:sz w:val="24"/>
        </w:rPr>
        <w:t xml:space="preserve">of </w:t>
      </w:r>
      <w:r w:rsidRPr="00543353">
        <w:rPr>
          <w:rFonts w:ascii="Arial" w:hAnsi="Arial" w:cs="Arial"/>
          <w:sz w:val="24"/>
        </w:rPr>
        <w:t xml:space="preserve">eight heterozygous variants validated by PCR amplification are shown in the picture of </w:t>
      </w:r>
      <w:r w:rsidR="00B9340D" w:rsidRPr="00543353">
        <w:rPr>
          <w:rFonts w:ascii="Arial" w:hAnsi="Arial" w:cs="Arial"/>
          <w:sz w:val="24"/>
        </w:rPr>
        <w:t xml:space="preserve">an </w:t>
      </w:r>
      <w:proofErr w:type="spellStart"/>
      <w:r w:rsidRPr="00543353">
        <w:rPr>
          <w:rFonts w:ascii="Arial" w:hAnsi="Arial" w:cs="Arial"/>
          <w:sz w:val="24"/>
        </w:rPr>
        <w:t>electropherogram</w:t>
      </w:r>
      <w:proofErr w:type="spellEnd"/>
      <w:r w:rsidRPr="00543353">
        <w:rPr>
          <w:rFonts w:asciiTheme="minorBidi" w:hAnsiTheme="minorBidi"/>
          <w:sz w:val="24"/>
          <w:szCs w:val="32"/>
        </w:rPr>
        <w:t>. The numbers are the variant IDs in Table S4. White arrows indicate the amplified products in expected sizes. The asterisks are non-specific bands.</w:t>
      </w:r>
    </w:p>
    <w:p w14:paraId="24EA56E6" w14:textId="77777777" w:rsidR="00FC665C" w:rsidRPr="00543353" w:rsidRDefault="00FC665C" w:rsidP="00FC665C">
      <w:pPr>
        <w:widowControl/>
        <w:jc w:val="center"/>
        <w:rPr>
          <w:rFonts w:ascii="Times New Roman" w:hAnsi="Times New Roman" w:cs="Times New Roman"/>
        </w:rPr>
      </w:pPr>
    </w:p>
    <w:p w14:paraId="2934944B" w14:textId="77777777" w:rsidR="00FC665C" w:rsidRPr="00543353" w:rsidRDefault="00FC665C" w:rsidP="007D55E4">
      <w:pPr>
        <w:widowControl/>
        <w:rPr>
          <w:rFonts w:ascii="Times New Roman" w:hAnsi="Times New Roman" w:cs="Times New Roman"/>
        </w:rPr>
      </w:pPr>
    </w:p>
    <w:p w14:paraId="4702E677" w14:textId="03E6224E" w:rsidR="00AF3E9B" w:rsidRPr="00543353" w:rsidRDefault="00AF3E9B" w:rsidP="00715950">
      <w:pPr>
        <w:widowControl/>
        <w:jc w:val="center"/>
        <w:rPr>
          <w:rFonts w:ascii="Times New Roman" w:hAnsi="Times New Roman" w:cs="Times New Roman"/>
        </w:rPr>
      </w:pPr>
      <w:r w:rsidRPr="00543353">
        <w:rPr>
          <w:rFonts w:ascii="Times New Roman" w:hAnsi="Times New Roman" w:cs="Times New Roman"/>
          <w:noProof/>
          <w:lang w:eastAsia="en-US"/>
        </w:rPr>
        <w:lastRenderedPageBreak/>
        <w:drawing>
          <wp:inline distT="0" distB="0" distL="0" distR="0" wp14:anchorId="4126CB70" wp14:editId="54308148">
            <wp:extent cx="5400040" cy="3161030"/>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7">
                      <a:extLst>
                        <a:ext uri="{28A0092B-C50C-407E-A947-70E740481C1C}">
                          <a14:useLocalDpi xmlns:a14="http://schemas.microsoft.com/office/drawing/2010/main" val="0"/>
                        </a:ext>
                      </a:extLst>
                    </a:blip>
                    <a:stretch>
                      <a:fillRect/>
                    </a:stretch>
                  </pic:blipFill>
                  <pic:spPr>
                    <a:xfrm>
                      <a:off x="0" y="0"/>
                      <a:ext cx="5400040" cy="3161030"/>
                    </a:xfrm>
                    <a:prstGeom prst="rect">
                      <a:avLst/>
                    </a:prstGeom>
                  </pic:spPr>
                </pic:pic>
              </a:graphicData>
            </a:graphic>
          </wp:inline>
        </w:drawing>
      </w:r>
    </w:p>
    <w:p w14:paraId="2EBECA7A" w14:textId="3F8147C9" w:rsidR="00431A22" w:rsidRPr="00543353" w:rsidRDefault="00431A22" w:rsidP="00715950">
      <w:pPr>
        <w:widowControl/>
        <w:jc w:val="center"/>
        <w:rPr>
          <w:rFonts w:ascii="Times New Roman" w:hAnsi="Times New Roman" w:cs="Times New Roman"/>
        </w:rPr>
      </w:pPr>
    </w:p>
    <w:p w14:paraId="5DABC2F5" w14:textId="29A1C83F" w:rsidR="00431A22" w:rsidRPr="00543353" w:rsidRDefault="00431A22" w:rsidP="009B4134">
      <w:pPr>
        <w:widowControl/>
        <w:jc w:val="left"/>
        <w:rPr>
          <w:rFonts w:ascii="Arial" w:hAnsi="Arial" w:cs="Arial"/>
          <w:sz w:val="24"/>
          <w:szCs w:val="32"/>
        </w:rPr>
      </w:pPr>
      <w:r w:rsidRPr="00543353">
        <w:rPr>
          <w:rFonts w:ascii="Arial" w:hAnsi="Arial" w:cs="Arial"/>
          <w:b/>
          <w:bCs/>
          <w:sz w:val="24"/>
          <w:szCs w:val="32"/>
        </w:rPr>
        <w:t>Fig. S</w:t>
      </w:r>
      <w:r w:rsidR="00BA2E66" w:rsidRPr="00543353">
        <w:rPr>
          <w:rFonts w:ascii="Arial" w:hAnsi="Arial" w:cs="Arial"/>
          <w:b/>
          <w:bCs/>
          <w:sz w:val="24"/>
          <w:szCs w:val="32"/>
        </w:rPr>
        <w:t>3</w:t>
      </w:r>
      <w:r w:rsidRPr="00543353">
        <w:rPr>
          <w:rFonts w:ascii="Arial" w:hAnsi="Arial" w:cs="Arial"/>
          <w:sz w:val="24"/>
          <w:szCs w:val="32"/>
        </w:rPr>
        <w:t xml:space="preserve">: </w:t>
      </w:r>
      <w:r w:rsidR="00CD0056" w:rsidRPr="00543353">
        <w:rPr>
          <w:rFonts w:ascii="Arial" w:hAnsi="Arial" w:cs="Arial"/>
          <w:sz w:val="24"/>
          <w:szCs w:val="32"/>
        </w:rPr>
        <w:t>The er</w:t>
      </w:r>
      <w:r w:rsidR="00B20858" w:rsidRPr="00543353">
        <w:rPr>
          <w:rFonts w:ascii="Arial" w:hAnsi="Arial" w:cs="Arial"/>
          <w:sz w:val="24"/>
          <w:szCs w:val="32"/>
        </w:rPr>
        <w:t>ror rate of assembled sequences</w:t>
      </w:r>
      <w:r w:rsidR="00CD0056" w:rsidRPr="00543353">
        <w:rPr>
          <w:rFonts w:ascii="Arial" w:hAnsi="Arial" w:cs="Arial"/>
          <w:sz w:val="24"/>
          <w:szCs w:val="32"/>
        </w:rPr>
        <w:t xml:space="preserve"> </w:t>
      </w:r>
      <w:r w:rsidR="002F4540" w:rsidRPr="00543353">
        <w:rPr>
          <w:rFonts w:ascii="Arial" w:hAnsi="Arial" w:cs="Arial"/>
          <w:sz w:val="24"/>
          <w:szCs w:val="32"/>
        </w:rPr>
        <w:t>in the</w:t>
      </w:r>
      <w:r w:rsidR="00B9340D" w:rsidRPr="00543353">
        <w:rPr>
          <w:rFonts w:ascii="Arial" w:hAnsi="Arial" w:cs="Arial"/>
          <w:sz w:val="24"/>
          <w:szCs w:val="32"/>
        </w:rPr>
        <w:t xml:space="preserve"> </w:t>
      </w:r>
      <w:r w:rsidR="00CD0056" w:rsidRPr="00543353">
        <w:rPr>
          <w:rFonts w:ascii="Arial" w:hAnsi="Arial" w:cs="Arial"/>
          <w:sz w:val="24"/>
          <w:szCs w:val="32"/>
        </w:rPr>
        <w:t>simulated data</w:t>
      </w:r>
      <w:r w:rsidR="005D55EC" w:rsidRPr="00543353">
        <w:rPr>
          <w:rFonts w:ascii="Arial" w:hAnsi="Arial" w:cs="Arial"/>
          <w:sz w:val="24"/>
          <w:szCs w:val="32"/>
        </w:rPr>
        <w:t xml:space="preserve"> (n = 100 for each coverage)</w:t>
      </w:r>
      <w:r w:rsidR="001C4BAD" w:rsidRPr="00543353">
        <w:rPr>
          <w:rFonts w:ascii="Arial" w:hAnsi="Arial" w:cs="Arial"/>
          <w:sz w:val="24"/>
          <w:szCs w:val="32"/>
        </w:rPr>
        <w:t xml:space="preserve">. </w:t>
      </w:r>
      <w:r w:rsidR="002B41E9" w:rsidRPr="00543353">
        <w:rPr>
          <w:rFonts w:ascii="Arial" w:hAnsi="Arial" w:cs="Arial"/>
          <w:sz w:val="24"/>
          <w:szCs w:val="32"/>
        </w:rPr>
        <w:t>T</w:t>
      </w:r>
      <w:r w:rsidR="001C4BAD" w:rsidRPr="00543353">
        <w:rPr>
          <w:rFonts w:ascii="Arial" w:hAnsi="Arial" w:cs="Arial"/>
          <w:sz w:val="24"/>
          <w:szCs w:val="32"/>
        </w:rPr>
        <w:t xml:space="preserve">he mean coverage </w:t>
      </w:r>
      <w:r w:rsidR="006479DA" w:rsidRPr="00543353">
        <w:rPr>
          <w:rFonts w:ascii="Arial" w:hAnsi="Arial" w:cs="Arial"/>
          <w:sz w:val="24"/>
          <w:szCs w:val="32"/>
        </w:rPr>
        <w:t>and</w:t>
      </w:r>
      <w:r w:rsidR="001C4BAD" w:rsidRPr="00543353">
        <w:rPr>
          <w:rFonts w:ascii="Arial" w:hAnsi="Arial" w:cs="Arial"/>
          <w:sz w:val="24"/>
          <w:szCs w:val="32"/>
        </w:rPr>
        <w:t xml:space="preserve"> error rate </w:t>
      </w:r>
      <w:r w:rsidR="006479DA" w:rsidRPr="00543353">
        <w:rPr>
          <w:rFonts w:ascii="Arial" w:hAnsi="Arial" w:cs="Arial"/>
          <w:sz w:val="24"/>
          <w:szCs w:val="32"/>
        </w:rPr>
        <w:t>were correlated</w:t>
      </w:r>
      <w:r w:rsidR="0094705F" w:rsidRPr="00543353">
        <w:rPr>
          <w:rFonts w:ascii="Arial" w:hAnsi="Arial" w:cs="Arial"/>
          <w:sz w:val="24"/>
          <w:szCs w:val="32"/>
        </w:rPr>
        <w:t xml:space="preserve">. The average error rates were 2.6% (10x), 0.29% (20x), 0.076% (30x), 0.041% (40x), </w:t>
      </w:r>
      <w:r w:rsidR="0086504B" w:rsidRPr="00543353">
        <w:rPr>
          <w:rFonts w:ascii="Arial" w:hAnsi="Arial" w:cs="Arial"/>
          <w:sz w:val="24"/>
          <w:szCs w:val="32"/>
        </w:rPr>
        <w:t xml:space="preserve">and </w:t>
      </w:r>
      <w:r w:rsidR="0094705F" w:rsidRPr="00543353">
        <w:rPr>
          <w:rFonts w:ascii="Arial" w:hAnsi="Arial" w:cs="Arial"/>
          <w:sz w:val="24"/>
          <w:szCs w:val="32"/>
        </w:rPr>
        <w:t>0.034%</w:t>
      </w:r>
      <w:r w:rsidR="0086504B" w:rsidRPr="00543353">
        <w:rPr>
          <w:rFonts w:ascii="Arial" w:hAnsi="Arial" w:cs="Arial"/>
          <w:sz w:val="24"/>
          <w:szCs w:val="32"/>
        </w:rPr>
        <w:t xml:space="preserve"> (50x) for each coverage.</w:t>
      </w:r>
    </w:p>
    <w:p w14:paraId="1180145F" w14:textId="0BE2B125" w:rsidR="00AF3E9B" w:rsidRPr="00543353" w:rsidRDefault="00AF3E9B">
      <w:pPr>
        <w:widowControl/>
        <w:jc w:val="left"/>
        <w:rPr>
          <w:rFonts w:ascii="Times New Roman" w:hAnsi="Times New Roman" w:cs="Times New Roman"/>
        </w:rPr>
      </w:pPr>
      <w:r w:rsidRPr="00543353">
        <w:rPr>
          <w:rFonts w:ascii="Times New Roman" w:hAnsi="Times New Roman" w:cs="Times New Roman"/>
        </w:rPr>
        <w:br w:type="page"/>
      </w:r>
    </w:p>
    <w:p w14:paraId="12B28C72" w14:textId="6BA56400" w:rsidR="00AF3E9B" w:rsidRPr="00543353" w:rsidRDefault="00AF3E9B" w:rsidP="00715950">
      <w:pPr>
        <w:widowControl/>
        <w:jc w:val="center"/>
        <w:rPr>
          <w:rFonts w:ascii="Times New Roman" w:hAnsi="Times New Roman" w:cs="Times New Roman"/>
        </w:rPr>
      </w:pPr>
      <w:r w:rsidRPr="00543353">
        <w:rPr>
          <w:rFonts w:ascii="Times New Roman" w:hAnsi="Times New Roman" w:cs="Times New Roman" w:hint="eastAsia"/>
          <w:noProof/>
          <w:lang w:eastAsia="en-US"/>
        </w:rPr>
        <w:lastRenderedPageBreak/>
        <w:drawing>
          <wp:inline distT="0" distB="0" distL="0" distR="0" wp14:anchorId="11FC07E1" wp14:editId="69FDDBEC">
            <wp:extent cx="5400040" cy="319087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3190875"/>
                    </a:xfrm>
                    <a:prstGeom prst="rect">
                      <a:avLst/>
                    </a:prstGeom>
                  </pic:spPr>
                </pic:pic>
              </a:graphicData>
            </a:graphic>
          </wp:inline>
        </w:drawing>
      </w:r>
    </w:p>
    <w:p w14:paraId="42FA4B36" w14:textId="5FF6FA47" w:rsidR="0086504B" w:rsidRPr="00543353" w:rsidRDefault="0086504B" w:rsidP="00715950">
      <w:pPr>
        <w:widowControl/>
        <w:jc w:val="center"/>
        <w:rPr>
          <w:rFonts w:ascii="Arial" w:hAnsi="Arial" w:cs="Arial"/>
        </w:rPr>
      </w:pPr>
    </w:p>
    <w:p w14:paraId="20EC588D" w14:textId="216A3782" w:rsidR="0086504B" w:rsidRPr="00543353" w:rsidRDefault="0086504B" w:rsidP="009B4134">
      <w:pPr>
        <w:widowControl/>
        <w:jc w:val="left"/>
        <w:rPr>
          <w:rFonts w:ascii="Arial" w:hAnsi="Arial" w:cs="Arial"/>
          <w:sz w:val="24"/>
          <w:szCs w:val="32"/>
        </w:rPr>
      </w:pPr>
      <w:r w:rsidRPr="00543353">
        <w:rPr>
          <w:rFonts w:ascii="Arial" w:hAnsi="Arial" w:cs="Arial"/>
          <w:b/>
          <w:bCs/>
          <w:sz w:val="24"/>
          <w:szCs w:val="32"/>
        </w:rPr>
        <w:t>Fig. S</w:t>
      </w:r>
      <w:r w:rsidR="00BA2E66" w:rsidRPr="00543353">
        <w:rPr>
          <w:rFonts w:ascii="Arial" w:hAnsi="Arial" w:cs="Arial"/>
          <w:b/>
          <w:bCs/>
          <w:sz w:val="24"/>
          <w:szCs w:val="32"/>
        </w:rPr>
        <w:t>4</w:t>
      </w:r>
      <w:r w:rsidRPr="00543353">
        <w:rPr>
          <w:rFonts w:ascii="Arial" w:hAnsi="Arial" w:cs="Arial"/>
          <w:sz w:val="24"/>
          <w:szCs w:val="32"/>
        </w:rPr>
        <w:t>:</w:t>
      </w:r>
      <w:r w:rsidR="009A120B" w:rsidRPr="00543353">
        <w:rPr>
          <w:rFonts w:ascii="Arial" w:hAnsi="Arial" w:cs="Arial"/>
          <w:sz w:val="24"/>
          <w:szCs w:val="32"/>
        </w:rPr>
        <w:t xml:space="preserve"> </w:t>
      </w:r>
      <w:r w:rsidR="00CD0056" w:rsidRPr="00543353">
        <w:rPr>
          <w:rFonts w:ascii="Arial" w:hAnsi="Arial" w:cs="Arial"/>
          <w:sz w:val="24"/>
          <w:szCs w:val="32"/>
        </w:rPr>
        <w:t xml:space="preserve">The computation performance of </w:t>
      </w:r>
      <w:proofErr w:type="spellStart"/>
      <w:r w:rsidR="00CD0056" w:rsidRPr="00543353">
        <w:rPr>
          <w:rFonts w:ascii="Arial" w:hAnsi="Arial" w:cs="Arial"/>
          <w:sz w:val="24"/>
          <w:szCs w:val="32"/>
        </w:rPr>
        <w:t>LoMA</w:t>
      </w:r>
      <w:proofErr w:type="spellEnd"/>
      <w:r w:rsidR="00CD0056" w:rsidRPr="00543353">
        <w:rPr>
          <w:rFonts w:ascii="Arial" w:hAnsi="Arial" w:cs="Arial"/>
          <w:sz w:val="24"/>
          <w:szCs w:val="32"/>
        </w:rPr>
        <w:t xml:space="preserve">. </w:t>
      </w:r>
      <w:r w:rsidR="00CD0056" w:rsidRPr="00543353">
        <w:rPr>
          <w:rFonts w:ascii="Arial" w:hAnsi="Arial" w:cs="Arial"/>
          <w:b/>
          <w:bCs/>
          <w:sz w:val="24"/>
          <w:szCs w:val="32"/>
        </w:rPr>
        <w:t>A</w:t>
      </w:r>
      <w:r w:rsidR="00CD0056" w:rsidRPr="00543353">
        <w:rPr>
          <w:rFonts w:ascii="Arial" w:hAnsi="Arial" w:cs="Arial"/>
          <w:sz w:val="24"/>
          <w:szCs w:val="32"/>
        </w:rPr>
        <w:t xml:space="preserve"> and </w:t>
      </w:r>
      <w:r w:rsidR="00CD0056" w:rsidRPr="00543353">
        <w:rPr>
          <w:rFonts w:ascii="Arial" w:hAnsi="Arial" w:cs="Arial"/>
          <w:b/>
          <w:bCs/>
          <w:sz w:val="24"/>
          <w:szCs w:val="32"/>
        </w:rPr>
        <w:t>B</w:t>
      </w:r>
      <w:r w:rsidR="00CD0056" w:rsidRPr="00543353">
        <w:rPr>
          <w:rFonts w:ascii="Arial" w:hAnsi="Arial" w:cs="Arial"/>
          <w:sz w:val="24"/>
          <w:szCs w:val="32"/>
        </w:rPr>
        <w:t xml:space="preserve"> show the change in average</w:t>
      </w:r>
      <w:r w:rsidR="00A410A9" w:rsidRPr="00543353">
        <w:rPr>
          <w:rFonts w:ascii="Arial" w:hAnsi="Arial" w:cs="Arial"/>
          <w:sz w:val="24"/>
          <w:szCs w:val="32"/>
        </w:rPr>
        <w:t xml:space="preserve"> computation</w:t>
      </w:r>
      <w:r w:rsidR="00CD0056" w:rsidRPr="00543353">
        <w:rPr>
          <w:rFonts w:ascii="Arial" w:hAnsi="Arial" w:cs="Arial"/>
          <w:sz w:val="24"/>
          <w:szCs w:val="32"/>
        </w:rPr>
        <w:t xml:space="preserve"> time for different </w:t>
      </w:r>
      <w:r w:rsidR="00A410A9" w:rsidRPr="00543353">
        <w:rPr>
          <w:rFonts w:ascii="Arial" w:hAnsi="Arial" w:cs="Arial"/>
          <w:sz w:val="24"/>
          <w:szCs w:val="32"/>
        </w:rPr>
        <w:t xml:space="preserve">mean </w:t>
      </w:r>
      <w:r w:rsidR="00CD0056" w:rsidRPr="00543353">
        <w:rPr>
          <w:rFonts w:ascii="Arial" w:hAnsi="Arial" w:cs="Arial"/>
          <w:sz w:val="24"/>
          <w:szCs w:val="32"/>
        </w:rPr>
        <w:t>coverage</w:t>
      </w:r>
      <w:r w:rsidR="004961FF" w:rsidRPr="00543353">
        <w:rPr>
          <w:rFonts w:ascii="Arial" w:hAnsi="Arial" w:cs="Arial"/>
          <w:sz w:val="24"/>
          <w:szCs w:val="32"/>
        </w:rPr>
        <w:t>s</w:t>
      </w:r>
      <w:r w:rsidR="00CD0056" w:rsidRPr="00543353">
        <w:rPr>
          <w:rFonts w:ascii="Arial" w:hAnsi="Arial" w:cs="Arial"/>
          <w:sz w:val="24"/>
          <w:szCs w:val="32"/>
        </w:rPr>
        <w:t xml:space="preserve"> and target size</w:t>
      </w:r>
      <w:r w:rsidR="00A410A9" w:rsidRPr="00543353">
        <w:rPr>
          <w:rFonts w:ascii="Arial" w:hAnsi="Arial" w:cs="Arial"/>
          <w:sz w:val="24"/>
          <w:szCs w:val="32"/>
        </w:rPr>
        <w:t>s</w:t>
      </w:r>
      <w:r w:rsidR="00CD0056" w:rsidRPr="00543353">
        <w:rPr>
          <w:rFonts w:ascii="Arial" w:hAnsi="Arial" w:cs="Arial"/>
          <w:sz w:val="24"/>
          <w:szCs w:val="32"/>
        </w:rPr>
        <w:t xml:space="preserve">, respectively (n = 100). </w:t>
      </w:r>
      <w:r w:rsidR="00B96B27" w:rsidRPr="00543353">
        <w:rPr>
          <w:rFonts w:ascii="Arial" w:hAnsi="Arial" w:cs="Arial"/>
          <w:b/>
          <w:bCs/>
          <w:sz w:val="24"/>
          <w:szCs w:val="32"/>
        </w:rPr>
        <w:t>C</w:t>
      </w:r>
      <w:r w:rsidR="00B96B27" w:rsidRPr="00543353">
        <w:rPr>
          <w:rFonts w:ascii="Arial" w:hAnsi="Arial" w:cs="Arial"/>
          <w:sz w:val="24"/>
          <w:szCs w:val="32"/>
        </w:rPr>
        <w:t xml:space="preserve"> and</w:t>
      </w:r>
      <w:r w:rsidR="00A410A9" w:rsidRPr="00543353">
        <w:rPr>
          <w:rFonts w:ascii="Arial" w:hAnsi="Arial" w:cs="Arial"/>
          <w:sz w:val="24"/>
          <w:szCs w:val="32"/>
        </w:rPr>
        <w:t xml:space="preserve"> </w:t>
      </w:r>
      <w:r w:rsidR="00A410A9" w:rsidRPr="00543353">
        <w:rPr>
          <w:rFonts w:ascii="Arial" w:hAnsi="Arial" w:cs="Arial"/>
          <w:b/>
          <w:bCs/>
          <w:sz w:val="24"/>
          <w:szCs w:val="32"/>
        </w:rPr>
        <w:t>D</w:t>
      </w:r>
      <w:r w:rsidR="00B96B27" w:rsidRPr="00543353">
        <w:rPr>
          <w:rFonts w:ascii="Arial" w:hAnsi="Arial" w:cs="Arial"/>
          <w:sz w:val="24"/>
          <w:szCs w:val="32"/>
        </w:rPr>
        <w:t xml:space="preserve"> show the change in average peak residen</w:t>
      </w:r>
      <w:r w:rsidR="00A410A9" w:rsidRPr="00543353">
        <w:rPr>
          <w:rFonts w:ascii="Arial" w:hAnsi="Arial" w:cs="Arial"/>
          <w:sz w:val="24"/>
          <w:szCs w:val="32"/>
        </w:rPr>
        <w:t>t set size (</w:t>
      </w:r>
      <w:r w:rsidR="00B96B27" w:rsidRPr="00543353">
        <w:rPr>
          <w:rFonts w:ascii="Arial" w:hAnsi="Arial" w:cs="Arial"/>
          <w:sz w:val="24"/>
          <w:szCs w:val="32"/>
        </w:rPr>
        <w:t>RSS</w:t>
      </w:r>
      <w:r w:rsidR="00A410A9" w:rsidRPr="00543353">
        <w:rPr>
          <w:rFonts w:ascii="Arial" w:hAnsi="Arial" w:cs="Arial"/>
          <w:sz w:val="24"/>
          <w:szCs w:val="32"/>
        </w:rPr>
        <w:t>) for different mean coverage</w:t>
      </w:r>
      <w:r w:rsidR="004961FF" w:rsidRPr="00543353">
        <w:rPr>
          <w:rFonts w:ascii="Arial" w:hAnsi="Arial" w:cs="Arial"/>
          <w:sz w:val="24"/>
          <w:szCs w:val="32"/>
        </w:rPr>
        <w:t>s</w:t>
      </w:r>
      <w:r w:rsidR="00A410A9" w:rsidRPr="00543353">
        <w:rPr>
          <w:rFonts w:ascii="Arial" w:hAnsi="Arial" w:cs="Arial"/>
          <w:sz w:val="24"/>
          <w:szCs w:val="32"/>
        </w:rPr>
        <w:t xml:space="preserve"> and target sizes, respectively (n = 100). The data in </w:t>
      </w:r>
      <w:r w:rsidR="00A410A9" w:rsidRPr="00543353">
        <w:rPr>
          <w:rFonts w:ascii="Arial" w:hAnsi="Arial" w:cs="Arial"/>
          <w:b/>
          <w:bCs/>
          <w:sz w:val="24"/>
          <w:szCs w:val="32"/>
        </w:rPr>
        <w:t>A</w:t>
      </w:r>
      <w:r w:rsidR="00A410A9" w:rsidRPr="00543353">
        <w:rPr>
          <w:rFonts w:ascii="Arial" w:hAnsi="Arial" w:cs="Arial"/>
          <w:sz w:val="24"/>
          <w:szCs w:val="32"/>
        </w:rPr>
        <w:t xml:space="preserve"> and </w:t>
      </w:r>
      <w:r w:rsidR="00A410A9" w:rsidRPr="00543353">
        <w:rPr>
          <w:rFonts w:ascii="Arial" w:hAnsi="Arial" w:cs="Arial"/>
          <w:b/>
          <w:bCs/>
          <w:sz w:val="24"/>
          <w:szCs w:val="32"/>
        </w:rPr>
        <w:t>C</w:t>
      </w:r>
      <w:r w:rsidR="00A410A9" w:rsidRPr="00543353">
        <w:rPr>
          <w:rFonts w:ascii="Arial" w:hAnsi="Arial" w:cs="Arial"/>
          <w:sz w:val="24"/>
          <w:szCs w:val="32"/>
        </w:rPr>
        <w:t xml:space="preserve"> are shown in increments of 10 from 10x to 50x. The data in </w:t>
      </w:r>
      <w:r w:rsidR="00A410A9" w:rsidRPr="00543353">
        <w:rPr>
          <w:rFonts w:ascii="Arial" w:hAnsi="Arial" w:cs="Arial"/>
          <w:b/>
          <w:bCs/>
          <w:sz w:val="24"/>
          <w:szCs w:val="32"/>
        </w:rPr>
        <w:t>B</w:t>
      </w:r>
      <w:r w:rsidR="00A410A9" w:rsidRPr="00543353">
        <w:rPr>
          <w:rFonts w:ascii="Arial" w:hAnsi="Arial" w:cs="Arial"/>
          <w:sz w:val="24"/>
          <w:szCs w:val="32"/>
        </w:rPr>
        <w:t xml:space="preserve"> and </w:t>
      </w:r>
      <w:r w:rsidR="00A410A9" w:rsidRPr="00543353">
        <w:rPr>
          <w:rFonts w:ascii="Arial" w:hAnsi="Arial" w:cs="Arial"/>
          <w:b/>
          <w:bCs/>
          <w:sz w:val="24"/>
          <w:szCs w:val="32"/>
        </w:rPr>
        <w:t>D</w:t>
      </w:r>
      <w:r w:rsidR="00A410A9" w:rsidRPr="00543353">
        <w:rPr>
          <w:rFonts w:ascii="Arial" w:hAnsi="Arial" w:cs="Arial"/>
          <w:sz w:val="24"/>
          <w:szCs w:val="32"/>
        </w:rPr>
        <w:t xml:space="preserve"> are shown in increments of 20 </w:t>
      </w:r>
      <w:proofErr w:type="spellStart"/>
      <w:r w:rsidR="00A410A9" w:rsidRPr="00543353">
        <w:rPr>
          <w:rFonts w:ascii="Arial" w:hAnsi="Arial" w:cs="Arial"/>
          <w:sz w:val="24"/>
          <w:szCs w:val="32"/>
        </w:rPr>
        <w:t>kbp</w:t>
      </w:r>
      <w:proofErr w:type="spellEnd"/>
      <w:r w:rsidR="00A410A9" w:rsidRPr="00543353">
        <w:rPr>
          <w:rFonts w:ascii="Arial" w:hAnsi="Arial" w:cs="Arial"/>
          <w:sz w:val="24"/>
          <w:szCs w:val="32"/>
        </w:rPr>
        <w:t xml:space="preserve"> from 20 </w:t>
      </w:r>
      <w:proofErr w:type="spellStart"/>
      <w:r w:rsidR="00A410A9" w:rsidRPr="00543353">
        <w:rPr>
          <w:rFonts w:ascii="Arial" w:hAnsi="Arial" w:cs="Arial"/>
          <w:sz w:val="24"/>
          <w:szCs w:val="32"/>
        </w:rPr>
        <w:t>kbp</w:t>
      </w:r>
      <w:proofErr w:type="spellEnd"/>
      <w:r w:rsidR="00A410A9" w:rsidRPr="00543353">
        <w:rPr>
          <w:rFonts w:ascii="Arial" w:hAnsi="Arial" w:cs="Arial"/>
          <w:sz w:val="24"/>
          <w:szCs w:val="32"/>
        </w:rPr>
        <w:t xml:space="preserve"> to 100 </w:t>
      </w:r>
      <w:proofErr w:type="spellStart"/>
      <w:r w:rsidR="00A410A9" w:rsidRPr="00543353">
        <w:rPr>
          <w:rFonts w:ascii="Arial" w:hAnsi="Arial" w:cs="Arial"/>
          <w:sz w:val="24"/>
          <w:szCs w:val="32"/>
        </w:rPr>
        <w:t>kbp</w:t>
      </w:r>
      <w:proofErr w:type="spellEnd"/>
      <w:r w:rsidR="00A410A9" w:rsidRPr="00543353">
        <w:rPr>
          <w:rFonts w:ascii="Arial" w:hAnsi="Arial" w:cs="Arial"/>
          <w:sz w:val="24"/>
          <w:szCs w:val="32"/>
        </w:rPr>
        <w:t xml:space="preserve">. </w:t>
      </w:r>
      <w:r w:rsidR="0068011A" w:rsidRPr="00543353">
        <w:rPr>
          <w:rFonts w:ascii="Arial" w:hAnsi="Arial" w:cs="Arial"/>
          <w:sz w:val="24"/>
          <w:szCs w:val="32"/>
        </w:rPr>
        <w:t>Each</w:t>
      </w:r>
      <w:r w:rsidR="00A410A9" w:rsidRPr="00543353">
        <w:rPr>
          <w:rFonts w:ascii="Arial" w:hAnsi="Arial" w:cs="Arial"/>
          <w:sz w:val="24"/>
          <w:szCs w:val="32"/>
        </w:rPr>
        <w:t xml:space="preserve"> </w:t>
      </w:r>
      <w:r w:rsidR="0068011A" w:rsidRPr="00543353">
        <w:rPr>
          <w:rFonts w:ascii="Arial" w:hAnsi="Arial" w:cs="Arial"/>
          <w:sz w:val="24"/>
          <w:szCs w:val="32"/>
        </w:rPr>
        <w:t>dot</w:t>
      </w:r>
      <w:r w:rsidR="00A410A9" w:rsidRPr="00543353">
        <w:rPr>
          <w:rFonts w:ascii="Arial" w:hAnsi="Arial" w:cs="Arial"/>
          <w:sz w:val="24"/>
          <w:szCs w:val="32"/>
        </w:rPr>
        <w:t xml:space="preserve"> </w:t>
      </w:r>
      <w:r w:rsidR="0068011A" w:rsidRPr="00543353">
        <w:rPr>
          <w:rFonts w:ascii="Arial" w:hAnsi="Arial" w:cs="Arial"/>
          <w:sz w:val="24"/>
          <w:szCs w:val="32"/>
        </w:rPr>
        <w:t>is</w:t>
      </w:r>
      <w:r w:rsidR="00A410A9" w:rsidRPr="00543353">
        <w:rPr>
          <w:rFonts w:ascii="Arial" w:hAnsi="Arial" w:cs="Arial"/>
          <w:sz w:val="24"/>
          <w:szCs w:val="32"/>
        </w:rPr>
        <w:t xml:space="preserve"> </w:t>
      </w:r>
      <w:r w:rsidR="0068011A" w:rsidRPr="00543353">
        <w:rPr>
          <w:rFonts w:ascii="Arial" w:hAnsi="Arial" w:cs="Arial"/>
          <w:sz w:val="24"/>
          <w:szCs w:val="32"/>
        </w:rPr>
        <w:t>the average of one hundred regions.</w:t>
      </w:r>
    </w:p>
    <w:p w14:paraId="3FF9D80A" w14:textId="04FCE244" w:rsidR="00AF3E9B" w:rsidRPr="00543353" w:rsidRDefault="00AF3E9B">
      <w:pPr>
        <w:widowControl/>
        <w:jc w:val="left"/>
        <w:rPr>
          <w:rFonts w:ascii="Times New Roman" w:hAnsi="Times New Roman" w:cs="Times New Roman"/>
        </w:rPr>
      </w:pPr>
      <w:r w:rsidRPr="00543353">
        <w:rPr>
          <w:rFonts w:ascii="Times New Roman" w:hAnsi="Times New Roman" w:cs="Times New Roman"/>
        </w:rPr>
        <w:br w:type="page"/>
      </w:r>
    </w:p>
    <w:p w14:paraId="7480FBC7" w14:textId="35286B41" w:rsidR="00AF3E9B" w:rsidRPr="00543353" w:rsidRDefault="00AF3E9B" w:rsidP="00715950">
      <w:pPr>
        <w:widowControl/>
        <w:jc w:val="center"/>
        <w:rPr>
          <w:rFonts w:ascii="Times New Roman" w:hAnsi="Times New Roman" w:cs="Times New Roman"/>
        </w:rPr>
      </w:pPr>
      <w:r w:rsidRPr="00543353">
        <w:rPr>
          <w:rFonts w:ascii="Times New Roman" w:hAnsi="Times New Roman" w:cs="Times New Roman" w:hint="eastAsia"/>
          <w:noProof/>
          <w:lang w:eastAsia="en-US"/>
        </w:rPr>
        <w:lastRenderedPageBreak/>
        <w:drawing>
          <wp:inline distT="0" distB="0" distL="0" distR="0" wp14:anchorId="2486FF55" wp14:editId="27BCFC82">
            <wp:extent cx="5400040" cy="3474720"/>
            <wp:effectExtent l="0" t="0" r="0" b="508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474720"/>
                    </a:xfrm>
                    <a:prstGeom prst="rect">
                      <a:avLst/>
                    </a:prstGeom>
                  </pic:spPr>
                </pic:pic>
              </a:graphicData>
            </a:graphic>
          </wp:inline>
        </w:drawing>
      </w:r>
    </w:p>
    <w:p w14:paraId="6AA7685D" w14:textId="335BAA20" w:rsidR="00A410A9" w:rsidRPr="00543353" w:rsidRDefault="00A410A9" w:rsidP="00715950">
      <w:pPr>
        <w:widowControl/>
        <w:jc w:val="center"/>
        <w:rPr>
          <w:rFonts w:ascii="Times New Roman" w:hAnsi="Times New Roman" w:cs="Times New Roman"/>
        </w:rPr>
      </w:pPr>
    </w:p>
    <w:p w14:paraId="747151AE" w14:textId="3E8BE936" w:rsidR="00A410A9" w:rsidRPr="00543353" w:rsidRDefault="00A410A9" w:rsidP="00A410A9">
      <w:pPr>
        <w:widowControl/>
        <w:jc w:val="left"/>
        <w:rPr>
          <w:rFonts w:ascii="Arial" w:hAnsi="Arial" w:cs="Arial"/>
          <w:sz w:val="24"/>
          <w:szCs w:val="32"/>
        </w:rPr>
      </w:pPr>
      <w:r w:rsidRPr="00543353">
        <w:rPr>
          <w:rFonts w:ascii="Arial" w:hAnsi="Arial" w:cs="Arial"/>
          <w:b/>
          <w:bCs/>
          <w:sz w:val="24"/>
          <w:szCs w:val="32"/>
        </w:rPr>
        <w:t>Fig. S</w:t>
      </w:r>
      <w:r w:rsidR="00BA2E66" w:rsidRPr="00543353">
        <w:rPr>
          <w:rFonts w:ascii="Arial" w:hAnsi="Arial" w:cs="Arial"/>
          <w:b/>
          <w:bCs/>
          <w:sz w:val="24"/>
          <w:szCs w:val="32"/>
        </w:rPr>
        <w:t>5</w:t>
      </w:r>
      <w:r w:rsidRPr="00543353">
        <w:rPr>
          <w:rFonts w:ascii="Arial" w:hAnsi="Arial" w:cs="Arial"/>
          <w:sz w:val="24"/>
          <w:szCs w:val="32"/>
        </w:rPr>
        <w:t xml:space="preserve">: </w:t>
      </w:r>
      <w:r w:rsidR="004A1DD5" w:rsidRPr="00543353">
        <w:rPr>
          <w:rFonts w:ascii="Arial" w:hAnsi="Arial" w:cs="Arial"/>
          <w:sz w:val="24"/>
          <w:szCs w:val="32"/>
        </w:rPr>
        <w:t>B</w:t>
      </w:r>
      <w:r w:rsidRPr="00543353">
        <w:rPr>
          <w:rFonts w:ascii="Arial" w:hAnsi="Arial" w:cs="Arial"/>
          <w:sz w:val="24"/>
          <w:szCs w:val="32"/>
        </w:rPr>
        <w:t xml:space="preserve">oxplots of </w:t>
      </w:r>
      <w:r w:rsidR="004A1DD5" w:rsidRPr="00543353">
        <w:rPr>
          <w:rFonts w:ascii="Arial" w:hAnsi="Arial" w:cs="Arial"/>
          <w:sz w:val="24"/>
          <w:szCs w:val="32"/>
        </w:rPr>
        <w:t xml:space="preserve">the </w:t>
      </w:r>
      <w:r w:rsidRPr="00543353">
        <w:rPr>
          <w:rFonts w:ascii="Arial" w:hAnsi="Arial" w:cs="Arial"/>
          <w:sz w:val="24"/>
          <w:szCs w:val="32"/>
        </w:rPr>
        <w:t xml:space="preserve">computation performance of </w:t>
      </w:r>
      <w:proofErr w:type="spellStart"/>
      <w:r w:rsidRPr="00543353">
        <w:rPr>
          <w:rFonts w:ascii="Arial" w:hAnsi="Arial" w:cs="Arial"/>
          <w:sz w:val="24"/>
          <w:szCs w:val="32"/>
        </w:rPr>
        <w:t>LoMA</w:t>
      </w:r>
      <w:proofErr w:type="spellEnd"/>
      <w:r w:rsidRPr="00543353">
        <w:rPr>
          <w:rFonts w:ascii="Arial" w:hAnsi="Arial" w:cs="Arial"/>
          <w:sz w:val="24"/>
          <w:szCs w:val="32"/>
        </w:rPr>
        <w:t xml:space="preserve">. </w:t>
      </w:r>
      <w:r w:rsidRPr="00543353">
        <w:rPr>
          <w:rFonts w:ascii="Arial" w:hAnsi="Arial" w:cs="Arial"/>
          <w:b/>
          <w:bCs/>
          <w:sz w:val="24"/>
          <w:szCs w:val="32"/>
        </w:rPr>
        <w:t>A</w:t>
      </w:r>
      <w:r w:rsidRPr="00543353">
        <w:rPr>
          <w:rFonts w:ascii="Arial" w:hAnsi="Arial" w:cs="Arial"/>
          <w:sz w:val="24"/>
          <w:szCs w:val="32"/>
        </w:rPr>
        <w:t xml:space="preserve"> and </w:t>
      </w:r>
      <w:r w:rsidRPr="00543353">
        <w:rPr>
          <w:rFonts w:ascii="Arial" w:hAnsi="Arial" w:cs="Arial"/>
          <w:b/>
          <w:bCs/>
          <w:sz w:val="24"/>
          <w:szCs w:val="32"/>
        </w:rPr>
        <w:t>B</w:t>
      </w:r>
      <w:r w:rsidRPr="00543353">
        <w:rPr>
          <w:rFonts w:ascii="Arial" w:hAnsi="Arial" w:cs="Arial"/>
          <w:sz w:val="24"/>
          <w:szCs w:val="32"/>
        </w:rPr>
        <w:t xml:space="preserve"> show the boxplots of average computation time</w:t>
      </w:r>
      <w:r w:rsidR="004A1DD5" w:rsidRPr="00543353">
        <w:rPr>
          <w:rFonts w:ascii="Arial" w:hAnsi="Arial" w:cs="Arial"/>
          <w:sz w:val="24"/>
          <w:szCs w:val="32"/>
        </w:rPr>
        <w:t>s</w:t>
      </w:r>
      <w:r w:rsidRPr="00543353">
        <w:rPr>
          <w:rFonts w:ascii="Arial" w:hAnsi="Arial" w:cs="Arial"/>
          <w:sz w:val="24"/>
          <w:szCs w:val="32"/>
        </w:rPr>
        <w:t xml:space="preserve"> for different mean coverage</w:t>
      </w:r>
      <w:r w:rsidR="00257C73" w:rsidRPr="00543353">
        <w:rPr>
          <w:rFonts w:ascii="Arial" w:hAnsi="Arial" w:cs="Arial"/>
          <w:sz w:val="24"/>
          <w:szCs w:val="32"/>
        </w:rPr>
        <w:t>s</w:t>
      </w:r>
      <w:r w:rsidRPr="00543353">
        <w:rPr>
          <w:rFonts w:ascii="Arial" w:hAnsi="Arial" w:cs="Arial"/>
          <w:sz w:val="24"/>
          <w:szCs w:val="32"/>
        </w:rPr>
        <w:t xml:space="preserve"> and target sizes, respectively (n = 100). </w:t>
      </w:r>
      <w:r w:rsidRPr="00543353">
        <w:rPr>
          <w:rFonts w:ascii="Arial" w:hAnsi="Arial" w:cs="Arial"/>
          <w:b/>
          <w:bCs/>
          <w:sz w:val="24"/>
          <w:szCs w:val="32"/>
        </w:rPr>
        <w:t>C</w:t>
      </w:r>
      <w:r w:rsidRPr="00543353">
        <w:rPr>
          <w:rFonts w:ascii="Arial" w:hAnsi="Arial" w:cs="Arial"/>
          <w:sz w:val="24"/>
          <w:szCs w:val="32"/>
        </w:rPr>
        <w:t xml:space="preserve"> and </w:t>
      </w:r>
      <w:r w:rsidRPr="00543353">
        <w:rPr>
          <w:rFonts w:ascii="Arial" w:hAnsi="Arial" w:cs="Arial"/>
          <w:b/>
          <w:bCs/>
          <w:sz w:val="24"/>
          <w:szCs w:val="32"/>
        </w:rPr>
        <w:t>D</w:t>
      </w:r>
      <w:r w:rsidRPr="00543353">
        <w:rPr>
          <w:rFonts w:ascii="Arial" w:hAnsi="Arial" w:cs="Arial"/>
          <w:sz w:val="24"/>
          <w:szCs w:val="32"/>
        </w:rPr>
        <w:t xml:space="preserve"> show the boxplots of average peak RSS for different mean coverage</w:t>
      </w:r>
      <w:r w:rsidR="00257C73" w:rsidRPr="00543353">
        <w:rPr>
          <w:rFonts w:ascii="Arial" w:hAnsi="Arial" w:cs="Arial"/>
          <w:sz w:val="24"/>
          <w:szCs w:val="32"/>
        </w:rPr>
        <w:t>s</w:t>
      </w:r>
      <w:r w:rsidRPr="00543353">
        <w:rPr>
          <w:rFonts w:ascii="Arial" w:hAnsi="Arial" w:cs="Arial"/>
          <w:sz w:val="24"/>
          <w:szCs w:val="32"/>
        </w:rPr>
        <w:t xml:space="preserve"> and target sizes, respectively (n = 100). The data in </w:t>
      </w:r>
      <w:r w:rsidRPr="00543353">
        <w:rPr>
          <w:rFonts w:ascii="Arial" w:hAnsi="Arial" w:cs="Arial"/>
          <w:b/>
          <w:bCs/>
          <w:sz w:val="24"/>
          <w:szCs w:val="32"/>
        </w:rPr>
        <w:t>A</w:t>
      </w:r>
      <w:r w:rsidRPr="00543353">
        <w:rPr>
          <w:rFonts w:ascii="Arial" w:hAnsi="Arial" w:cs="Arial"/>
          <w:sz w:val="24"/>
          <w:szCs w:val="32"/>
        </w:rPr>
        <w:t xml:space="preserve"> and </w:t>
      </w:r>
      <w:r w:rsidRPr="00543353">
        <w:rPr>
          <w:rFonts w:ascii="Arial" w:hAnsi="Arial" w:cs="Arial"/>
          <w:b/>
          <w:bCs/>
          <w:sz w:val="24"/>
          <w:szCs w:val="32"/>
        </w:rPr>
        <w:t>C</w:t>
      </w:r>
      <w:r w:rsidRPr="00543353">
        <w:rPr>
          <w:rFonts w:ascii="Arial" w:hAnsi="Arial" w:cs="Arial"/>
          <w:sz w:val="24"/>
          <w:szCs w:val="32"/>
        </w:rPr>
        <w:t xml:space="preserve"> are shown in increments of 10 from 10x to 50x. The data in </w:t>
      </w:r>
      <w:r w:rsidRPr="00543353">
        <w:rPr>
          <w:rFonts w:ascii="Arial" w:hAnsi="Arial" w:cs="Arial"/>
          <w:b/>
          <w:bCs/>
          <w:sz w:val="24"/>
          <w:szCs w:val="32"/>
        </w:rPr>
        <w:t>B</w:t>
      </w:r>
      <w:r w:rsidRPr="00543353">
        <w:rPr>
          <w:rFonts w:ascii="Arial" w:hAnsi="Arial" w:cs="Arial"/>
          <w:sz w:val="24"/>
          <w:szCs w:val="32"/>
        </w:rPr>
        <w:t xml:space="preserve"> and </w:t>
      </w:r>
      <w:r w:rsidRPr="00543353">
        <w:rPr>
          <w:rFonts w:ascii="Arial" w:hAnsi="Arial" w:cs="Arial"/>
          <w:b/>
          <w:bCs/>
          <w:sz w:val="24"/>
          <w:szCs w:val="32"/>
        </w:rPr>
        <w:t>D</w:t>
      </w:r>
      <w:r w:rsidRPr="00543353">
        <w:rPr>
          <w:rFonts w:ascii="Arial" w:hAnsi="Arial" w:cs="Arial"/>
          <w:sz w:val="24"/>
          <w:szCs w:val="32"/>
        </w:rPr>
        <w:t xml:space="preserve"> are shown in increments of 20 </w:t>
      </w:r>
      <w:proofErr w:type="spellStart"/>
      <w:r w:rsidRPr="00543353">
        <w:rPr>
          <w:rFonts w:ascii="Arial" w:hAnsi="Arial" w:cs="Arial"/>
          <w:sz w:val="24"/>
          <w:szCs w:val="32"/>
        </w:rPr>
        <w:t>kbp</w:t>
      </w:r>
      <w:proofErr w:type="spellEnd"/>
      <w:r w:rsidRPr="00543353">
        <w:rPr>
          <w:rFonts w:ascii="Arial" w:hAnsi="Arial" w:cs="Arial"/>
          <w:sz w:val="24"/>
          <w:szCs w:val="32"/>
        </w:rPr>
        <w:t xml:space="preserve"> from 20 </w:t>
      </w:r>
      <w:proofErr w:type="spellStart"/>
      <w:r w:rsidRPr="00543353">
        <w:rPr>
          <w:rFonts w:ascii="Arial" w:hAnsi="Arial" w:cs="Arial"/>
          <w:sz w:val="24"/>
          <w:szCs w:val="32"/>
        </w:rPr>
        <w:t>kbp</w:t>
      </w:r>
      <w:proofErr w:type="spellEnd"/>
      <w:r w:rsidRPr="00543353">
        <w:rPr>
          <w:rFonts w:ascii="Arial" w:hAnsi="Arial" w:cs="Arial"/>
          <w:sz w:val="24"/>
          <w:szCs w:val="32"/>
        </w:rPr>
        <w:t xml:space="preserve"> to 100 </w:t>
      </w:r>
      <w:proofErr w:type="spellStart"/>
      <w:r w:rsidRPr="00543353">
        <w:rPr>
          <w:rFonts w:ascii="Arial" w:hAnsi="Arial" w:cs="Arial"/>
          <w:sz w:val="24"/>
          <w:szCs w:val="32"/>
        </w:rPr>
        <w:t>kbp</w:t>
      </w:r>
      <w:proofErr w:type="spellEnd"/>
      <w:r w:rsidRPr="00543353">
        <w:rPr>
          <w:rFonts w:ascii="Arial" w:hAnsi="Arial" w:cs="Arial"/>
          <w:sz w:val="24"/>
          <w:szCs w:val="32"/>
        </w:rPr>
        <w:t>.</w:t>
      </w:r>
    </w:p>
    <w:p w14:paraId="58B94E24" w14:textId="3D13C2FE" w:rsidR="008E692F" w:rsidRPr="00543353" w:rsidRDefault="008E692F" w:rsidP="00141695">
      <w:pPr>
        <w:widowControl/>
        <w:jc w:val="left"/>
        <w:rPr>
          <w:rFonts w:ascii="Times New Roman" w:hAnsi="Times New Roman" w:cs="Times New Roman"/>
        </w:rPr>
      </w:pPr>
    </w:p>
    <w:p w14:paraId="545A3C07" w14:textId="2CEA679E" w:rsidR="008E692F" w:rsidRPr="00543353" w:rsidRDefault="008E692F" w:rsidP="00715950">
      <w:pPr>
        <w:jc w:val="center"/>
        <w:rPr>
          <w:rFonts w:ascii="Arial" w:hAnsi="Arial" w:cs="Arial"/>
        </w:rPr>
      </w:pPr>
      <w:r w:rsidRPr="00543353">
        <w:rPr>
          <w:rFonts w:ascii="Arial" w:hAnsi="Arial" w:cs="Arial"/>
          <w:noProof/>
          <w:lang w:eastAsia="en-US"/>
        </w:rPr>
        <w:lastRenderedPageBreak/>
        <w:drawing>
          <wp:inline distT="0" distB="0" distL="0" distR="0" wp14:anchorId="45CEFDCF" wp14:editId="6BB80CEB">
            <wp:extent cx="5400040" cy="4997450"/>
            <wp:effectExtent l="0" t="0" r="0" b="6350"/>
            <wp:docPr id="3" name="図 3" descr="グラフィカル ユーザー インターフェイス&#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ィカル ユーザー インターフェイス&#10;&#10;自動的に生成された説明"/>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4997450"/>
                    </a:xfrm>
                    <a:prstGeom prst="rect">
                      <a:avLst/>
                    </a:prstGeom>
                  </pic:spPr>
                </pic:pic>
              </a:graphicData>
            </a:graphic>
          </wp:inline>
        </w:drawing>
      </w:r>
    </w:p>
    <w:p w14:paraId="1F80005B" w14:textId="77777777" w:rsidR="00715950" w:rsidRPr="00543353" w:rsidRDefault="00715950" w:rsidP="00FC665C">
      <w:pPr>
        <w:jc w:val="center"/>
        <w:rPr>
          <w:rFonts w:ascii="Arial" w:hAnsi="Arial" w:cs="Arial"/>
          <w:b/>
          <w:bCs/>
          <w:sz w:val="24"/>
        </w:rPr>
      </w:pPr>
    </w:p>
    <w:p w14:paraId="3795E2F4" w14:textId="1CCDB596" w:rsidR="003970C3" w:rsidRPr="00543353" w:rsidRDefault="003512ED">
      <w:pPr>
        <w:rPr>
          <w:rFonts w:ascii="Arial" w:hAnsi="Arial" w:cs="Arial"/>
          <w:sz w:val="24"/>
        </w:rPr>
      </w:pPr>
      <w:r w:rsidRPr="00543353">
        <w:rPr>
          <w:rFonts w:ascii="Arial" w:hAnsi="Arial" w:cs="Arial"/>
          <w:b/>
          <w:bCs/>
          <w:sz w:val="24"/>
        </w:rPr>
        <w:t>F</w:t>
      </w:r>
      <w:r w:rsidR="003970C3" w:rsidRPr="00543353">
        <w:rPr>
          <w:rFonts w:ascii="Arial" w:hAnsi="Arial" w:cs="Arial"/>
          <w:b/>
          <w:bCs/>
          <w:sz w:val="24"/>
        </w:rPr>
        <w:t>ig. S</w:t>
      </w:r>
      <w:r w:rsidR="00BA2E66" w:rsidRPr="00543353">
        <w:rPr>
          <w:rFonts w:ascii="Arial" w:hAnsi="Arial" w:cs="Arial"/>
          <w:b/>
          <w:bCs/>
          <w:sz w:val="24"/>
        </w:rPr>
        <w:t>6</w:t>
      </w:r>
      <w:r w:rsidRPr="00543353">
        <w:rPr>
          <w:rFonts w:ascii="Arial" w:hAnsi="Arial" w:cs="Arial"/>
          <w:b/>
          <w:bCs/>
          <w:sz w:val="24"/>
        </w:rPr>
        <w:t>:</w:t>
      </w:r>
      <w:r w:rsidR="003970C3" w:rsidRPr="00543353">
        <w:rPr>
          <w:rFonts w:ascii="Arial" w:hAnsi="Arial" w:cs="Arial"/>
          <w:b/>
          <w:bCs/>
          <w:sz w:val="24"/>
        </w:rPr>
        <w:t xml:space="preserve"> </w:t>
      </w:r>
      <w:r w:rsidR="00CA5B7C" w:rsidRPr="00543353">
        <w:rPr>
          <w:rFonts w:ascii="Arial" w:hAnsi="Arial" w:cs="Arial"/>
          <w:sz w:val="24"/>
        </w:rPr>
        <w:t>The longest a</w:t>
      </w:r>
      <w:r w:rsidR="003970C3" w:rsidRPr="00543353">
        <w:rPr>
          <w:rFonts w:ascii="Arial" w:hAnsi="Arial" w:cs="Arial"/>
          <w:sz w:val="24"/>
        </w:rPr>
        <w:t>lterna</w:t>
      </w:r>
      <w:r w:rsidR="00CA5B7C" w:rsidRPr="00543353">
        <w:rPr>
          <w:rFonts w:ascii="Arial" w:hAnsi="Arial" w:cs="Arial"/>
          <w:sz w:val="24"/>
        </w:rPr>
        <w:t>tive</w:t>
      </w:r>
      <w:r w:rsidR="003970C3" w:rsidRPr="00543353">
        <w:rPr>
          <w:rFonts w:ascii="Arial" w:hAnsi="Arial" w:cs="Arial"/>
          <w:sz w:val="24"/>
        </w:rPr>
        <w:t xml:space="preserve"> sequence insertion.</w:t>
      </w:r>
      <w:r w:rsidR="004D6B46" w:rsidRPr="00543353">
        <w:rPr>
          <w:rFonts w:ascii="Arial" w:hAnsi="Arial" w:cs="Arial"/>
          <w:sz w:val="24"/>
        </w:rPr>
        <w:t xml:space="preserve"> A long insertion (~14 </w:t>
      </w:r>
      <w:proofErr w:type="spellStart"/>
      <w:r w:rsidR="004D6B46" w:rsidRPr="00543353">
        <w:rPr>
          <w:rFonts w:ascii="Arial" w:hAnsi="Arial" w:cs="Arial"/>
          <w:sz w:val="24"/>
        </w:rPr>
        <w:t>kbp</w:t>
      </w:r>
      <w:proofErr w:type="spellEnd"/>
      <w:r w:rsidR="004D6B46" w:rsidRPr="00543353">
        <w:rPr>
          <w:rFonts w:ascii="Arial" w:hAnsi="Arial" w:cs="Arial"/>
          <w:sz w:val="24"/>
        </w:rPr>
        <w:t xml:space="preserve">) </w:t>
      </w:r>
      <w:r w:rsidR="00B5007D" w:rsidRPr="00543353">
        <w:rPr>
          <w:rFonts w:ascii="Arial" w:hAnsi="Arial" w:cs="Arial"/>
          <w:sz w:val="24"/>
        </w:rPr>
        <w:t xml:space="preserve">that </w:t>
      </w:r>
      <w:r w:rsidR="004D6B46" w:rsidRPr="00543353">
        <w:rPr>
          <w:rFonts w:ascii="Arial" w:hAnsi="Arial" w:cs="Arial"/>
          <w:sz w:val="24"/>
        </w:rPr>
        <w:t xml:space="preserve">accurately mapped </w:t>
      </w:r>
      <w:r w:rsidR="005851B2" w:rsidRPr="00543353">
        <w:rPr>
          <w:rFonts w:ascii="Arial" w:hAnsi="Arial" w:cs="Arial"/>
          <w:sz w:val="24"/>
        </w:rPr>
        <w:t xml:space="preserve">(99.8% in identity) </w:t>
      </w:r>
      <w:r w:rsidR="004D6B46" w:rsidRPr="00543353">
        <w:rPr>
          <w:rFonts w:ascii="Arial" w:hAnsi="Arial" w:cs="Arial"/>
          <w:sz w:val="24"/>
        </w:rPr>
        <w:t>to an alternative sequence on chr12 was detected in NA18943.</w:t>
      </w:r>
      <w:r w:rsidR="00CA5B7C" w:rsidRPr="00543353">
        <w:rPr>
          <w:rFonts w:ascii="Arial" w:hAnsi="Arial" w:cs="Arial"/>
          <w:sz w:val="24"/>
        </w:rPr>
        <w:t xml:space="preserve"> It showed the clip-accumulated pattern</w:t>
      </w:r>
      <w:r w:rsidR="00E36DC3" w:rsidRPr="00543353">
        <w:rPr>
          <w:rFonts w:ascii="Arial" w:hAnsi="Arial" w:cs="Arial"/>
          <w:sz w:val="24"/>
        </w:rPr>
        <w:t>,</w:t>
      </w:r>
      <w:r w:rsidR="00CA5B7C" w:rsidRPr="00543353">
        <w:rPr>
          <w:rFonts w:ascii="Arial" w:hAnsi="Arial" w:cs="Arial"/>
          <w:sz w:val="24"/>
        </w:rPr>
        <w:t xml:space="preserve"> as visualized by IGV</w:t>
      </w:r>
      <w:r w:rsidR="00AB6D2B" w:rsidRPr="00543353">
        <w:rPr>
          <w:rFonts w:ascii="Arial" w:hAnsi="Arial" w:cs="Arial"/>
          <w:sz w:val="24"/>
        </w:rPr>
        <w:t xml:space="preserve"> </w:t>
      </w:r>
      <w:r w:rsidR="00AB6D2B" w:rsidRPr="00543353">
        <w:rPr>
          <w:rFonts w:ascii="Arial" w:hAnsi="Arial" w:cs="Arial"/>
          <w:sz w:val="24"/>
        </w:rPr>
        <w:fldChar w:fldCharType="begin" w:fldLock="1"/>
      </w:r>
      <w:r w:rsidR="00AB6D2B" w:rsidRPr="00543353">
        <w:rPr>
          <w:rFonts w:ascii="Arial" w:hAnsi="Arial" w:cs="Arial"/>
          <w:sz w:val="24"/>
        </w:rPr>
        <w:instrText>ADDIN CSL_CITATION {"citationItems":[{"id":"ITEM-1","itemData":{"DOI":"10.1093/bib/bbs017","ISSN":"14675463","PMID":"22517427","abstract":"Data visualization is an essential component of genomic data analysis. However, the size and diversity of the data sets produced by today's sequencing and array-based profiling methods present major challenges to visualization tools. The Integrative Genomics Viewer (IGV) is a high-performance viewer that efficiently handles large heterogeneous data sets, while providing a smooth and intuitive user experience at all levels of genome resolution. A key characteristic of IGV is its focus on the integrative nature of genomic studies, with support for both array-based and next-generation sequencing data, and the integration of clinical and phenotypic data. Although IGV is often used to view genomic data from public sources, its primary emphasis is to support researchers who wish to visualize and explore their own data sets or those from colleagues. To that end, IGV supports flexible loading of local and remote data sets, and is optimized to provide high-performance data visualization and exploration on standard desktop systems. © The Author(s) 2012. Published by Oxford University Press.","author":[{"dropping-particle":"","family":"Thorvaldsdóttir","given":"Helga","non-dropping-particle":"","parse-names":false,"suffix":""},{"dropping-particle":"","family":"Robinson","given":"James T.","non-dropping-particle":"","parse-names":false,"suffix":""},{"dropping-particle":"","family":"Mesirov","given":"Jill P.","non-dropping-particle":"","parse-names":false,"suffix":""}],"container-title":"Briefings in Bioinformatics","id":"ITEM-1","issue":"2","issued":{"date-parts":[["2013"]]},"page":"178-192","title":"Integrative Genomics Viewer (IGV): High-performance genomics data visualization and exploration","type":"article-journal","volume":"14"},"uris":["http://www.mendeley.com/documents/?uuid=7aea7c46-a22b-4edf-b93c-765f7e5ad2e8"]}],"mendeley":{"formattedCitation":"[1]","plainTextFormattedCitation":"[1]","previouslyFormattedCitation":"[1]"},"properties":{"noteIndex":0},"schema":"https://github.com/citation-style-language/schema/raw/master/csl-citation.json"}</w:instrText>
      </w:r>
      <w:r w:rsidR="00AB6D2B" w:rsidRPr="00543353">
        <w:rPr>
          <w:rFonts w:ascii="Arial" w:hAnsi="Arial" w:cs="Arial"/>
          <w:sz w:val="24"/>
        </w:rPr>
        <w:fldChar w:fldCharType="separate"/>
      </w:r>
      <w:r w:rsidR="00AB6D2B" w:rsidRPr="00543353">
        <w:rPr>
          <w:rFonts w:ascii="Arial" w:hAnsi="Arial" w:cs="Arial"/>
          <w:noProof/>
          <w:sz w:val="24"/>
        </w:rPr>
        <w:t>[1]</w:t>
      </w:r>
      <w:r w:rsidR="00AB6D2B" w:rsidRPr="00543353">
        <w:rPr>
          <w:rFonts w:ascii="Arial" w:hAnsi="Arial" w:cs="Arial"/>
          <w:sz w:val="24"/>
        </w:rPr>
        <w:fldChar w:fldCharType="end"/>
      </w:r>
      <w:r w:rsidR="00CA5B7C" w:rsidRPr="00543353">
        <w:rPr>
          <w:rFonts w:ascii="Arial" w:hAnsi="Arial" w:cs="Arial"/>
          <w:sz w:val="24"/>
        </w:rPr>
        <w:t>. After the restoration of this region, the sequence was clearly mapped to the alternative sequence</w:t>
      </w:r>
      <w:r w:rsidR="00AB6D2B" w:rsidRPr="00543353">
        <w:rPr>
          <w:rFonts w:ascii="Arial" w:hAnsi="Arial" w:cs="Arial"/>
          <w:sz w:val="24"/>
        </w:rPr>
        <w:t xml:space="preserve"> on Genome Browser [2]</w:t>
      </w:r>
      <w:r w:rsidR="00CA5B7C" w:rsidRPr="00543353">
        <w:rPr>
          <w:rFonts w:ascii="Arial" w:hAnsi="Arial" w:cs="Arial"/>
          <w:sz w:val="24"/>
        </w:rPr>
        <w:t>.</w:t>
      </w:r>
    </w:p>
    <w:p w14:paraId="7425CBB9" w14:textId="69057E07" w:rsidR="00AE2336" w:rsidRPr="00543353" w:rsidRDefault="00AE2336">
      <w:pPr>
        <w:widowControl/>
        <w:jc w:val="left"/>
        <w:rPr>
          <w:rFonts w:ascii="Arial" w:hAnsi="Arial" w:cs="Arial"/>
          <w:b/>
          <w:bCs/>
        </w:rPr>
      </w:pPr>
      <w:r w:rsidRPr="00543353">
        <w:rPr>
          <w:rFonts w:ascii="Arial" w:hAnsi="Arial" w:cs="Arial"/>
          <w:b/>
          <w:bCs/>
        </w:rPr>
        <w:br w:type="page"/>
      </w:r>
    </w:p>
    <w:p w14:paraId="12C0BC45" w14:textId="5000BA55" w:rsidR="00AE2336" w:rsidRPr="00543353" w:rsidRDefault="00AE2336" w:rsidP="00AE2336">
      <w:pPr>
        <w:jc w:val="center"/>
      </w:pPr>
      <w:r w:rsidRPr="00543353">
        <w:rPr>
          <w:noProof/>
          <w:lang w:eastAsia="en-US"/>
        </w:rPr>
        <w:lastRenderedPageBreak/>
        <w:drawing>
          <wp:inline distT="0" distB="0" distL="0" distR="0" wp14:anchorId="46F93ADA" wp14:editId="3A5D76E2">
            <wp:extent cx="3975100" cy="6781800"/>
            <wp:effectExtent l="0" t="0" r="0" b="0"/>
            <wp:docPr id="1" name="図 1" descr="グラフ, 円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グラフ, 円グラフ&#10;&#10;自動的に生成された説明"/>
                    <pic:cNvPicPr/>
                  </pic:nvPicPr>
                  <pic:blipFill>
                    <a:blip r:embed="rId11">
                      <a:extLst>
                        <a:ext uri="{28A0092B-C50C-407E-A947-70E740481C1C}">
                          <a14:useLocalDpi xmlns:a14="http://schemas.microsoft.com/office/drawing/2010/main" val="0"/>
                        </a:ext>
                      </a:extLst>
                    </a:blip>
                    <a:stretch>
                      <a:fillRect/>
                    </a:stretch>
                  </pic:blipFill>
                  <pic:spPr>
                    <a:xfrm>
                      <a:off x="0" y="0"/>
                      <a:ext cx="3975100" cy="6781800"/>
                    </a:xfrm>
                    <a:prstGeom prst="rect">
                      <a:avLst/>
                    </a:prstGeom>
                  </pic:spPr>
                </pic:pic>
              </a:graphicData>
            </a:graphic>
          </wp:inline>
        </w:drawing>
      </w:r>
    </w:p>
    <w:p w14:paraId="55BD6AE7" w14:textId="77777777" w:rsidR="000C54A1" w:rsidRPr="00543353" w:rsidRDefault="000C54A1" w:rsidP="00AE2336">
      <w:pPr>
        <w:rPr>
          <w:rFonts w:ascii="Arial" w:hAnsi="Arial" w:cs="Arial"/>
          <w:b/>
          <w:bCs/>
          <w:sz w:val="24"/>
        </w:rPr>
      </w:pPr>
    </w:p>
    <w:p w14:paraId="27CDF0A4" w14:textId="60C298DC" w:rsidR="00AE2336" w:rsidRPr="00543353" w:rsidRDefault="00AF54EB" w:rsidP="000C54A1">
      <w:pPr>
        <w:rPr>
          <w:rFonts w:ascii="Arial" w:hAnsi="Arial" w:cs="Arial"/>
          <w:sz w:val="24"/>
        </w:rPr>
      </w:pPr>
      <w:r w:rsidRPr="00543353">
        <w:rPr>
          <w:rFonts w:ascii="Arial" w:hAnsi="Arial" w:cs="Arial"/>
          <w:b/>
          <w:bCs/>
          <w:sz w:val="24"/>
        </w:rPr>
        <w:t>F</w:t>
      </w:r>
      <w:r w:rsidR="00AE2336" w:rsidRPr="00543353">
        <w:rPr>
          <w:rFonts w:ascii="Arial" w:hAnsi="Arial" w:cs="Arial"/>
          <w:b/>
          <w:bCs/>
          <w:sz w:val="24"/>
        </w:rPr>
        <w:t>ig. S</w:t>
      </w:r>
      <w:r w:rsidR="00BA2E66" w:rsidRPr="00543353">
        <w:rPr>
          <w:rFonts w:ascii="Arial" w:hAnsi="Arial" w:cs="Arial"/>
          <w:b/>
          <w:bCs/>
          <w:sz w:val="24"/>
        </w:rPr>
        <w:t>7</w:t>
      </w:r>
      <w:r w:rsidR="0068011A" w:rsidRPr="00543353">
        <w:rPr>
          <w:rFonts w:ascii="Arial" w:hAnsi="Arial" w:cs="Arial"/>
          <w:b/>
          <w:bCs/>
          <w:sz w:val="24"/>
        </w:rPr>
        <w:t>:</w:t>
      </w:r>
      <w:r w:rsidR="00B9557B" w:rsidRPr="00543353">
        <w:rPr>
          <w:rFonts w:ascii="Arial" w:hAnsi="Arial" w:cs="Arial"/>
          <w:b/>
          <w:bCs/>
          <w:sz w:val="24"/>
        </w:rPr>
        <w:t xml:space="preserve"> </w:t>
      </w:r>
      <w:r w:rsidR="00E930C5" w:rsidRPr="00543353">
        <w:rPr>
          <w:rFonts w:ascii="Arial" w:hAnsi="Arial" w:cs="Arial"/>
          <w:sz w:val="24"/>
        </w:rPr>
        <w:t>Genic and intergenic</w:t>
      </w:r>
      <w:r w:rsidR="00E930C5" w:rsidRPr="00543353">
        <w:rPr>
          <w:rFonts w:ascii="Arial" w:hAnsi="Arial" w:cs="Arial"/>
          <w:b/>
          <w:bCs/>
          <w:sz w:val="24"/>
        </w:rPr>
        <w:t xml:space="preserve"> </w:t>
      </w:r>
      <w:r w:rsidR="00E930C5" w:rsidRPr="00543353">
        <w:rPr>
          <w:rFonts w:ascii="Arial" w:hAnsi="Arial" w:cs="Arial"/>
          <w:sz w:val="24"/>
        </w:rPr>
        <w:t>T</w:t>
      </w:r>
      <w:r w:rsidR="00B9557B" w:rsidRPr="00543353">
        <w:rPr>
          <w:rFonts w:ascii="Arial" w:hAnsi="Arial" w:cs="Arial"/>
          <w:sz w:val="24"/>
        </w:rPr>
        <w:t>R expansions.</w:t>
      </w:r>
      <w:r w:rsidR="00E930C5" w:rsidRPr="00543353">
        <w:rPr>
          <w:rFonts w:ascii="Arial" w:hAnsi="Arial" w:cs="Arial"/>
          <w:sz w:val="24"/>
        </w:rPr>
        <w:t xml:space="preserve"> In NA18943, genic TDs accounted for 42%</w:t>
      </w:r>
      <w:r w:rsidR="00B5007D" w:rsidRPr="00543353">
        <w:rPr>
          <w:rFonts w:ascii="Arial" w:hAnsi="Arial" w:cs="Arial"/>
          <w:sz w:val="24"/>
        </w:rPr>
        <w:t>, and</w:t>
      </w:r>
      <w:r w:rsidR="00E930C5" w:rsidRPr="00543353">
        <w:rPr>
          <w:rFonts w:ascii="Arial" w:hAnsi="Arial" w:cs="Arial"/>
          <w:sz w:val="24"/>
        </w:rPr>
        <w:t xml:space="preserve"> in NA19240</w:t>
      </w:r>
      <w:r w:rsidR="00B5007D" w:rsidRPr="00543353">
        <w:rPr>
          <w:rFonts w:ascii="Arial" w:hAnsi="Arial" w:cs="Arial"/>
          <w:sz w:val="24"/>
        </w:rPr>
        <w:t xml:space="preserve"> they were</w:t>
      </w:r>
      <w:r w:rsidR="00E930C5" w:rsidRPr="00543353">
        <w:rPr>
          <w:rFonts w:ascii="Arial" w:hAnsi="Arial" w:cs="Arial"/>
          <w:sz w:val="24"/>
        </w:rPr>
        <w:t xml:space="preserve"> 39%, which </w:t>
      </w:r>
      <w:r w:rsidR="00B5007D" w:rsidRPr="00543353">
        <w:rPr>
          <w:rFonts w:ascii="Arial" w:hAnsi="Arial" w:cs="Arial"/>
          <w:sz w:val="24"/>
        </w:rPr>
        <w:t>is</w:t>
      </w:r>
      <w:r w:rsidR="00E930C5" w:rsidRPr="00543353">
        <w:rPr>
          <w:rFonts w:ascii="Arial" w:hAnsi="Arial" w:cs="Arial"/>
          <w:sz w:val="24"/>
        </w:rPr>
        <w:t xml:space="preserve"> consistent with the </w:t>
      </w:r>
      <w:r w:rsidR="00B5007D" w:rsidRPr="00543353">
        <w:rPr>
          <w:rFonts w:ascii="Arial" w:hAnsi="Arial" w:cs="Arial"/>
          <w:sz w:val="24"/>
        </w:rPr>
        <w:t xml:space="preserve">size </w:t>
      </w:r>
      <w:r w:rsidR="00E930C5" w:rsidRPr="00543353">
        <w:rPr>
          <w:rFonts w:ascii="Arial" w:hAnsi="Arial" w:cs="Arial"/>
          <w:sz w:val="24"/>
        </w:rPr>
        <w:t xml:space="preserve">of the genic region in the human genome. Only </w:t>
      </w:r>
      <w:r w:rsidR="00B5007D" w:rsidRPr="00543353">
        <w:rPr>
          <w:rFonts w:ascii="Arial" w:hAnsi="Arial" w:cs="Arial"/>
          <w:sz w:val="24"/>
        </w:rPr>
        <w:t>7</w:t>
      </w:r>
      <w:r w:rsidR="00E930C5" w:rsidRPr="00543353">
        <w:rPr>
          <w:rFonts w:ascii="Arial" w:hAnsi="Arial" w:cs="Arial"/>
          <w:sz w:val="24"/>
        </w:rPr>
        <w:t xml:space="preserve"> and </w:t>
      </w:r>
      <w:r w:rsidR="00B5007D" w:rsidRPr="00543353">
        <w:rPr>
          <w:rFonts w:ascii="Arial" w:hAnsi="Arial" w:cs="Arial"/>
          <w:sz w:val="24"/>
        </w:rPr>
        <w:t>12</w:t>
      </w:r>
      <w:r w:rsidR="00E930C5" w:rsidRPr="00543353">
        <w:rPr>
          <w:rFonts w:ascii="Arial" w:hAnsi="Arial" w:cs="Arial"/>
          <w:sz w:val="24"/>
        </w:rPr>
        <w:t xml:space="preserve"> genes contained </w:t>
      </w:r>
      <w:proofErr w:type="spellStart"/>
      <w:r w:rsidR="00E930C5" w:rsidRPr="00543353">
        <w:rPr>
          <w:rFonts w:ascii="Arial" w:hAnsi="Arial" w:cs="Arial"/>
          <w:sz w:val="24"/>
        </w:rPr>
        <w:t>exonic</w:t>
      </w:r>
      <w:proofErr w:type="spellEnd"/>
      <w:r w:rsidR="00E930C5" w:rsidRPr="00543353">
        <w:rPr>
          <w:rFonts w:ascii="Arial" w:hAnsi="Arial" w:cs="Arial"/>
          <w:sz w:val="24"/>
        </w:rPr>
        <w:t xml:space="preserve"> TR expansions in NA18943 and NA19240, respectively.</w:t>
      </w:r>
    </w:p>
    <w:p w14:paraId="617220AF" w14:textId="725CBB81" w:rsidR="00794A07" w:rsidRPr="00543353" w:rsidRDefault="00794A07">
      <w:pPr>
        <w:widowControl/>
        <w:jc w:val="left"/>
      </w:pPr>
      <w:r w:rsidRPr="00543353">
        <w:br w:type="page"/>
      </w:r>
    </w:p>
    <w:p w14:paraId="6A922D36" w14:textId="4152149C" w:rsidR="00794A07" w:rsidRPr="00543353" w:rsidRDefault="00794A07" w:rsidP="00794A07">
      <w:pPr>
        <w:jc w:val="center"/>
      </w:pPr>
      <w:r w:rsidRPr="00543353">
        <w:rPr>
          <w:noProof/>
          <w:lang w:eastAsia="en-US"/>
        </w:rPr>
        <w:lastRenderedPageBreak/>
        <w:drawing>
          <wp:inline distT="0" distB="0" distL="0" distR="0" wp14:anchorId="04ED7C91" wp14:editId="6284C4A5">
            <wp:extent cx="2674108" cy="3764624"/>
            <wp:effectExtent l="0" t="0" r="5715" b="0"/>
            <wp:docPr id="16" name="図 15" descr="グラフ, 棒グラフ&#10;&#10;自動的に生成された説明">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367C1BE-E766-3045-A022-17FB2D5A9D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descr="グラフ, 棒グラフ&#10;&#10;自動的に生成された説明">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367C1BE-E766-3045-A022-17FB2D5A9D85}"/>
                        </a:ext>
                      </a:extLst>
                    </pic:cNvPr>
                    <pic:cNvPicPr>
                      <a:picLocks noChangeAspect="1"/>
                    </pic:cNvPicPr>
                  </pic:nvPicPr>
                  <pic:blipFill rotWithShape="1">
                    <a:blip r:embed="rId12"/>
                    <a:srcRect l="3201" t="1260" r="3025" b="1338"/>
                    <a:stretch/>
                  </pic:blipFill>
                  <pic:spPr>
                    <a:xfrm>
                      <a:off x="0" y="0"/>
                      <a:ext cx="2682676" cy="3776686"/>
                    </a:xfrm>
                    <a:prstGeom prst="rect">
                      <a:avLst/>
                    </a:prstGeom>
                  </pic:spPr>
                </pic:pic>
              </a:graphicData>
            </a:graphic>
          </wp:inline>
        </w:drawing>
      </w:r>
    </w:p>
    <w:p w14:paraId="47498222" w14:textId="77777777" w:rsidR="000C54A1" w:rsidRPr="00543353" w:rsidRDefault="000C54A1" w:rsidP="00794A07">
      <w:pPr>
        <w:rPr>
          <w:rFonts w:ascii="Arial" w:hAnsi="Arial" w:cs="Arial"/>
          <w:b/>
          <w:bCs/>
          <w:sz w:val="24"/>
          <w:szCs w:val="32"/>
        </w:rPr>
      </w:pPr>
    </w:p>
    <w:p w14:paraId="4884FD96" w14:textId="49C0EACC" w:rsidR="00794A07" w:rsidRPr="00543353" w:rsidRDefault="00AF54EB" w:rsidP="00794A07">
      <w:pPr>
        <w:rPr>
          <w:rFonts w:ascii="Arial" w:hAnsi="Arial" w:cs="Arial"/>
          <w:sz w:val="24"/>
          <w:szCs w:val="32"/>
        </w:rPr>
      </w:pPr>
      <w:r w:rsidRPr="00543353">
        <w:rPr>
          <w:rFonts w:ascii="Arial" w:hAnsi="Arial" w:cs="Arial"/>
          <w:b/>
          <w:bCs/>
          <w:sz w:val="24"/>
          <w:szCs w:val="32"/>
        </w:rPr>
        <w:t>F</w:t>
      </w:r>
      <w:r w:rsidR="00794A07" w:rsidRPr="00543353">
        <w:rPr>
          <w:rFonts w:ascii="Arial" w:hAnsi="Arial" w:cs="Arial"/>
          <w:b/>
          <w:bCs/>
          <w:sz w:val="24"/>
          <w:szCs w:val="32"/>
        </w:rPr>
        <w:t>ig. S</w:t>
      </w:r>
      <w:r w:rsidR="00BA2E66" w:rsidRPr="00543353">
        <w:rPr>
          <w:rFonts w:ascii="Arial" w:hAnsi="Arial" w:cs="Arial"/>
          <w:b/>
          <w:bCs/>
          <w:sz w:val="24"/>
          <w:szCs w:val="32"/>
        </w:rPr>
        <w:t>8</w:t>
      </w:r>
      <w:r w:rsidR="0068011A" w:rsidRPr="00543353">
        <w:rPr>
          <w:rFonts w:ascii="Arial" w:hAnsi="Arial" w:cs="Arial"/>
          <w:b/>
          <w:bCs/>
          <w:sz w:val="24"/>
          <w:szCs w:val="32"/>
        </w:rPr>
        <w:t>:</w:t>
      </w:r>
      <w:r w:rsidR="00B9557B" w:rsidRPr="00543353">
        <w:rPr>
          <w:rFonts w:ascii="Arial" w:hAnsi="Arial" w:cs="Arial"/>
          <w:b/>
          <w:bCs/>
          <w:sz w:val="24"/>
          <w:szCs w:val="32"/>
        </w:rPr>
        <w:t xml:space="preserve"> </w:t>
      </w:r>
      <w:r w:rsidR="00B9557B" w:rsidRPr="00543353">
        <w:rPr>
          <w:rFonts w:ascii="Arial" w:hAnsi="Arial" w:cs="Arial"/>
          <w:sz w:val="24"/>
          <w:szCs w:val="32"/>
        </w:rPr>
        <w:t>Genic TDs.</w:t>
      </w:r>
      <w:r w:rsidR="00E930C5" w:rsidRPr="00543353">
        <w:rPr>
          <w:rFonts w:ascii="Arial" w:hAnsi="Arial" w:cs="Arial"/>
          <w:sz w:val="24"/>
          <w:szCs w:val="32"/>
        </w:rPr>
        <w:t xml:space="preserve"> In NA18943, 30 TDs (42%) occurred in the genic region (all in non-CDS regions); in NA19240, 34 TDs (39%</w:t>
      </w:r>
      <w:r w:rsidR="00EF20BB" w:rsidRPr="00543353">
        <w:rPr>
          <w:rFonts w:ascii="Arial" w:hAnsi="Arial" w:cs="Arial"/>
          <w:sz w:val="24"/>
          <w:szCs w:val="32"/>
        </w:rPr>
        <w:t>) occurred in the genic region (</w:t>
      </w:r>
      <w:r w:rsidR="002D4828" w:rsidRPr="00543353">
        <w:rPr>
          <w:rFonts w:ascii="Arial" w:hAnsi="Arial" w:cs="Arial"/>
          <w:sz w:val="24"/>
          <w:szCs w:val="32"/>
        </w:rPr>
        <w:t>all in non-CDS regions</w:t>
      </w:r>
      <w:r w:rsidR="00E930C5" w:rsidRPr="00543353">
        <w:rPr>
          <w:rFonts w:ascii="Arial" w:hAnsi="Arial" w:cs="Arial"/>
          <w:sz w:val="24"/>
          <w:szCs w:val="32"/>
        </w:rPr>
        <w:t>).</w:t>
      </w:r>
      <w:r w:rsidR="00FE4D39" w:rsidRPr="00543353">
        <w:rPr>
          <w:rFonts w:ascii="Arial" w:hAnsi="Arial" w:cs="Arial"/>
          <w:sz w:val="24"/>
          <w:szCs w:val="32"/>
        </w:rPr>
        <w:t xml:space="preserve"> Th</w:t>
      </w:r>
      <w:r w:rsidR="002D4828" w:rsidRPr="00543353">
        <w:rPr>
          <w:rFonts w:ascii="Arial" w:hAnsi="Arial" w:cs="Arial"/>
          <w:sz w:val="24"/>
          <w:szCs w:val="32"/>
        </w:rPr>
        <w:t>ese observations are</w:t>
      </w:r>
      <w:r w:rsidR="00FE4D39" w:rsidRPr="00543353">
        <w:rPr>
          <w:rFonts w:ascii="Arial" w:hAnsi="Arial" w:cs="Arial"/>
          <w:sz w:val="24"/>
          <w:szCs w:val="32"/>
        </w:rPr>
        <w:t xml:space="preserve"> consistent with </w:t>
      </w:r>
      <w:r w:rsidR="00A70663" w:rsidRPr="00543353">
        <w:rPr>
          <w:rFonts w:ascii="Arial" w:hAnsi="Arial" w:cs="Arial"/>
          <w:sz w:val="24"/>
          <w:szCs w:val="32"/>
        </w:rPr>
        <w:t xml:space="preserve">the </w:t>
      </w:r>
      <w:r w:rsidR="002D4828" w:rsidRPr="00543353">
        <w:rPr>
          <w:rFonts w:ascii="Arial" w:hAnsi="Arial" w:cs="Arial"/>
          <w:sz w:val="24"/>
          <w:szCs w:val="32"/>
        </w:rPr>
        <w:t xml:space="preserve">size </w:t>
      </w:r>
      <w:r w:rsidR="00A70663" w:rsidRPr="00543353">
        <w:rPr>
          <w:rFonts w:ascii="Arial" w:hAnsi="Arial" w:cs="Arial"/>
          <w:sz w:val="24"/>
          <w:szCs w:val="32"/>
        </w:rPr>
        <w:t>of the genic region in the human genome</w:t>
      </w:r>
      <w:r w:rsidR="002D4828" w:rsidRPr="00543353">
        <w:rPr>
          <w:rFonts w:ascii="Arial" w:hAnsi="Arial" w:cs="Arial"/>
          <w:sz w:val="24"/>
          <w:szCs w:val="32"/>
        </w:rPr>
        <w:t>.</w:t>
      </w:r>
      <w:r w:rsidR="00A70663" w:rsidRPr="00543353">
        <w:rPr>
          <w:rFonts w:ascii="Arial" w:hAnsi="Arial" w:cs="Arial"/>
          <w:sz w:val="24"/>
          <w:szCs w:val="32"/>
        </w:rPr>
        <w:t xml:space="preserve"> </w:t>
      </w:r>
      <w:r w:rsidR="002D4828" w:rsidRPr="00543353">
        <w:rPr>
          <w:rFonts w:ascii="Arial" w:hAnsi="Arial" w:cs="Arial"/>
          <w:sz w:val="24"/>
          <w:szCs w:val="32"/>
        </w:rPr>
        <w:t xml:space="preserve">TDs </w:t>
      </w:r>
      <w:r w:rsidR="00A70663" w:rsidRPr="00543353">
        <w:rPr>
          <w:rFonts w:ascii="Arial" w:hAnsi="Arial" w:cs="Arial"/>
          <w:sz w:val="24"/>
          <w:szCs w:val="32"/>
        </w:rPr>
        <w:t>were not enriched in genes.</w:t>
      </w:r>
    </w:p>
    <w:p w14:paraId="20CC9E90" w14:textId="4F996984" w:rsidR="00AB6D2B" w:rsidRPr="00543353" w:rsidRDefault="00AB6D2B">
      <w:pPr>
        <w:widowControl/>
        <w:jc w:val="left"/>
      </w:pPr>
      <w:r w:rsidRPr="00543353">
        <w:br w:type="page"/>
      </w:r>
    </w:p>
    <w:p w14:paraId="34B04BB0" w14:textId="71F9E03E" w:rsidR="00AB6D2B" w:rsidRPr="00543353" w:rsidRDefault="00AB6D2B" w:rsidP="00AB6D2B">
      <w:pPr>
        <w:rPr>
          <w:rFonts w:ascii="Arial" w:hAnsi="Arial" w:cs="Arial"/>
          <w:b/>
          <w:bCs/>
        </w:rPr>
      </w:pPr>
      <w:r w:rsidRPr="00543353">
        <w:rPr>
          <w:rFonts w:ascii="Arial" w:hAnsi="Arial" w:cs="Arial"/>
          <w:b/>
          <w:bCs/>
        </w:rPr>
        <w:lastRenderedPageBreak/>
        <w:t>References</w:t>
      </w:r>
    </w:p>
    <w:p w14:paraId="2FA8950E" w14:textId="716B18DE" w:rsidR="00AB6D2B" w:rsidRPr="00543353" w:rsidRDefault="00AB6D2B" w:rsidP="00AB6D2B">
      <w:pPr>
        <w:autoSpaceDE w:val="0"/>
        <w:autoSpaceDN w:val="0"/>
        <w:adjustRightInd w:val="0"/>
        <w:jc w:val="left"/>
        <w:rPr>
          <w:rFonts w:ascii="Arial" w:hAnsi="Arial" w:cs="Arial"/>
          <w:noProof/>
          <w:kern w:val="0"/>
          <w:szCs w:val="21"/>
        </w:rPr>
      </w:pPr>
      <w:r w:rsidRPr="00543353">
        <w:rPr>
          <w:rFonts w:ascii="Calibri" w:hAnsi="Calibri" w:cs="Calibri"/>
          <w:szCs w:val="21"/>
        </w:rPr>
        <w:t>﻿</w:t>
      </w:r>
      <w:r w:rsidRPr="00543353">
        <w:rPr>
          <w:rFonts w:ascii="Arial" w:hAnsi="Arial" w:cs="Arial"/>
          <w:szCs w:val="21"/>
        </w:rPr>
        <w:fldChar w:fldCharType="begin" w:fldLock="1"/>
      </w:r>
      <w:r w:rsidRPr="00543353">
        <w:rPr>
          <w:rFonts w:ascii="Arial" w:hAnsi="Arial" w:cs="Arial"/>
          <w:szCs w:val="21"/>
        </w:rPr>
        <w:instrText xml:space="preserve">ADDIN Mendeley Bibliography CSL_BIBLIOGRAPHY </w:instrText>
      </w:r>
      <w:r w:rsidRPr="00543353">
        <w:rPr>
          <w:rFonts w:ascii="Arial" w:hAnsi="Arial" w:cs="Arial"/>
          <w:szCs w:val="21"/>
        </w:rPr>
        <w:fldChar w:fldCharType="separate"/>
      </w:r>
      <w:r w:rsidRPr="00543353">
        <w:rPr>
          <w:rFonts w:ascii="Arial" w:hAnsi="Arial" w:cs="Arial"/>
          <w:noProof/>
          <w:kern w:val="0"/>
          <w:szCs w:val="21"/>
        </w:rPr>
        <w:t>1. Thorvaldsdóttir H, Robinson JT, Mesirov JP. Integrative Genomics Viewer (IGV): High-performance genomics data visualization and exploration. Brief Bioinform. 2013;14:178–92. https://doi.org/10.1093/bib/bbs017.</w:t>
      </w:r>
    </w:p>
    <w:p w14:paraId="73C7F995" w14:textId="311BB375" w:rsidR="00AB6D2B" w:rsidRDefault="00AB6D2B" w:rsidP="00AB6D2B">
      <w:pPr>
        <w:autoSpaceDE w:val="0"/>
        <w:autoSpaceDN w:val="0"/>
        <w:adjustRightInd w:val="0"/>
        <w:jc w:val="left"/>
        <w:rPr>
          <w:rFonts w:ascii="Arial" w:hAnsi="Arial" w:cs="Arial"/>
        </w:rPr>
      </w:pPr>
      <w:r w:rsidRPr="00543353">
        <w:rPr>
          <w:rFonts w:ascii="Arial" w:hAnsi="Arial" w:cs="Arial"/>
          <w:szCs w:val="21"/>
        </w:rPr>
        <w:fldChar w:fldCharType="end"/>
      </w:r>
      <w:r w:rsidRPr="00543353">
        <w:rPr>
          <w:rFonts w:ascii="Arial" w:hAnsi="Arial" w:cs="Arial"/>
        </w:rPr>
        <w:t xml:space="preserve">2. Genome Browser. </w:t>
      </w:r>
      <w:hyperlink r:id="rId13" w:history="1">
        <w:r w:rsidRPr="00543353">
          <w:rPr>
            <w:rStyle w:val="Hyperlink"/>
            <w:rFonts w:ascii="Arial" w:hAnsi="Arial" w:cs="Arial"/>
          </w:rPr>
          <w:t>https://genome.ucsc.edu/index.html</w:t>
        </w:r>
      </w:hyperlink>
      <w:r w:rsidRPr="00543353">
        <w:rPr>
          <w:rFonts w:ascii="Arial" w:hAnsi="Arial" w:cs="Arial" w:hint="eastAsia"/>
        </w:rPr>
        <w:t>.</w:t>
      </w:r>
      <w:r w:rsidRPr="00543353">
        <w:rPr>
          <w:rFonts w:ascii="Arial" w:hAnsi="Arial" w:cs="Arial"/>
        </w:rPr>
        <w:t xml:space="preserve"> Accessed 17 October 2022.</w:t>
      </w:r>
    </w:p>
    <w:p w14:paraId="0EC06CCB" w14:textId="77777777" w:rsidR="00AB6D2B" w:rsidRPr="00AB6D2B" w:rsidRDefault="00AB6D2B" w:rsidP="00AB6D2B">
      <w:pPr>
        <w:autoSpaceDE w:val="0"/>
        <w:autoSpaceDN w:val="0"/>
        <w:adjustRightInd w:val="0"/>
        <w:jc w:val="left"/>
        <w:rPr>
          <w:rFonts w:ascii="Arial" w:hAnsi="Arial" w:cs="Arial"/>
        </w:rPr>
      </w:pPr>
    </w:p>
    <w:sectPr w:rsidR="00AB6D2B" w:rsidRPr="00AB6D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Gothic"/>
    <w:charset w:val="80"/>
    <w:family w:val="roman"/>
    <w:pitch w:val="variable"/>
    <w:sig w:usb0="00000000"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hideSpellingErrors/>
  <w:hideGrammaticalErrors/>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7A5"/>
    <w:rsid w:val="000205F9"/>
    <w:rsid w:val="00021A9B"/>
    <w:rsid w:val="000270D4"/>
    <w:rsid w:val="000273BB"/>
    <w:rsid w:val="0005491F"/>
    <w:rsid w:val="000577D6"/>
    <w:rsid w:val="00075393"/>
    <w:rsid w:val="00094CCD"/>
    <w:rsid w:val="000B68A6"/>
    <w:rsid w:val="000C5107"/>
    <w:rsid w:val="000C517B"/>
    <w:rsid w:val="000C54A1"/>
    <w:rsid w:val="000F299C"/>
    <w:rsid w:val="00103629"/>
    <w:rsid w:val="00107AAF"/>
    <w:rsid w:val="00113F3A"/>
    <w:rsid w:val="00114FD1"/>
    <w:rsid w:val="00115FA2"/>
    <w:rsid w:val="001267C6"/>
    <w:rsid w:val="00136108"/>
    <w:rsid w:val="00136431"/>
    <w:rsid w:val="00141695"/>
    <w:rsid w:val="0016347F"/>
    <w:rsid w:val="00163F5B"/>
    <w:rsid w:val="001645BB"/>
    <w:rsid w:val="00167B26"/>
    <w:rsid w:val="0017071D"/>
    <w:rsid w:val="00194651"/>
    <w:rsid w:val="0019637C"/>
    <w:rsid w:val="001C4BAD"/>
    <w:rsid w:val="001C5FE4"/>
    <w:rsid w:val="001F59CE"/>
    <w:rsid w:val="00217F61"/>
    <w:rsid w:val="00226510"/>
    <w:rsid w:val="002317A5"/>
    <w:rsid w:val="00234E74"/>
    <w:rsid w:val="00237AD3"/>
    <w:rsid w:val="002465FF"/>
    <w:rsid w:val="0025402F"/>
    <w:rsid w:val="00257C73"/>
    <w:rsid w:val="00281462"/>
    <w:rsid w:val="002A2598"/>
    <w:rsid w:val="002A69DC"/>
    <w:rsid w:val="002A7B87"/>
    <w:rsid w:val="002B41E9"/>
    <w:rsid w:val="002D23C1"/>
    <w:rsid w:val="002D4828"/>
    <w:rsid w:val="002F2EB1"/>
    <w:rsid w:val="002F3288"/>
    <w:rsid w:val="002F4540"/>
    <w:rsid w:val="002F5F66"/>
    <w:rsid w:val="003043CC"/>
    <w:rsid w:val="00304E30"/>
    <w:rsid w:val="003134DF"/>
    <w:rsid w:val="0031621C"/>
    <w:rsid w:val="0032055A"/>
    <w:rsid w:val="00330075"/>
    <w:rsid w:val="003512ED"/>
    <w:rsid w:val="00360753"/>
    <w:rsid w:val="003804D4"/>
    <w:rsid w:val="00382516"/>
    <w:rsid w:val="0038341C"/>
    <w:rsid w:val="003970C3"/>
    <w:rsid w:val="003B19D9"/>
    <w:rsid w:val="003B7721"/>
    <w:rsid w:val="003C0CB5"/>
    <w:rsid w:val="003E7B5E"/>
    <w:rsid w:val="003F34C1"/>
    <w:rsid w:val="00401B40"/>
    <w:rsid w:val="004132A4"/>
    <w:rsid w:val="00427549"/>
    <w:rsid w:val="00431A22"/>
    <w:rsid w:val="00443B35"/>
    <w:rsid w:val="0045165B"/>
    <w:rsid w:val="0045332A"/>
    <w:rsid w:val="004540EB"/>
    <w:rsid w:val="00475BA4"/>
    <w:rsid w:val="00486BBF"/>
    <w:rsid w:val="004961FF"/>
    <w:rsid w:val="004A1DD5"/>
    <w:rsid w:val="004B1EF0"/>
    <w:rsid w:val="004C1BAF"/>
    <w:rsid w:val="004C4388"/>
    <w:rsid w:val="004C7E77"/>
    <w:rsid w:val="004D6B46"/>
    <w:rsid w:val="004E05AE"/>
    <w:rsid w:val="00506224"/>
    <w:rsid w:val="00520708"/>
    <w:rsid w:val="00523C75"/>
    <w:rsid w:val="005247B9"/>
    <w:rsid w:val="005304CF"/>
    <w:rsid w:val="005414C6"/>
    <w:rsid w:val="00543353"/>
    <w:rsid w:val="00555483"/>
    <w:rsid w:val="005569F7"/>
    <w:rsid w:val="005634B7"/>
    <w:rsid w:val="00564ED8"/>
    <w:rsid w:val="005673DE"/>
    <w:rsid w:val="005851B2"/>
    <w:rsid w:val="0059071C"/>
    <w:rsid w:val="005A2F30"/>
    <w:rsid w:val="005C3523"/>
    <w:rsid w:val="005D045F"/>
    <w:rsid w:val="005D55EC"/>
    <w:rsid w:val="005E0D91"/>
    <w:rsid w:val="005E17F2"/>
    <w:rsid w:val="006011D9"/>
    <w:rsid w:val="006107DB"/>
    <w:rsid w:val="006426B6"/>
    <w:rsid w:val="006479DA"/>
    <w:rsid w:val="0065369A"/>
    <w:rsid w:val="0068011A"/>
    <w:rsid w:val="006C50A1"/>
    <w:rsid w:val="006C5900"/>
    <w:rsid w:val="006D4286"/>
    <w:rsid w:val="006E6A32"/>
    <w:rsid w:val="006F1625"/>
    <w:rsid w:val="006F4D1F"/>
    <w:rsid w:val="006F7661"/>
    <w:rsid w:val="00705746"/>
    <w:rsid w:val="00715950"/>
    <w:rsid w:val="00716F99"/>
    <w:rsid w:val="00720488"/>
    <w:rsid w:val="00720F0C"/>
    <w:rsid w:val="00724DD0"/>
    <w:rsid w:val="007255C0"/>
    <w:rsid w:val="00783F8A"/>
    <w:rsid w:val="007852BC"/>
    <w:rsid w:val="00793EAC"/>
    <w:rsid w:val="00794671"/>
    <w:rsid w:val="00794A07"/>
    <w:rsid w:val="007A0ADB"/>
    <w:rsid w:val="007A29C6"/>
    <w:rsid w:val="007B78A0"/>
    <w:rsid w:val="007D3B2A"/>
    <w:rsid w:val="007D55E4"/>
    <w:rsid w:val="007F4B9F"/>
    <w:rsid w:val="008136A0"/>
    <w:rsid w:val="00816B36"/>
    <w:rsid w:val="008239B0"/>
    <w:rsid w:val="00833458"/>
    <w:rsid w:val="00846FD8"/>
    <w:rsid w:val="008526F1"/>
    <w:rsid w:val="0086504B"/>
    <w:rsid w:val="008653B6"/>
    <w:rsid w:val="008762FD"/>
    <w:rsid w:val="008837DA"/>
    <w:rsid w:val="00883F05"/>
    <w:rsid w:val="00887F35"/>
    <w:rsid w:val="008B1568"/>
    <w:rsid w:val="008B428C"/>
    <w:rsid w:val="008B6E6B"/>
    <w:rsid w:val="008E4063"/>
    <w:rsid w:val="008E692F"/>
    <w:rsid w:val="009029D4"/>
    <w:rsid w:val="00905433"/>
    <w:rsid w:val="009069D5"/>
    <w:rsid w:val="0092795F"/>
    <w:rsid w:val="0094705F"/>
    <w:rsid w:val="00961A34"/>
    <w:rsid w:val="009A120B"/>
    <w:rsid w:val="009B4134"/>
    <w:rsid w:val="009D3458"/>
    <w:rsid w:val="009D3EC4"/>
    <w:rsid w:val="009F04B6"/>
    <w:rsid w:val="009F0D53"/>
    <w:rsid w:val="009F7D51"/>
    <w:rsid w:val="00A008B1"/>
    <w:rsid w:val="00A06FA1"/>
    <w:rsid w:val="00A133D7"/>
    <w:rsid w:val="00A13872"/>
    <w:rsid w:val="00A23ACD"/>
    <w:rsid w:val="00A410A9"/>
    <w:rsid w:val="00A50C54"/>
    <w:rsid w:val="00A56554"/>
    <w:rsid w:val="00A6061D"/>
    <w:rsid w:val="00A70663"/>
    <w:rsid w:val="00A83646"/>
    <w:rsid w:val="00A8625A"/>
    <w:rsid w:val="00A90ECA"/>
    <w:rsid w:val="00A97DCD"/>
    <w:rsid w:val="00AB47EF"/>
    <w:rsid w:val="00AB5E62"/>
    <w:rsid w:val="00AB6D2B"/>
    <w:rsid w:val="00AC159C"/>
    <w:rsid w:val="00AC7229"/>
    <w:rsid w:val="00AD00AC"/>
    <w:rsid w:val="00AE2336"/>
    <w:rsid w:val="00AF3925"/>
    <w:rsid w:val="00AF3E9B"/>
    <w:rsid w:val="00AF54EB"/>
    <w:rsid w:val="00B0359D"/>
    <w:rsid w:val="00B07EEE"/>
    <w:rsid w:val="00B147E9"/>
    <w:rsid w:val="00B20858"/>
    <w:rsid w:val="00B466E8"/>
    <w:rsid w:val="00B5007D"/>
    <w:rsid w:val="00B56004"/>
    <w:rsid w:val="00B57F57"/>
    <w:rsid w:val="00B656A0"/>
    <w:rsid w:val="00B750CF"/>
    <w:rsid w:val="00B82D27"/>
    <w:rsid w:val="00B8438D"/>
    <w:rsid w:val="00B9340D"/>
    <w:rsid w:val="00B9557B"/>
    <w:rsid w:val="00B96B27"/>
    <w:rsid w:val="00BA1667"/>
    <w:rsid w:val="00BA2E66"/>
    <w:rsid w:val="00BC7232"/>
    <w:rsid w:val="00BF2082"/>
    <w:rsid w:val="00C00951"/>
    <w:rsid w:val="00C470F2"/>
    <w:rsid w:val="00C93321"/>
    <w:rsid w:val="00CA4E9B"/>
    <w:rsid w:val="00CA5B7C"/>
    <w:rsid w:val="00CB0904"/>
    <w:rsid w:val="00CB257D"/>
    <w:rsid w:val="00CB4E0B"/>
    <w:rsid w:val="00CC5F01"/>
    <w:rsid w:val="00CD0056"/>
    <w:rsid w:val="00CD1AAA"/>
    <w:rsid w:val="00CD6012"/>
    <w:rsid w:val="00CE4BE6"/>
    <w:rsid w:val="00CE5E39"/>
    <w:rsid w:val="00CF2885"/>
    <w:rsid w:val="00D25D8D"/>
    <w:rsid w:val="00D54313"/>
    <w:rsid w:val="00D64ADB"/>
    <w:rsid w:val="00D66D3F"/>
    <w:rsid w:val="00D701E3"/>
    <w:rsid w:val="00D74D2B"/>
    <w:rsid w:val="00D75F1B"/>
    <w:rsid w:val="00DC3BE3"/>
    <w:rsid w:val="00DE6703"/>
    <w:rsid w:val="00DF17CF"/>
    <w:rsid w:val="00DF7229"/>
    <w:rsid w:val="00E0070A"/>
    <w:rsid w:val="00E02E91"/>
    <w:rsid w:val="00E36DC3"/>
    <w:rsid w:val="00E50318"/>
    <w:rsid w:val="00E930C5"/>
    <w:rsid w:val="00EA2AFF"/>
    <w:rsid w:val="00EA5AD0"/>
    <w:rsid w:val="00EC142F"/>
    <w:rsid w:val="00EC206D"/>
    <w:rsid w:val="00EC760D"/>
    <w:rsid w:val="00EE05C2"/>
    <w:rsid w:val="00EF0733"/>
    <w:rsid w:val="00EF20BB"/>
    <w:rsid w:val="00F015B7"/>
    <w:rsid w:val="00F120A0"/>
    <w:rsid w:val="00F222C5"/>
    <w:rsid w:val="00F36265"/>
    <w:rsid w:val="00F413D4"/>
    <w:rsid w:val="00F46F7E"/>
    <w:rsid w:val="00F51330"/>
    <w:rsid w:val="00F77AD9"/>
    <w:rsid w:val="00F91C9A"/>
    <w:rsid w:val="00FA2C18"/>
    <w:rsid w:val="00FB69A9"/>
    <w:rsid w:val="00FB7162"/>
    <w:rsid w:val="00FC2751"/>
    <w:rsid w:val="00FC665C"/>
    <w:rsid w:val="00FD7D1C"/>
    <w:rsid w:val="00FE4D39"/>
    <w:rsid w:val="00FF2734"/>
    <w:rsid w:val="00FF2B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94B1DA"/>
  <w15:chartTrackingRefBased/>
  <w15:docId w15:val="{0D32020F-8013-4046-A134-0AA87CC98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7A5"/>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2317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317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317A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317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2317A5"/>
    <w:rPr>
      <w:rFonts w:ascii="MS Mincho" w:eastAsia="MS Mincho"/>
      <w:sz w:val="18"/>
      <w:szCs w:val="18"/>
    </w:rPr>
  </w:style>
  <w:style w:type="character" w:customStyle="1" w:styleId="BalloonTextChar">
    <w:name w:val="Balloon Text Char"/>
    <w:basedOn w:val="DefaultParagraphFont"/>
    <w:link w:val="BalloonText"/>
    <w:uiPriority w:val="99"/>
    <w:semiHidden/>
    <w:rsid w:val="002317A5"/>
    <w:rPr>
      <w:rFonts w:ascii="MS Mincho" w:eastAsia="MS Mincho"/>
      <w:sz w:val="18"/>
      <w:szCs w:val="18"/>
    </w:rPr>
  </w:style>
  <w:style w:type="paragraph" w:styleId="Revision">
    <w:name w:val="Revision"/>
    <w:hidden/>
    <w:uiPriority w:val="99"/>
    <w:semiHidden/>
    <w:rsid w:val="00816B36"/>
  </w:style>
  <w:style w:type="character" w:styleId="Hyperlink">
    <w:name w:val="Hyperlink"/>
    <w:basedOn w:val="DefaultParagraphFont"/>
    <w:uiPriority w:val="99"/>
    <w:unhideWhenUsed/>
    <w:rsid w:val="00AB6D2B"/>
    <w:rPr>
      <w:color w:val="0563C1" w:themeColor="hyperlink"/>
      <w:u w:val="single"/>
    </w:rPr>
  </w:style>
  <w:style w:type="character" w:customStyle="1" w:styleId="UnresolvedMention">
    <w:name w:val="Unresolved Mention"/>
    <w:basedOn w:val="DefaultParagraphFont"/>
    <w:uiPriority w:val="99"/>
    <w:semiHidden/>
    <w:unhideWhenUsed/>
    <w:rsid w:val="00AB6D2B"/>
    <w:rPr>
      <w:color w:val="605E5C"/>
      <w:shd w:val="clear" w:color="auto" w:fill="E1DFDD"/>
    </w:rPr>
  </w:style>
  <w:style w:type="character" w:styleId="PlaceholderText">
    <w:name w:val="Placeholder Text"/>
    <w:basedOn w:val="DefaultParagraphFont"/>
    <w:uiPriority w:val="99"/>
    <w:semiHidden/>
    <w:rsid w:val="002A69DC"/>
    <w:rPr>
      <w:color w:val="808080"/>
    </w:rPr>
  </w:style>
  <w:style w:type="character" w:styleId="CommentReference">
    <w:name w:val="annotation reference"/>
    <w:basedOn w:val="DefaultParagraphFont"/>
    <w:uiPriority w:val="99"/>
    <w:semiHidden/>
    <w:unhideWhenUsed/>
    <w:rsid w:val="00FA2C18"/>
    <w:rPr>
      <w:sz w:val="18"/>
      <w:szCs w:val="18"/>
    </w:rPr>
  </w:style>
  <w:style w:type="paragraph" w:styleId="CommentText">
    <w:name w:val="annotation text"/>
    <w:basedOn w:val="Normal"/>
    <w:link w:val="CommentTextChar"/>
    <w:uiPriority w:val="99"/>
    <w:semiHidden/>
    <w:unhideWhenUsed/>
    <w:rsid w:val="00FA2C18"/>
    <w:pPr>
      <w:jc w:val="left"/>
    </w:pPr>
  </w:style>
  <w:style w:type="character" w:customStyle="1" w:styleId="CommentTextChar">
    <w:name w:val="Comment Text Char"/>
    <w:basedOn w:val="DefaultParagraphFont"/>
    <w:link w:val="CommentText"/>
    <w:uiPriority w:val="99"/>
    <w:semiHidden/>
    <w:rsid w:val="00FA2C18"/>
  </w:style>
  <w:style w:type="paragraph" w:styleId="CommentSubject">
    <w:name w:val="annotation subject"/>
    <w:basedOn w:val="CommentText"/>
    <w:next w:val="CommentText"/>
    <w:link w:val="CommentSubjectChar"/>
    <w:uiPriority w:val="99"/>
    <w:semiHidden/>
    <w:unhideWhenUsed/>
    <w:rsid w:val="00FA2C18"/>
    <w:rPr>
      <w:b/>
      <w:bCs/>
    </w:rPr>
  </w:style>
  <w:style w:type="character" w:customStyle="1" w:styleId="CommentSubjectChar">
    <w:name w:val="Comment Subject Char"/>
    <w:basedOn w:val="CommentTextChar"/>
    <w:link w:val="CommentSubject"/>
    <w:uiPriority w:val="99"/>
    <w:semiHidden/>
    <w:rsid w:val="00FA2C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862360">
      <w:bodyDiv w:val="1"/>
      <w:marLeft w:val="0"/>
      <w:marRight w:val="0"/>
      <w:marTop w:val="0"/>
      <w:marBottom w:val="0"/>
      <w:divBdr>
        <w:top w:val="none" w:sz="0" w:space="0" w:color="auto"/>
        <w:left w:val="none" w:sz="0" w:space="0" w:color="auto"/>
        <w:bottom w:val="none" w:sz="0" w:space="0" w:color="auto"/>
        <w:right w:val="none" w:sz="0" w:space="0" w:color="auto"/>
      </w:divBdr>
    </w:div>
    <w:div w:id="766586000">
      <w:bodyDiv w:val="1"/>
      <w:marLeft w:val="0"/>
      <w:marRight w:val="0"/>
      <w:marTop w:val="0"/>
      <w:marBottom w:val="0"/>
      <w:divBdr>
        <w:top w:val="none" w:sz="0" w:space="0" w:color="auto"/>
        <w:left w:val="none" w:sz="0" w:space="0" w:color="auto"/>
        <w:bottom w:val="none" w:sz="0" w:space="0" w:color="auto"/>
        <w:right w:val="none" w:sz="0" w:space="0" w:color="auto"/>
      </w:divBdr>
    </w:div>
    <w:div w:id="1018242141">
      <w:bodyDiv w:val="1"/>
      <w:marLeft w:val="0"/>
      <w:marRight w:val="0"/>
      <w:marTop w:val="0"/>
      <w:marBottom w:val="0"/>
      <w:divBdr>
        <w:top w:val="none" w:sz="0" w:space="0" w:color="auto"/>
        <w:left w:val="none" w:sz="0" w:space="0" w:color="auto"/>
        <w:bottom w:val="none" w:sz="0" w:space="0" w:color="auto"/>
        <w:right w:val="none" w:sz="0" w:space="0" w:color="auto"/>
      </w:divBdr>
    </w:div>
    <w:div w:id="1187405966">
      <w:bodyDiv w:val="1"/>
      <w:marLeft w:val="0"/>
      <w:marRight w:val="0"/>
      <w:marTop w:val="0"/>
      <w:marBottom w:val="0"/>
      <w:divBdr>
        <w:top w:val="none" w:sz="0" w:space="0" w:color="auto"/>
        <w:left w:val="none" w:sz="0" w:space="0" w:color="auto"/>
        <w:bottom w:val="none" w:sz="0" w:space="0" w:color="auto"/>
        <w:right w:val="none" w:sz="0" w:space="0" w:color="auto"/>
      </w:divBdr>
    </w:div>
    <w:div w:id="1459253423">
      <w:bodyDiv w:val="1"/>
      <w:marLeft w:val="0"/>
      <w:marRight w:val="0"/>
      <w:marTop w:val="0"/>
      <w:marBottom w:val="0"/>
      <w:divBdr>
        <w:top w:val="none" w:sz="0" w:space="0" w:color="auto"/>
        <w:left w:val="none" w:sz="0" w:space="0" w:color="auto"/>
        <w:bottom w:val="none" w:sz="0" w:space="0" w:color="auto"/>
        <w:right w:val="none" w:sz="0" w:space="0" w:color="auto"/>
      </w:divBdr>
    </w:div>
    <w:div w:id="20138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s://genome.ucsc.edu/index.html"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71F67-5FF2-42F5-B7FA-49509C2AC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1160</Words>
  <Characters>6613</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池本　滉</dc:creator>
  <cp:keywords/>
  <dc:description/>
  <cp:lastModifiedBy>SANDHYA R</cp:lastModifiedBy>
  <cp:revision>24</cp:revision>
  <dcterms:created xsi:type="dcterms:W3CDTF">2023-02-10T16:59:00Z</dcterms:created>
  <dcterms:modified xsi:type="dcterms:W3CDTF">2023-03-04T04:39:00Z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http://www.zotero.org/styles/genome-medicine</vt:lpwstr>
  </property>
  <property fmtid="{D5CDD505-2E9C-101B-9397-08002B2CF9AE}" pid="13" name="Mendeley Recent Style Name 5_1">
    <vt:lpwstr>Genome Medicine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48b233f3-dfde-3025-ae8a-3919096da16e</vt:lpwstr>
  </property>
  <property fmtid="{D5CDD505-2E9C-101B-9397-08002B2CF9AE}" pid="24" name="Mendeley Citation Style_1">
    <vt:lpwstr>http://www.zotero.org/styles/genome-medicine</vt:lpwstr>
  </property>
</Properties>
</file>