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946DF" w14:textId="3920A8F6" w:rsidR="008414C1" w:rsidRDefault="008414C1" w:rsidP="001142E1">
      <w:pPr>
        <w:rPr>
          <w:rFonts w:ascii="Arial Narrow" w:hAnsi="Arial Narrow"/>
          <w:b/>
          <w:bCs/>
          <w:lang w:val="en-US"/>
        </w:rPr>
      </w:pPr>
    </w:p>
    <w:p w14:paraId="34FEB7F0" w14:textId="2AE35279" w:rsidR="008414C1" w:rsidRDefault="008414C1" w:rsidP="00617C98">
      <w:pPr>
        <w:jc w:val="center"/>
        <w:rPr>
          <w:rFonts w:ascii="Arial Narrow" w:hAnsi="Arial Narrow"/>
          <w:b/>
          <w:bCs/>
          <w:lang w:val="en-US"/>
        </w:rPr>
      </w:pPr>
    </w:p>
    <w:p w14:paraId="6F93EFFA" w14:textId="12F04522" w:rsidR="008414C1" w:rsidRPr="00EA4C27" w:rsidRDefault="008414C1" w:rsidP="00EA4C27">
      <w:pPr>
        <w:pStyle w:val="Paragraphedeliste"/>
        <w:numPr>
          <w:ilvl w:val="0"/>
          <w:numId w:val="1"/>
        </w:numPr>
        <w:spacing w:line="480" w:lineRule="auto"/>
        <w:rPr>
          <w:rFonts w:ascii="Arial Narrow" w:hAnsi="Arial Narrow"/>
          <w:b/>
          <w:bCs/>
          <w:lang w:val="en-US"/>
        </w:rPr>
      </w:pPr>
      <w:r w:rsidRPr="00EA4C27">
        <w:rPr>
          <w:rFonts w:ascii="Arial Narrow" w:hAnsi="Arial Narrow"/>
          <w:b/>
          <w:bCs/>
          <w:lang w:val="en-US"/>
        </w:rPr>
        <w:t>3D structural analysis</w:t>
      </w:r>
      <w:r w:rsidR="00EA4C27" w:rsidRPr="00EA4C27">
        <w:rPr>
          <w:rFonts w:ascii="Arial Narrow" w:hAnsi="Arial Narrow"/>
          <w:b/>
          <w:bCs/>
          <w:lang w:val="en-US"/>
        </w:rPr>
        <w:t xml:space="preserve"> </w:t>
      </w:r>
      <w:r w:rsidR="00EA4C27">
        <w:rPr>
          <w:rFonts w:ascii="Arial Narrow" w:hAnsi="Arial Narrow"/>
          <w:b/>
          <w:bCs/>
          <w:lang w:val="en-US"/>
        </w:rPr>
        <w:t xml:space="preserve">supplemental </w:t>
      </w:r>
      <w:r w:rsidR="00EA4C27" w:rsidRPr="00EA4C27">
        <w:rPr>
          <w:rFonts w:ascii="Arial Narrow" w:hAnsi="Arial Narrow"/>
          <w:b/>
          <w:bCs/>
          <w:lang w:val="en-US"/>
        </w:rPr>
        <w:t>methods</w:t>
      </w:r>
    </w:p>
    <w:p w14:paraId="074587A0" w14:textId="5E00BC68" w:rsidR="008414C1" w:rsidRPr="002A2504" w:rsidRDefault="008414C1" w:rsidP="000F65A0">
      <w:pPr>
        <w:spacing w:line="480" w:lineRule="auto"/>
        <w:jc w:val="both"/>
        <w:rPr>
          <w:color w:val="000000" w:themeColor="text1"/>
          <w:lang w:val="en-US"/>
        </w:rPr>
      </w:pPr>
      <w:r w:rsidRPr="002A2504">
        <w:rPr>
          <w:color w:val="000000" w:themeColor="text1"/>
          <w:lang w:val="en-US"/>
        </w:rPr>
        <w:t>The experimental and predicte</w:t>
      </w:r>
      <w:r w:rsidR="009C78CA" w:rsidRPr="002A2504">
        <w:rPr>
          <w:color w:val="000000" w:themeColor="text1"/>
          <w:lang w:val="en-US"/>
        </w:rPr>
        <w:t>d 3D structures were prepared and</w:t>
      </w:r>
      <w:r w:rsidRPr="002A2504">
        <w:rPr>
          <w:color w:val="000000" w:themeColor="text1"/>
          <w:lang w:val="en-US"/>
        </w:rPr>
        <w:t xml:space="preserve"> analyzed with Chimera (e.g., adding missing amino acid side chains and hydrogen atoms, short energy minimization, visualization) </w:t>
      </w:r>
      <w:r w:rsidR="006E1990">
        <w:rPr>
          <w:color w:val="000000" w:themeColor="text1"/>
          <w:lang w:val="en-US"/>
        </w:rPr>
        <w:fldChar w:fldCharType="begin"/>
      </w:r>
      <w:r w:rsidR="006E1990">
        <w:rPr>
          <w:color w:val="000000" w:themeColor="text1"/>
          <w:lang w:val="en-US"/>
        </w:rPr>
        <w:instrText xml:space="preserve"> ADDIN ZOTERO_ITEM CSL_CITATION {"citationID":"mKYg1Ot0","properties":{"formattedCitation":"(1)","plainCitation":"(1)","noteIndex":0},"citationItems":[{"id":3541,"uris":["http://zotero.org/users/1901135/items/JQ4P3I7Q"],"itemData":{"id":3541,"type":"article-journal","abstract":"The design, implementation, and capabilities of an extensible visualization system, UCSF Chimera, are discussed. Chimera is segmented into a core that provides basic services and visualization, and extensions that provide most higher level functionality. This architecture ensures that the extension mechanism satisfies the demands of outside developers who wish to incorporate new features. Two unusual extensions are presented: Multiscale, which adds the ability to visualize large-scale molecular assemblies such as viral coats, and Collaboratory, which allows researchers to share a Chimera session interactively despite being at separate locales. Other extensions include Multalign Viewer, for showing multiple sequence alignments and associated structures; ViewDock, for screening docked ligand orientations; Movie, for replaying molecular dynamics trajectories; and Volume Viewer, for display and analysis of volumetric data. A discussion of the usage of Chimera in real-world situations is given, along with anticipated future directions. Chimera includes full user documentation, is free to academic and nonprofit users, and is available for Microsoft Windows, Linux, Apple Mac OS X, SGI IRIX, and HP Tru64 Unix from http://www.cgl.ucsf.edu/chimera/.","container-title":"Journal of Computational Chemistry","DOI":"10.1002/jcc.20084","ISSN":"0192-8651","issue":"13","journalAbbreviation":"J Comput Chem","language":"eng","note":"PMID: 15264254","page":"1605-1612","source":"PubMed","title":"UCSF Chimera--a visualization system for exploratory research and analysis","volume":"25","author":[{"family":"Pettersen","given":"Eric F."},{"family":"Goddard","given":"Thomas D."},{"family":"Huang","given":"Conrad C."},{"family":"Couch","given":"Gregory S."},{"family":"Greenblatt","given":"Daniel M."},{"family":"Meng","given":"Elaine C."},{"family":"Ferrin","given":"Thomas E."}],"issued":{"date-parts":[["2004",10]]}}}],"schema":"https://github.com/citation-style-language/schema/raw/master/csl-citation.json"} </w:instrText>
      </w:r>
      <w:r w:rsidR="006E1990">
        <w:rPr>
          <w:color w:val="000000" w:themeColor="text1"/>
          <w:lang w:val="en-US"/>
        </w:rPr>
        <w:fldChar w:fldCharType="separate"/>
      </w:r>
      <w:r w:rsidR="006E1990">
        <w:rPr>
          <w:noProof/>
          <w:color w:val="000000" w:themeColor="text1"/>
          <w:lang w:val="en-US"/>
        </w:rPr>
        <w:t>(1)</w:t>
      </w:r>
      <w:r w:rsidR="006E1990">
        <w:rPr>
          <w:color w:val="000000" w:themeColor="text1"/>
          <w:lang w:val="en-US"/>
        </w:rPr>
        <w:fldChar w:fldCharType="end"/>
      </w:r>
      <w:r w:rsidR="006E1990">
        <w:rPr>
          <w:color w:val="000000" w:themeColor="text1"/>
          <w:lang w:val="en-US"/>
        </w:rPr>
        <w:t xml:space="preserve"> </w:t>
      </w:r>
      <w:r w:rsidR="00875DF7">
        <w:rPr>
          <w:color w:val="000000" w:themeColor="text1"/>
          <w:lang w:val="en-US"/>
        </w:rPr>
        <w:fldChar w:fldCharType="begin"/>
      </w:r>
      <w:r w:rsidR="00875DF7">
        <w:rPr>
          <w:color w:val="000000" w:themeColor="text1"/>
          <w:lang w:val="en-US"/>
        </w:rPr>
        <w:instrText xml:space="preserve"> ADDIN ZOTERO_ITEM CSL_CITATION {"citationID":"NE1y54pM","properties":{"formattedCitation":"(2)","plainCitation":"(2)","noteIndex":0},"citationItems":[{"id":3544,"uris":["http://zotero.org/users/1901135/items/NXIWH3GF"],"itemData":{"id":3544,"type":"article-journal","abstract":"UCSF ChimeraX is the next-generation interactive visualization program from the Resource for Biocomputing, Visualization, and Informatics (RBVI), following UCSF Chimera. ChimeraX brings (a) significant performance and graphics enhancements; (b) new implementations of Chimera's most highly used tools, many with further improvements; (c) several entirely new analysis features; (d) support for new areas such as virtual reality, light-sheet microscopy, and medical imaging data; (e) major ease-of-use advances, including toolbars with icons to perform actions with a single click, basic \"undo\" capabilities, and more logical and consistent commands; and (f) an app store for researchers to contribute new tools. ChimeraX includes full user documentation and is free for noncommercial use, with downloads available for Windows, Linux, and macOS from https://www.rbvi.ucsf.edu/chimerax.","container-title":"Protein Science: A Publication of the Protein Society","DOI":"10.1002/pro.3943","ISSN":"1469-896X","issue":"1","journalAbbreviation":"Protein Sci","language":"eng","note":"PMID: 32881101\nPMCID: PMC7737788","page":"70-82","source":"PubMed","title":"UCSF ChimeraX: Structure visualization for researchers, educators, and developers","title-short":"UCSF ChimeraX","volume":"30","author":[{"family":"Pettersen","given":"Eric F."},{"family":"Goddard","given":"Thomas D."},{"family":"Huang","given":"Conrad C."},{"family":"Meng","given":"Elaine C."},{"family":"Couch","given":"Gregory S."},{"family":"Croll","given":"Tristan I."},{"family":"Morris","given":"John H."},{"family":"Ferrin","given":"Thomas E."}],"issued":{"date-parts":[["2021",1]]}}}],"schema":"https://github.com/citation-style-language/schema/raw/master/csl-citation.json"} </w:instrText>
      </w:r>
      <w:r w:rsidR="00875DF7">
        <w:rPr>
          <w:color w:val="000000" w:themeColor="text1"/>
          <w:lang w:val="en-US"/>
        </w:rPr>
        <w:fldChar w:fldCharType="separate"/>
      </w:r>
      <w:r w:rsidR="00875DF7">
        <w:rPr>
          <w:noProof/>
          <w:color w:val="000000" w:themeColor="text1"/>
          <w:lang w:val="en-US"/>
        </w:rPr>
        <w:t>(2)</w:t>
      </w:r>
      <w:r w:rsidR="00875DF7">
        <w:rPr>
          <w:color w:val="000000" w:themeColor="text1"/>
          <w:lang w:val="en-US"/>
        </w:rPr>
        <w:fldChar w:fldCharType="end"/>
      </w:r>
      <w:r w:rsidR="00875DF7">
        <w:rPr>
          <w:color w:val="000000" w:themeColor="text1"/>
          <w:lang w:val="en-US"/>
        </w:rPr>
        <w:t xml:space="preserve"> </w:t>
      </w:r>
      <w:r w:rsidRPr="002A2504">
        <w:rPr>
          <w:color w:val="000000" w:themeColor="text1"/>
          <w:lang w:val="en-US"/>
        </w:rPr>
        <w:t xml:space="preserve">and </w:t>
      </w:r>
      <w:proofErr w:type="spellStart"/>
      <w:r w:rsidRPr="002A2504">
        <w:rPr>
          <w:color w:val="000000" w:themeColor="text1"/>
          <w:lang w:val="en-US"/>
        </w:rPr>
        <w:t>PyMol</w:t>
      </w:r>
      <w:proofErr w:type="spellEnd"/>
      <w:r w:rsidRPr="002A2504">
        <w:rPr>
          <w:color w:val="000000" w:themeColor="text1"/>
          <w:lang w:val="en-US"/>
        </w:rPr>
        <w:t xml:space="preserve"> (e.g., interactive structural analysis, relative solvent-accessibility, figures’ generation) (</w:t>
      </w:r>
      <w:proofErr w:type="spellStart"/>
      <w:r w:rsidRPr="002A2504">
        <w:rPr>
          <w:color w:val="000000" w:themeColor="text1"/>
          <w:lang w:val="en-US"/>
        </w:rPr>
        <w:t>PyMOL</w:t>
      </w:r>
      <w:proofErr w:type="spellEnd"/>
      <w:r w:rsidRPr="002A2504">
        <w:rPr>
          <w:color w:val="000000" w:themeColor="text1"/>
          <w:lang w:val="en-US"/>
        </w:rPr>
        <w:t xml:space="preserve"> Molecular Graphics System, Schrödinger, LLC, USA). Protein stability predictions were computed with the DUET server</w:t>
      </w:r>
      <w:r w:rsidR="00875DF7">
        <w:rPr>
          <w:color w:val="000000" w:themeColor="text1"/>
          <w:lang w:val="en-US"/>
        </w:rPr>
        <w:t xml:space="preserve">. </w:t>
      </w:r>
      <w:r w:rsidR="005F2BE1">
        <w:rPr>
          <w:color w:val="000000" w:themeColor="text1"/>
          <w:lang w:val="en-US"/>
        </w:rPr>
        <w:fldChar w:fldCharType="begin"/>
      </w:r>
      <w:r w:rsidR="005F2BE1">
        <w:rPr>
          <w:color w:val="000000" w:themeColor="text1"/>
          <w:lang w:val="en-US"/>
        </w:rPr>
        <w:instrText xml:space="preserve"> ADDIN ZOTERO_ITEM CSL_CITATION {"citationID":"7ALv882a","properties":{"formattedCitation":"(3)","plainCitation":"(3)","noteIndex":0},"citationItems":[{"id":3549,"uris":["http://zotero.org/users/1901135/items/93AZPV2I"],"itemData":{"id":3549,"type":"article-journal","abstract":"Cancer genome and other sequencing initiatives are generating extensive data on non-synonymous single nucleotide polymorphisms (nsSNPs) in human and other genomes. In order to understand the impacts of nsSNPs on the structure and function of the proteome, as well as to guide protein engineering, accurate in silicomethodologies are required to study and predict their effects on protein stability. Despite the diversity of available computational methods in the literature, none has proven accurate and dependable on its own under all scenarios where mutation analysis is required. Here we present DUET, a web server for an integrated computational approach to study missense mutations in proteins. DUET consolidates two complementary approaches (mCSM and SDM) in a consensus prediction, obtained by combining the results of the separate methods in an optimized predictor using Support Vector Machines (SVM). We demonstrate that the proposed method improves overall accuracy of the predictions in comparison with either method individually and performs as well as or better than similar methods. The DUET web server is freely and openly available at http://structure.bioc.cam.ac.uk/duet.","container-title":"Nucleic Acids Research","DOI":"10.1093/nar/gku411","ISSN":"1362-4962","issue":"Web Server issue","journalAbbreviation":"Nucleic Acids Res","language":"eng","note":"PMID: 24829462\nPMCID: PMC4086143","page":"W314-319","source":"PubMed","title":"DUET: a server for predicting effects of mutations on protein stability using an integrated computational approach","title-short":"DUET","volume":"42","author":[{"family":"Pires","given":"Douglas E. V."},{"family":"Ascher","given":"David B."},{"family":"Blundell","given":"Tom L."}],"issued":{"date-parts":[["2014",7]]}}}],"schema":"https://github.com/citation-style-language/schema/raw/master/csl-citation.json"} </w:instrText>
      </w:r>
      <w:r w:rsidR="005F2BE1">
        <w:rPr>
          <w:color w:val="000000" w:themeColor="text1"/>
          <w:lang w:val="en-US"/>
        </w:rPr>
        <w:fldChar w:fldCharType="separate"/>
      </w:r>
      <w:r w:rsidR="005F2BE1">
        <w:rPr>
          <w:noProof/>
          <w:color w:val="000000" w:themeColor="text1"/>
          <w:lang w:val="en-US"/>
        </w:rPr>
        <w:t>(3)</w:t>
      </w:r>
      <w:r w:rsidR="005F2BE1">
        <w:rPr>
          <w:color w:val="000000" w:themeColor="text1"/>
          <w:lang w:val="en-US"/>
        </w:rPr>
        <w:fldChar w:fldCharType="end"/>
      </w:r>
    </w:p>
    <w:p w14:paraId="1170A9EB" w14:textId="77777777" w:rsidR="008414C1" w:rsidRPr="00EA4C27" w:rsidRDefault="008414C1" w:rsidP="000F65A0">
      <w:pPr>
        <w:spacing w:line="480" w:lineRule="auto"/>
        <w:jc w:val="both"/>
        <w:rPr>
          <w:b/>
          <w:lang w:val="en-US"/>
        </w:rPr>
      </w:pPr>
    </w:p>
    <w:p w14:paraId="2A3356F7" w14:textId="21B51648" w:rsidR="008414C1" w:rsidRPr="00323248" w:rsidRDefault="008414C1" w:rsidP="000F65A0">
      <w:pPr>
        <w:spacing w:line="480" w:lineRule="auto"/>
        <w:jc w:val="both"/>
        <w:rPr>
          <w:color w:val="000000" w:themeColor="text1"/>
          <w:lang w:val="en-US"/>
        </w:rPr>
      </w:pPr>
      <w:r w:rsidRPr="00EA4C27">
        <w:rPr>
          <w:lang w:val="en-US"/>
        </w:rPr>
        <w:t xml:space="preserve">The </w:t>
      </w:r>
      <w:r w:rsidRPr="002A2504">
        <w:rPr>
          <w:color w:val="000000" w:themeColor="text1"/>
          <w:lang w:val="en-US"/>
        </w:rPr>
        <w:t>human endothelial nitric oxide synthase (</w:t>
      </w:r>
      <w:proofErr w:type="spellStart"/>
      <w:r w:rsidRPr="002A2504">
        <w:rPr>
          <w:color w:val="000000" w:themeColor="text1"/>
          <w:lang w:val="en-US"/>
        </w:rPr>
        <w:t>eNOS</w:t>
      </w:r>
      <w:proofErr w:type="spellEnd"/>
      <w:r w:rsidRPr="002A2504">
        <w:rPr>
          <w:color w:val="000000" w:themeColor="text1"/>
          <w:lang w:val="en-US"/>
        </w:rPr>
        <w:t>) protein contains several domains, the oxygenase module, a calmodulin-binding linker module and the reductase module. The mutated residue, C648, is located in the reductase module for which no</w:t>
      </w:r>
      <w:r w:rsidR="00014A9E" w:rsidRPr="002A2504">
        <w:rPr>
          <w:color w:val="000000" w:themeColor="text1"/>
          <w:lang w:val="en-US"/>
        </w:rPr>
        <w:t xml:space="preserve"> human</w:t>
      </w:r>
      <w:r w:rsidRPr="002A2504">
        <w:rPr>
          <w:color w:val="000000" w:themeColor="text1"/>
          <w:lang w:val="en-US"/>
        </w:rPr>
        <w:t xml:space="preserve"> experimental 3D structures are available</w:t>
      </w:r>
      <w:r w:rsidR="009E257C" w:rsidRPr="002A2504">
        <w:rPr>
          <w:color w:val="000000" w:themeColor="text1"/>
          <w:lang w:val="en-US"/>
        </w:rPr>
        <w:t>. An accurate homology model could however be</w:t>
      </w:r>
      <w:r w:rsidRPr="002A2504">
        <w:rPr>
          <w:color w:val="000000" w:themeColor="text1"/>
          <w:lang w:val="en-US"/>
        </w:rPr>
        <w:t xml:space="preserve"> built using the SWISS-MODEL web-server </w:t>
      </w:r>
      <w:r w:rsidR="005F2BE1">
        <w:rPr>
          <w:color w:val="000000" w:themeColor="text1"/>
          <w:lang w:val="en-US"/>
        </w:rPr>
        <w:fldChar w:fldCharType="begin"/>
      </w:r>
      <w:r w:rsidR="005F2BE1">
        <w:rPr>
          <w:color w:val="000000" w:themeColor="text1"/>
          <w:lang w:val="en-US"/>
        </w:rPr>
        <w:instrText xml:space="preserve"> ADDIN ZOTERO_ITEM CSL_CITATION {"citationID":"NY3BAWvT","properties":{"formattedCitation":"(4)","plainCitation":"(4)","noteIndex":0},"citationItems":[{"id":3552,"uris":["http://zotero.org/users/1901135/items/CFCGGLQQ"],"itemData":{"id":3552,"type":"article-journal","abstract":"Homology modelling has matured into an important technique in structural biology, significantly contributing to narrowing the gap between known protein sequences and experimentally determined structures. Fully automated workflows and servers simplify and streamline the homology modelling process, also allowing users without a specific computational expertise to generate reliable protein models and have easy access to modelling results, their visualization and interpretation. Here, we present an update to the SWISS-MODEL server, which pioneered the field of automated modelling 25 years ago and been continuously further developed. Recently, its functionality has been extended to the modelling of homo- and heteromeric complexes. Starting from the amino acid sequences of the interacting proteins, both the stoichiometry and the overall structure of the complex are inferred by homology modelling. Other major improvements include the implementation of a new modelling engine, ProMod3 and the introduction a new local model quality estimation method, QMEANDisCo. SWISS-MODEL is freely available at https://swissmodel.expasy.org.","container-title":"Nucleic Acids Research","DOI":"10.1093/nar/gky427","ISSN":"1362-4962","issue":"W1","journalAbbreviation":"Nucleic Acids Res","language":"eng","note":"PMID: 29788355\nPMCID: PMC6030848","page":"W296-W303","source":"PubMed","title":"SWISS-MODEL: homology modelling of protein structures and complexes","title-short":"SWISS-MODEL","volume":"46","author":[{"family":"Waterhouse","given":"Andrew"},{"family":"Bertoni","given":"Martino"},{"family":"Bienert","given":"Stefan"},{"family":"Studer","given":"Gabriel"},{"family":"Tauriello","given":"Gerardo"},{"family":"Gumienny","given":"Rafal"},{"family":"Heer","given":"Florian T."},{"family":"Beer","given":"Tjaart A. P.","non-dropping-particle":"de"},{"family":"Rempfer","given":"Christine"},{"family":"Bordoli","given":"Lorenza"},{"family":"Lepore","given":"Rosalba"},{"family":"Schwede","given":"Torsten"}],"issued":{"date-parts":[["2018",7,2]]}}}],"schema":"https://github.com/citation-style-language/schema/raw/master/csl-citation.json"} </w:instrText>
      </w:r>
      <w:r w:rsidR="005F2BE1">
        <w:rPr>
          <w:color w:val="000000" w:themeColor="text1"/>
          <w:lang w:val="en-US"/>
        </w:rPr>
        <w:fldChar w:fldCharType="separate"/>
      </w:r>
      <w:r w:rsidR="005F2BE1">
        <w:rPr>
          <w:noProof/>
          <w:color w:val="000000" w:themeColor="text1"/>
          <w:lang w:val="en-US"/>
        </w:rPr>
        <w:t>(4)</w:t>
      </w:r>
      <w:r w:rsidR="005F2BE1">
        <w:rPr>
          <w:color w:val="000000" w:themeColor="text1"/>
          <w:lang w:val="en-US"/>
        </w:rPr>
        <w:fldChar w:fldCharType="end"/>
      </w:r>
      <w:r w:rsidR="005F2BE1">
        <w:rPr>
          <w:color w:val="000000" w:themeColor="text1"/>
          <w:lang w:val="en-US"/>
        </w:rPr>
        <w:t xml:space="preserve"> </w:t>
      </w:r>
      <w:r w:rsidRPr="002A2504">
        <w:rPr>
          <w:color w:val="000000" w:themeColor="text1"/>
          <w:lang w:val="en-US"/>
        </w:rPr>
        <w:t>for</w:t>
      </w:r>
      <w:r w:rsidR="009E257C" w:rsidRPr="002A2504">
        <w:rPr>
          <w:color w:val="000000" w:themeColor="text1"/>
          <w:lang w:val="en-US"/>
        </w:rPr>
        <w:t xml:space="preserve"> this domain</w:t>
      </w:r>
      <w:r w:rsidRPr="002A2504">
        <w:rPr>
          <w:color w:val="000000" w:themeColor="text1"/>
          <w:lang w:val="en-US"/>
        </w:rPr>
        <w:t xml:space="preserve"> using as structural template the corresponding domain of the rat neuronal nitric oxide synthase (PDB ID: 1tll)</w:t>
      </w:r>
      <w:r w:rsidR="005F2BE1">
        <w:rPr>
          <w:color w:val="000000" w:themeColor="text1"/>
          <w:lang w:val="en-US"/>
        </w:rPr>
        <w:t>.</w:t>
      </w:r>
      <w:r w:rsidRPr="002A2504">
        <w:rPr>
          <w:color w:val="000000" w:themeColor="text1"/>
          <w:lang w:val="en-US"/>
        </w:rPr>
        <w:t xml:space="preserve"> </w:t>
      </w:r>
      <w:r w:rsidR="005F2BE1">
        <w:rPr>
          <w:color w:val="000000" w:themeColor="text1"/>
          <w:lang w:val="en-US"/>
        </w:rPr>
        <w:fldChar w:fldCharType="begin"/>
      </w:r>
      <w:r w:rsidR="005F2BE1">
        <w:rPr>
          <w:color w:val="000000" w:themeColor="text1"/>
          <w:lang w:val="en-US"/>
        </w:rPr>
        <w:instrText xml:space="preserve"> ADDIN ZOTERO_ITEM CSL_CITATION {"citationID":"5DTa9wv0","properties":{"formattedCitation":"(5)","plainCitation":"(5)","noteIndex":0},"citationItems":[{"id":3555,"uris":["http://zotero.org/users/1901135/items/2P2KLH9P"],"itemData":{"id":3555,"type":"article-journal","abstract":"Three nitric-oxide synthase (NOS) isozymes play crucial, but distinct, roles in neurotransmission, vascular homeostasis, and host defense, by catalyzing Ca(2+)/calmodulin-triggered NO synthesis. Here, we address current questions regarding NOS activity and regulation by combining mutagenesis and biochemistry with crystal structure determination of a fully assembled, electron-supplying, neuronal NOS reductase dimer. By integrating these results, we structurally elucidate the unique mechanisms for isozyme-specific regulation of electron transfer in NOS. Our discovery of the autoinhibitory helix, its placement between domains, and striking similarities with canonical calmodulin-binding motifs, support new mechanisms for NOS inhibition. NADPH, isozyme-specific residue Arg(1400), and the C-terminal tail synergistically repress NOS activity by locking the FMN binding domain in an electron-accepting position. Our analyses suggest that calmodulin binding or C-terminal tail phosphorylation frees a large scale swinging motion of the entire FMN domain to deliver electrons to the catalytic module in the holoenzyme.","container-title":"The Journal of Biological Chemistry","DOI":"10.1074/jbc.M406204200","ISSN":"0021-9258","issue":"36","journalAbbreviation":"J Biol Chem","language":"eng","note":"PMID: 15208315","page":"37918-37927","source":"PubMed","title":"Structural basis for isozyme-specific regulation of electron transfer in nitric-oxide synthase","volume":"279","author":[{"family":"Garcin","given":"Elsa D."},{"family":"Bruns","given":"Christopher M."},{"family":"Lloyd","given":"Sarah J."},{"family":"Hosfield","given":"David J."},{"family":"Tiso","given":"Mauro"},{"family":"Gachhui","given":"Ratan"},{"family":"Stuehr","given":"Dennis J."},{"family":"Tainer","given":"John A."},{"family":"Getzoff","given":"Elizabeth D."}],"issued":{"date-parts":[["2004",9,3]]}}}],"schema":"https://github.com/citation-style-language/schema/raw/master/csl-citation.json"} </w:instrText>
      </w:r>
      <w:r w:rsidR="005F2BE1">
        <w:rPr>
          <w:color w:val="000000" w:themeColor="text1"/>
          <w:lang w:val="en-US"/>
        </w:rPr>
        <w:fldChar w:fldCharType="separate"/>
      </w:r>
      <w:r w:rsidR="005F2BE1">
        <w:rPr>
          <w:noProof/>
          <w:color w:val="000000" w:themeColor="text1"/>
          <w:lang w:val="en-US"/>
        </w:rPr>
        <w:t>(5)</w:t>
      </w:r>
      <w:r w:rsidR="005F2BE1">
        <w:rPr>
          <w:color w:val="000000" w:themeColor="text1"/>
          <w:lang w:val="en-US"/>
        </w:rPr>
        <w:fldChar w:fldCharType="end"/>
      </w:r>
      <w:r w:rsidR="005F2BE1">
        <w:rPr>
          <w:color w:val="000000" w:themeColor="text1"/>
          <w:lang w:val="en-US"/>
        </w:rPr>
        <w:t xml:space="preserve"> </w:t>
      </w:r>
      <w:r w:rsidRPr="002A2504">
        <w:rPr>
          <w:color w:val="000000" w:themeColor="text1"/>
          <w:lang w:val="en-US"/>
        </w:rPr>
        <w:t>The experimental 3D structure of the human oxygenase module was downloaded from the RCSB Protein Data Bank</w:t>
      </w:r>
      <w:r w:rsidR="005F2BE1">
        <w:rPr>
          <w:color w:val="000000" w:themeColor="text1"/>
          <w:lang w:val="en-US"/>
        </w:rPr>
        <w:t xml:space="preserve"> </w:t>
      </w:r>
      <w:r w:rsidR="005F2BE1">
        <w:rPr>
          <w:color w:val="000000" w:themeColor="text1"/>
          <w:lang w:val="en-US"/>
        </w:rPr>
        <w:fldChar w:fldCharType="begin"/>
      </w:r>
      <w:r w:rsidR="005F2BE1">
        <w:rPr>
          <w:color w:val="000000" w:themeColor="text1"/>
          <w:lang w:val="en-US"/>
        </w:rPr>
        <w:instrText xml:space="preserve"> ADDIN ZOTERO_ITEM CSL_CITATION {"citationID":"q2986rxU","properties":{"formattedCitation":"(6)","plainCitation":"(6)","noteIndex":0},"citationItems":[{"id":3558,"uris":["http://zotero.org/users/1901135/items/YNM944X3"],"itemData":{"id":3558,"type":"article-journal","abstract":"The Research Collaboratory for Structural Bioinformatics Protein Data Bank (RCSB PDB), the US data center for the global PDB archive and a founding member of the Worldwide Protein Data Bank partnership, serves tens of thousands of data depositors in the Americas and Oceania and makes 3D macromolecular structure data available at no charge and without restrictions to millions of RCSB.org users around the world, including &gt;660 000 educators, students and members of the curious public using PDB101.RCSB.org. PDB data depositors include structural biologists using macromolecular crystallography, nuclear magnetic resonance spectroscopy, 3D electron microscopy and micro-electron diffraction. PDB data consumers accessing our web portals include researchers, educators and students studying fundamental biology, biomedicine, biotechnology, bioengineering and energy sciences. During the past 2 years, the research-focused RCSB PDB web portal (RCSB.org) has undergone a complete redesign, enabling improved searching with full Boolean operator logic and more facile access to PDB data integrated with &gt;40 external biodata resources. New features and resources are described in detail using examples that showcase recently released structures of SARS-CoV-2 proteins and host cell proteins relevant to understanding and addressing the COVID-19 global pandemic.","container-title":"Nucleic Acids Research","DOI":"10.1093/nar/gkaa1038","ISSN":"1362-4962","issue":"D1","journalAbbreviation":"Nucleic Acids Res","language":"eng","note":"PMID: 33211854\nPMCID: PMC7779003","page":"D437-D451","source":"PubMed","title":"RCSB Protein Data Bank: powerful new tools for exploring 3D structures of biological macromolecules for basic and applied research and education in fundamental biology, biomedicine, biotechnology, bioengineering and energy sciences","title-short":"RCSB Protein Data Bank","volume":"49","author":[{"family":"Burley","given":"Stephen K."},{"family":"Bhikadiya","given":"Charmi"},{"fami</w:instrText>
      </w:r>
      <w:r w:rsidR="005F2BE1" w:rsidRPr="005F2BE1">
        <w:rPr>
          <w:color w:val="000000" w:themeColor="text1"/>
        </w:rPr>
        <w:instrText xml:space="preserve">ly":"Bi","given":"Chunxiao"},{"family":"Bittrich","given":"Sebastian"},{"family":"Chen","given":"Li"},{"family":"Crichlow","given":"Gregg V."},{"family":"Christie","given":"Cole H."},{"family":"Dalenberg","given":"Kenneth"},{"family":"Di Costanzo","given":"Luigi"},{"family":"Duarte","given":"Jose M."},{"family":"Dutta","given":"Shuchismita"},{"family":"Feng","given":"Zukang"},{"family":"Ganesan","given":"Sai"},{"family":"Goodsell","given":"David S."},{"family":"Ghosh","given":"Sutapa"},{"family":"Green","given":"Rachel Kramer"},{"family":"Guranović","given":"Vladimir"},{"family":"Guzenko","given":"Dmytro"},{"family":"Hudson","given":"Brian P."},{"family":"Lawson","given":"Catherine L."},{"family":"Liang","given":"Yuhe"},{"family":"Lowe","given":"Robert"},{"family":"Namkoong","given":"Harry"},{"family":"Peisach","given":"Ezra"},{"family":"Persikova","given":"Irina"},{"family":"Randle","given":"Chris"},{"family":"Rose","given":"Alexander"},{"family":"Rose","given":"Yana"},{"family":"Sali","given":"Andrej"},{"family":"Segura","given":"Joan"},{"family":"Sekharan","given":"Monica"},{"family":"Shao","given":"Chenghua"},{"family":"Tao","given":"Yi-Ping"},{"family":"Voigt","given":"Maria"},{"family":"Westbrook","given":"John D."},{"family":"Young","given":"Jasmine Y."},{"family":"Zardecki","given":"Christine"},{"family":"Zhuravleva","given":"Marina"}],"issued":{"date-parts":[["2021",1,8]]}}}],"schema":"https://github.com/citation-style-language/schema/raw/master/csl-citation.json"} </w:instrText>
      </w:r>
      <w:r w:rsidR="005F2BE1">
        <w:rPr>
          <w:color w:val="000000" w:themeColor="text1"/>
          <w:lang w:val="en-US"/>
        </w:rPr>
        <w:fldChar w:fldCharType="separate"/>
      </w:r>
      <w:r w:rsidR="005F2BE1" w:rsidRPr="005F2BE1">
        <w:rPr>
          <w:noProof/>
          <w:color w:val="000000" w:themeColor="text1"/>
        </w:rPr>
        <w:t>(6)</w:t>
      </w:r>
      <w:r w:rsidR="005F2BE1">
        <w:rPr>
          <w:color w:val="000000" w:themeColor="text1"/>
          <w:lang w:val="en-US"/>
        </w:rPr>
        <w:fldChar w:fldCharType="end"/>
      </w:r>
      <w:r w:rsidRPr="005F2BE1">
        <w:rPr>
          <w:color w:val="000000" w:themeColor="text1"/>
        </w:rPr>
        <w:t xml:space="preserve">, PDB ID: 3nos </w:t>
      </w:r>
      <w:r w:rsidR="005F2BE1">
        <w:rPr>
          <w:color w:val="000000" w:themeColor="text1"/>
          <w:lang w:val="en-US"/>
        </w:rPr>
        <w:fldChar w:fldCharType="begin"/>
      </w:r>
      <w:r w:rsidR="005F2BE1" w:rsidRPr="005F2BE1">
        <w:rPr>
          <w:color w:val="000000" w:themeColor="text1"/>
        </w:rPr>
        <w:instrText xml:space="preserve"> ADDIN ZOTERO_ITEM CSL_CITATION {"citationID":"dpEweJB9","properties":{"formattedCitation":"(7)","plainCitation":"(7)","noteIndex":0},"citationItems":[{"id":3561,"uris":["http://zotero.org/users/1901135/items/GSIN3VYJ"],"itemData":{"id":3561,"type":"article-journal","abstract":"Crystal structures of human endothelial nitric oxide synthase (eNOS) and human inducible NOS (iNOS) catalytic domains were solved in complex with the arginine substrate and an inhibitor S-ethylisothiourea (SEITU), respectively. The small molecules bind in a narrow cleft within the larger active-site cavity containing heme and tetrahydrobiopterin. Both are hydrogen-bonded to a conserved glutamate (eNOS E361, iNOS E377). The active-site residues of iNOS and eNOS are nearly identical. Nevertheless, structural comparisons provide a basis for design of isozyme-selective inhibitors. The high-resolution, refined structures of eNOS (2.4 A resolution) and iNOS (2.25 A resolution) reveal an unexpected structural zinc situated at the intermolecular interface and coordinated by four cysteines, two from each monomer.","container-title":"Nature Structural Biology","DOI":"10.1038/6675","ISSN":"1072-8368","issue":"3","journalAbbreviation":"Nat Struct Biol","language":"eng","note":"PMID: 10074942","page":"233-242","source":"PubMed","title":"Structural characterization of nitric oxide synthase isoforms reveals striking active-site conservation","volume":"6","author":[{"family":"Fischmann","given":"T. O."},{"family":"Hruza","given":"A."},{"family":"Niu","given":"X. D."},{"family":"Fossetta","given":"J. D."},{"family":"Lunn","given":"C. A."},{"family":"Dolphin","given":"E."},{"family":"Prongay","given":"A. J."},{"family":"Reichert","given":"P."},{"family":"Lundell","given":"D. J."},{"family":"Narula","given":"S. K."},{"family":"Weber","given":"P. C."}],"issued":{"date-parts":[["1999",3]]}}}],"schema":"https://github.com/citation-style-language/schema/raw/master/csl-citation.json"} </w:instrText>
      </w:r>
      <w:r w:rsidR="005F2BE1">
        <w:rPr>
          <w:color w:val="000000" w:themeColor="text1"/>
          <w:lang w:val="en-US"/>
        </w:rPr>
        <w:fldChar w:fldCharType="separate"/>
      </w:r>
      <w:r w:rsidR="005F2BE1" w:rsidRPr="005F2BE1">
        <w:rPr>
          <w:noProof/>
          <w:color w:val="000000" w:themeColor="text1"/>
        </w:rPr>
        <w:t>(7)</w:t>
      </w:r>
      <w:r w:rsidR="005F2BE1">
        <w:rPr>
          <w:color w:val="000000" w:themeColor="text1"/>
          <w:lang w:val="en-US"/>
        </w:rPr>
        <w:fldChar w:fldCharType="end"/>
      </w:r>
      <w:r w:rsidR="005F2BE1" w:rsidRPr="005F2BE1">
        <w:rPr>
          <w:color w:val="000000" w:themeColor="text1"/>
        </w:rPr>
        <w:t xml:space="preserve"> </w:t>
      </w:r>
      <w:proofErr w:type="spellStart"/>
      <w:r w:rsidRPr="005F2BE1">
        <w:rPr>
          <w:color w:val="000000" w:themeColor="text1"/>
        </w:rPr>
        <w:t>while</w:t>
      </w:r>
      <w:proofErr w:type="spellEnd"/>
      <w:r w:rsidRPr="005F2BE1">
        <w:rPr>
          <w:color w:val="000000" w:themeColor="text1"/>
        </w:rPr>
        <w:t xml:space="preserve"> the </w:t>
      </w:r>
      <w:proofErr w:type="spellStart"/>
      <w:r w:rsidRPr="005F2BE1">
        <w:rPr>
          <w:color w:val="000000" w:themeColor="text1"/>
        </w:rPr>
        <w:t>entire</w:t>
      </w:r>
      <w:proofErr w:type="spellEnd"/>
      <w:r w:rsidRPr="005F2BE1">
        <w:rPr>
          <w:color w:val="000000" w:themeColor="text1"/>
        </w:rPr>
        <w:t xml:space="preserve"> </w:t>
      </w:r>
      <w:proofErr w:type="spellStart"/>
      <w:r w:rsidRPr="005F2BE1">
        <w:rPr>
          <w:color w:val="000000" w:themeColor="text1"/>
        </w:rPr>
        <w:t>human</w:t>
      </w:r>
      <w:proofErr w:type="spellEnd"/>
      <w:r w:rsidRPr="005F2BE1">
        <w:rPr>
          <w:color w:val="000000" w:themeColor="text1"/>
        </w:rPr>
        <w:t xml:space="preserve"> model </w:t>
      </w:r>
      <w:proofErr w:type="spellStart"/>
      <w:r w:rsidRPr="005F2BE1">
        <w:rPr>
          <w:color w:val="000000" w:themeColor="text1"/>
        </w:rPr>
        <w:t>was</w:t>
      </w:r>
      <w:proofErr w:type="spellEnd"/>
      <w:r w:rsidRPr="005F2BE1">
        <w:rPr>
          <w:color w:val="000000" w:themeColor="text1"/>
        </w:rPr>
        <w:t xml:space="preserve"> </w:t>
      </w:r>
      <w:proofErr w:type="spellStart"/>
      <w:r w:rsidRPr="005F2BE1">
        <w:rPr>
          <w:color w:val="000000" w:themeColor="text1"/>
        </w:rPr>
        <w:t>downloaded</w:t>
      </w:r>
      <w:proofErr w:type="spellEnd"/>
      <w:r w:rsidRPr="005F2BE1">
        <w:rPr>
          <w:color w:val="000000" w:themeColor="text1"/>
        </w:rPr>
        <w:t xml:space="preserve"> </w:t>
      </w:r>
      <w:proofErr w:type="spellStart"/>
      <w:r w:rsidRPr="005F2BE1">
        <w:rPr>
          <w:color w:val="000000" w:themeColor="text1"/>
        </w:rPr>
        <w:t>from</w:t>
      </w:r>
      <w:proofErr w:type="spellEnd"/>
      <w:r w:rsidRPr="005F2BE1">
        <w:rPr>
          <w:color w:val="000000" w:themeColor="text1"/>
        </w:rPr>
        <w:t xml:space="preserve"> the </w:t>
      </w:r>
      <w:proofErr w:type="spellStart"/>
      <w:r w:rsidRPr="005F2BE1">
        <w:rPr>
          <w:color w:val="000000" w:themeColor="text1"/>
        </w:rPr>
        <w:t>AlphaFold</w:t>
      </w:r>
      <w:proofErr w:type="spellEnd"/>
      <w:r w:rsidRPr="005F2BE1">
        <w:rPr>
          <w:color w:val="000000" w:themeColor="text1"/>
        </w:rPr>
        <w:t xml:space="preserve"> </w:t>
      </w:r>
      <w:proofErr w:type="spellStart"/>
      <w:r w:rsidRPr="005F2BE1">
        <w:rPr>
          <w:color w:val="000000" w:themeColor="text1"/>
        </w:rPr>
        <w:t>Protein</w:t>
      </w:r>
      <w:proofErr w:type="spellEnd"/>
      <w:r w:rsidRPr="005F2BE1">
        <w:rPr>
          <w:color w:val="000000" w:themeColor="text1"/>
        </w:rPr>
        <w:t xml:space="preserve"> Structure </w:t>
      </w:r>
      <w:proofErr w:type="spellStart"/>
      <w:r w:rsidRPr="005F2BE1">
        <w:rPr>
          <w:color w:val="000000" w:themeColor="text1"/>
        </w:rPr>
        <w:t>Database</w:t>
      </w:r>
      <w:proofErr w:type="spellEnd"/>
      <w:r w:rsidR="005F2BE1">
        <w:rPr>
          <w:color w:val="000000" w:themeColor="text1"/>
        </w:rPr>
        <w:t>.</w:t>
      </w:r>
      <w:r w:rsidR="00323248">
        <w:rPr>
          <w:color w:val="000000" w:themeColor="text1"/>
        </w:rPr>
        <w:fldChar w:fldCharType="begin"/>
      </w:r>
      <w:r w:rsidR="00323248">
        <w:rPr>
          <w:color w:val="000000" w:themeColor="text1"/>
        </w:rPr>
        <w:instrText xml:space="preserve"> ADDIN ZOTERO_ITEM CSL_CITATION {"citationID":"fYYYk5GP","properties":{"formattedCitation":"(8)","plainCitation":"(8)","noteIndex":0},"citationItems":[{"id":3564,"uris":["http://zotero.org/users/1901135/items/Y848XTPW"],"itemData":{"id":3564,"type":"article-journal","abstract":"The AlphaFold Protein Structure Database (AlphaFold DB, https://alphafold.ebi.ac.uk) is an openly accessible, extensive database of high-accuracy protein-structure predictions. Powered by AlphaFold v2.0 of DeepMind, it has enabled an unprecedented expansion of the structural coverage of the known protein-sequence space. AlphaFold DB provides programmatic access to and interactive visualization of predicted atomic coordinates, per-residue and pairwise model-confidence estimates and predicted aligned errors. The initial release of AlphaFold DB contains over 360,000 predicted structures across 21 model-organism proteomes, which will soon be expanded to cover most of the (over 100 million) representative sequences from the UniRef90 data set.","container-title":"Nucleic Acids Research","DOI":"10.1093/nar/gkab1061","ISSN":"1362-4962","issue":"D1</w:instrText>
      </w:r>
      <w:r w:rsidR="00323248" w:rsidRPr="00323248">
        <w:rPr>
          <w:color w:val="000000" w:themeColor="text1"/>
          <w:lang w:val="en-US"/>
        </w:rPr>
        <w:instrText xml:space="preserve">","journalAbbreviation":"Nucleic Acids Res","language":"eng","note":"PMID: 34791371\nPMCID: PMC8728224","page":"D439-D444","source":"PubMed","title":"AlphaFold Protein Structure Database: massively expanding the structural coverage of protein-sequence space with high-accuracy models","title-short":"AlphaFold Protein Structure Database","volume":"50","author":[{"family":"Varadi","given":"Mihaly"},{"family":"Anyango","given":"Stephen"},{"family":"Deshpande","given":"Mandar"},{"family":"Nair","given":"Sreenath"},{"family":"Natassia","given":"Cindy"},{"family":"Yordanova","given":"Galabina"},{"family":"Yuan","given":"David"},{"family":"Stroe","given":"Oana"},{"family":"Wood","given":"Gemma"},{"family":"Laydon","given":"Agata"},{"family":"Žídek","given":"Augustin"},{"family":"Green","given":"Tim"},{"family":"Tunyasuvunakool","given":"Kathryn"},{"family":"Petersen","given":"Stig"},{"family":"Jumper","given":"John"},{"family":"Clancy","given":"Ellen"},{"family":"Green","given":"Richard"},{"family":"Vora","given":"Ankur"},{"family":"Lutfi","given":"Mira"},{"family":"Figurnov","given":"Michael"},{"family":"Cowie","given":"Andrew"},{"family":"Hobbs","given":"Nicole"},{"family":"Kohli","given":"Pushmeet"},{"family":"Kleywegt","given":"Gerard"},{"family":"Birney","given":"Ewan"},{"family":"Hassabis","given":"Demis"},{"family":"Velankar","given":"Sameer"}],"issued":{"date-parts":[["2022",1,7]]}}}],"schema":"https://github.com/citation-style-language/schema/raw/master/csl-citation.json"} </w:instrText>
      </w:r>
      <w:r w:rsidR="00323248">
        <w:rPr>
          <w:color w:val="000000" w:themeColor="text1"/>
        </w:rPr>
        <w:fldChar w:fldCharType="separate"/>
      </w:r>
      <w:r w:rsidR="00323248" w:rsidRPr="00323248">
        <w:rPr>
          <w:noProof/>
          <w:color w:val="000000" w:themeColor="text1"/>
          <w:lang w:val="en-US"/>
        </w:rPr>
        <w:t>(8)</w:t>
      </w:r>
      <w:r w:rsidR="00323248">
        <w:rPr>
          <w:color w:val="000000" w:themeColor="text1"/>
        </w:rPr>
        <w:fldChar w:fldCharType="end"/>
      </w:r>
      <w:r w:rsidR="005F2BE1" w:rsidRPr="00323248">
        <w:rPr>
          <w:color w:val="000000" w:themeColor="text1"/>
          <w:lang w:val="en-US"/>
        </w:rPr>
        <w:t xml:space="preserve"> </w:t>
      </w:r>
      <w:r w:rsidRPr="00323248">
        <w:rPr>
          <w:color w:val="000000" w:themeColor="text1"/>
          <w:lang w:val="en-US"/>
        </w:rPr>
        <w:t xml:space="preserve"> </w:t>
      </w:r>
    </w:p>
    <w:p w14:paraId="0E9C1D39" w14:textId="77777777" w:rsidR="008414C1" w:rsidRPr="00323248" w:rsidRDefault="008414C1" w:rsidP="000F65A0">
      <w:pPr>
        <w:spacing w:line="480" w:lineRule="auto"/>
        <w:jc w:val="both"/>
        <w:rPr>
          <w:lang w:val="en-US"/>
        </w:rPr>
      </w:pPr>
    </w:p>
    <w:p w14:paraId="1619BEDE" w14:textId="5BDA1297" w:rsidR="008414C1" w:rsidRPr="001C23EF" w:rsidRDefault="008414C1" w:rsidP="000F65A0">
      <w:pPr>
        <w:spacing w:line="480" w:lineRule="auto"/>
        <w:jc w:val="both"/>
        <w:rPr>
          <w:strike/>
          <w:lang w:val="en-US"/>
        </w:rPr>
      </w:pPr>
      <w:r w:rsidRPr="00EA4C27">
        <w:rPr>
          <w:lang w:val="en-US"/>
        </w:rPr>
        <w:t xml:space="preserve">The cryo-electron microscopy structures of the human </w:t>
      </w:r>
      <w:proofErr w:type="spellStart"/>
      <w:r w:rsidRPr="00EA4C27">
        <w:rPr>
          <w:lang w:val="en-US"/>
        </w:rPr>
        <w:t>sGC</w:t>
      </w:r>
      <w:proofErr w:type="spellEnd"/>
      <w:r w:rsidRPr="00EA4C27">
        <w:t>α</w:t>
      </w:r>
      <w:r w:rsidRPr="00EA4C27">
        <w:rPr>
          <w:lang w:val="en-US"/>
        </w:rPr>
        <w:t>1</w:t>
      </w:r>
      <w:r w:rsidRPr="00EA4C27">
        <w:t>β</w:t>
      </w:r>
      <w:r w:rsidRPr="00EA4C27">
        <w:rPr>
          <w:lang w:val="en-US"/>
        </w:rPr>
        <w:t xml:space="preserve">1 heterodimer in different functional states </w:t>
      </w:r>
      <w:r w:rsidR="00ED60EE">
        <w:rPr>
          <w:lang w:val="en-US"/>
        </w:rPr>
        <w:fldChar w:fldCharType="begin"/>
      </w:r>
      <w:r w:rsidR="00ED60EE">
        <w:rPr>
          <w:lang w:val="en-US"/>
        </w:rPr>
        <w:instrText xml:space="preserve"> ADDIN ZOTERO_ITEM CSL_CITATION {"citationID":"G1LAA865","properties":{"formattedCitation":"(9)","plainCitation":"(9)","noteIndex":0},"citationItems":[{"id":3567,"uris":["http://zotero.org/users/1901135/items/JLXGFB5Z"],"itemData":{"id":3567,"type":"article-journal","abstract":"Soluble guanylate cyclase (sGC) is the primary sensor of nitric oxide. It has a central role in nitric oxide signalling and has been implicated in many essential physiological processes and disease conditions. The binding of nitric oxide boosts the enzymatic activity of sGC. However, the mechanism by which nitric oxide activates the enzyme is unclear. Here we report the cryo-electron microscopy structures of the human sGCα1β1 heterodimer in different functional states. These structures revealed that the transducer module bridges the nitric oxide sensor module and the catalytic module. Binding of nitric oxide to the β1 haem-nitric oxide and oxygen binding (H-NOX) domain triggers the structural rearrangement of the sensor module and a conformational switch of the transducer module from bending to straightening. The resulting movement of the N termini of the catalytic domains drives structural changes within the catalytic module, which in turn boost the enzymatic activity of sGC.","container-title":"Nature","DOI":"10.1038/s41586-019-1584-6","ISSN":"1476-4687","issue":"7777","journalAbbreviation":"Nature","language":"eng","note":"PMID: 31514202","page":"206-210","source":"PubMed","title":"Structural insights into the mechanism of human soluble guanylate cyclase","volume":"574","author":[{"family":"Kang","given":"Yunlu"},{"family":"Liu","given":"Rui"},{"family":"Wu","given":"Jing-Xiang"},{"family":"Chen","given":"Lei"}],"issued":{"date-parts":[["2019",10]]}}}],"schema":"https://github.com/citation-style-language/schema/raw/master/csl-citation.json"} </w:instrText>
      </w:r>
      <w:r w:rsidR="00ED60EE">
        <w:rPr>
          <w:lang w:val="en-US"/>
        </w:rPr>
        <w:fldChar w:fldCharType="separate"/>
      </w:r>
      <w:r w:rsidR="00ED60EE">
        <w:rPr>
          <w:noProof/>
          <w:lang w:val="en-US"/>
        </w:rPr>
        <w:t>(9)</w:t>
      </w:r>
      <w:r w:rsidR="00ED60EE">
        <w:rPr>
          <w:lang w:val="en-US"/>
        </w:rPr>
        <w:fldChar w:fldCharType="end"/>
      </w:r>
      <w:r w:rsidR="00ED60EE">
        <w:rPr>
          <w:lang w:val="en-US"/>
        </w:rPr>
        <w:t xml:space="preserve"> </w:t>
      </w:r>
      <w:r w:rsidRPr="00EA4C27">
        <w:rPr>
          <w:lang w:val="en-US"/>
        </w:rPr>
        <w:t>were downloaded from the RCSB Protein Data Bank</w:t>
      </w:r>
      <w:r w:rsidR="002A2504">
        <w:rPr>
          <w:lang w:val="en-US"/>
        </w:rPr>
        <w:t>.</w:t>
      </w:r>
      <w:r w:rsidRPr="00EA4C27">
        <w:rPr>
          <w:lang w:val="en-US"/>
        </w:rPr>
        <w:t xml:space="preserve"> The bent conformation (PDB ID: 6jt1) is considered to represent the inactive state while the NO-activated state (PDB ID: 6jt2) is in an extended conformation. </w:t>
      </w:r>
    </w:p>
    <w:p w14:paraId="7AF290B8" w14:textId="77777777" w:rsidR="00421749" w:rsidRDefault="00421749" w:rsidP="000F65A0">
      <w:pPr>
        <w:spacing w:line="480" w:lineRule="auto"/>
        <w:jc w:val="both"/>
        <w:rPr>
          <w:lang w:val="en-US"/>
        </w:rPr>
      </w:pPr>
    </w:p>
    <w:p w14:paraId="638BFC8E" w14:textId="46A6D243" w:rsidR="00EA4C27" w:rsidRPr="00EA4C27" w:rsidRDefault="00EA4C27" w:rsidP="000F65A0">
      <w:pPr>
        <w:pStyle w:val="Paragraphedeliste"/>
        <w:numPr>
          <w:ilvl w:val="0"/>
          <w:numId w:val="1"/>
        </w:numPr>
        <w:spacing w:line="480" w:lineRule="auto"/>
        <w:jc w:val="both"/>
        <w:rPr>
          <w:b/>
          <w:bCs/>
          <w:lang w:val="en-US"/>
        </w:rPr>
      </w:pPr>
      <w:r w:rsidRPr="00EA4C27">
        <w:rPr>
          <w:b/>
          <w:bCs/>
          <w:lang w:val="en-US"/>
        </w:rPr>
        <w:t>3D structural analysis</w:t>
      </w:r>
      <w:r w:rsidR="00421749">
        <w:rPr>
          <w:b/>
          <w:bCs/>
          <w:lang w:val="en-US"/>
        </w:rPr>
        <w:t>,</w:t>
      </w:r>
      <w:r w:rsidRPr="00EA4C27">
        <w:rPr>
          <w:b/>
          <w:bCs/>
          <w:lang w:val="en-US"/>
        </w:rPr>
        <w:t xml:space="preserve"> </w:t>
      </w:r>
      <w:r>
        <w:rPr>
          <w:b/>
          <w:bCs/>
          <w:lang w:val="en-US"/>
        </w:rPr>
        <w:t xml:space="preserve">supplemental </w:t>
      </w:r>
      <w:r w:rsidRPr="00EA4C27">
        <w:rPr>
          <w:b/>
          <w:bCs/>
          <w:lang w:val="en-US"/>
        </w:rPr>
        <w:t>data</w:t>
      </w:r>
      <w:r>
        <w:rPr>
          <w:b/>
          <w:bCs/>
          <w:lang w:val="en-US"/>
        </w:rPr>
        <w:t xml:space="preserve"> and </w:t>
      </w:r>
      <w:r w:rsidRPr="00EA4C27">
        <w:rPr>
          <w:b/>
          <w:bCs/>
          <w:lang w:val="en-US"/>
        </w:rPr>
        <w:t>discussion</w:t>
      </w:r>
    </w:p>
    <w:p w14:paraId="6DB04255" w14:textId="3C9AE163" w:rsidR="008414C1" w:rsidRPr="002A2504" w:rsidRDefault="00EA4C27" w:rsidP="000F65A0">
      <w:pPr>
        <w:spacing w:line="480" w:lineRule="auto"/>
        <w:jc w:val="both"/>
        <w:rPr>
          <w:bCs/>
          <w:i/>
          <w:iCs/>
          <w:color w:val="000000" w:themeColor="text1"/>
          <w:lang w:val="en-US"/>
        </w:rPr>
      </w:pPr>
      <w:proofErr w:type="spellStart"/>
      <w:r w:rsidRPr="002A2504">
        <w:rPr>
          <w:bCs/>
          <w:i/>
          <w:iCs/>
          <w:color w:val="000000" w:themeColor="text1"/>
          <w:lang w:val="en-US"/>
        </w:rPr>
        <w:t>eNOS</w:t>
      </w:r>
      <w:proofErr w:type="spellEnd"/>
      <w:r w:rsidRPr="002A2504">
        <w:rPr>
          <w:bCs/>
          <w:i/>
          <w:iCs/>
          <w:color w:val="000000" w:themeColor="text1"/>
          <w:lang w:val="en-US"/>
        </w:rPr>
        <w:t xml:space="preserve"> and </w:t>
      </w:r>
      <w:r w:rsidR="004F69A8" w:rsidRPr="002A2504">
        <w:rPr>
          <w:bCs/>
          <w:i/>
          <w:iCs/>
          <w:color w:val="000000" w:themeColor="text1"/>
          <w:lang w:val="en-US"/>
        </w:rPr>
        <w:t>p.</w:t>
      </w:r>
      <w:r w:rsidRPr="002A2504">
        <w:rPr>
          <w:bCs/>
          <w:i/>
          <w:iCs/>
          <w:color w:val="000000" w:themeColor="text1"/>
          <w:lang w:val="en-US"/>
        </w:rPr>
        <w:t>C648R variant</w:t>
      </w:r>
    </w:p>
    <w:p w14:paraId="3A6FD8D3" w14:textId="3231B35C" w:rsidR="008414C1" w:rsidRDefault="008414C1" w:rsidP="000F65A0">
      <w:pPr>
        <w:spacing w:line="480" w:lineRule="auto"/>
        <w:jc w:val="both"/>
        <w:rPr>
          <w:lang w:val="en-US"/>
        </w:rPr>
      </w:pPr>
      <w:r w:rsidRPr="002A2504">
        <w:rPr>
          <w:color w:val="000000" w:themeColor="text1"/>
          <w:lang w:val="en-US"/>
        </w:rPr>
        <w:lastRenderedPageBreak/>
        <w:t>C648 is located in the reductase module of NOS3 (</w:t>
      </w:r>
      <w:r w:rsidRPr="002A2504">
        <w:rPr>
          <w:b/>
          <w:bCs/>
          <w:color w:val="000000" w:themeColor="text1"/>
          <w:lang w:val="en-US"/>
        </w:rPr>
        <w:t>Fig</w:t>
      </w:r>
      <w:r w:rsidR="004F69A8" w:rsidRPr="002A2504">
        <w:rPr>
          <w:b/>
          <w:bCs/>
          <w:color w:val="000000" w:themeColor="text1"/>
          <w:lang w:val="en-US"/>
        </w:rPr>
        <w:t xml:space="preserve">ure 3 B </w:t>
      </w:r>
      <w:r w:rsidRPr="002A2504">
        <w:rPr>
          <w:b/>
          <w:bCs/>
          <w:color w:val="000000" w:themeColor="text1"/>
          <w:lang w:val="en-US"/>
        </w:rPr>
        <w:t xml:space="preserve">and </w:t>
      </w:r>
      <w:r w:rsidR="004F69A8" w:rsidRPr="002A2504">
        <w:rPr>
          <w:b/>
          <w:bCs/>
          <w:color w:val="000000" w:themeColor="text1"/>
          <w:lang w:val="en-US"/>
        </w:rPr>
        <w:t>C</w:t>
      </w:r>
      <w:r w:rsidRPr="002A2504">
        <w:rPr>
          <w:color w:val="000000" w:themeColor="text1"/>
          <w:lang w:val="en-US"/>
        </w:rPr>
        <w:t>). There is no experimental structure for the human protein but it was possible to build a</w:t>
      </w:r>
      <w:r w:rsidR="00030CDC" w:rsidRPr="002A2504">
        <w:rPr>
          <w:color w:val="000000" w:themeColor="text1"/>
          <w:lang w:val="en-US"/>
        </w:rPr>
        <w:t xml:space="preserve"> high quality</w:t>
      </w:r>
      <w:r w:rsidRPr="002A2504">
        <w:rPr>
          <w:color w:val="000000" w:themeColor="text1"/>
          <w:lang w:val="en-US"/>
        </w:rPr>
        <w:t xml:space="preserve"> comparative model as the sequence identify between the human sequence and structural template was above 57%. C648 is fully buried and surrounded by hydrophobic and aromatic residues</w:t>
      </w:r>
      <w:r w:rsidR="003E3B77" w:rsidRPr="002A2504">
        <w:rPr>
          <w:color w:val="000000" w:themeColor="text1"/>
          <w:lang w:val="en-US"/>
        </w:rPr>
        <w:t xml:space="preserve"> (</w:t>
      </w:r>
      <w:r w:rsidR="003E3B77" w:rsidRPr="002A2504">
        <w:rPr>
          <w:b/>
          <w:bCs/>
          <w:color w:val="000000" w:themeColor="text1"/>
          <w:lang w:val="en-US"/>
        </w:rPr>
        <w:t>Figure 3 D)</w:t>
      </w:r>
      <w:r w:rsidRPr="002A2504">
        <w:rPr>
          <w:color w:val="000000" w:themeColor="text1"/>
          <w:lang w:val="en-US"/>
        </w:rPr>
        <w:t xml:space="preserve">. It is known that disease-causing missense mutations </w:t>
      </w:r>
      <w:r w:rsidR="00030CDC" w:rsidRPr="002A2504">
        <w:rPr>
          <w:color w:val="000000" w:themeColor="text1"/>
          <w:lang w:val="en-US"/>
        </w:rPr>
        <w:t xml:space="preserve">most </w:t>
      </w:r>
      <w:r w:rsidRPr="002A2504">
        <w:rPr>
          <w:color w:val="000000" w:themeColor="text1"/>
          <w:lang w:val="en-US"/>
        </w:rPr>
        <w:t>often involve highly conserved and buried residues</w:t>
      </w:r>
      <w:r w:rsidR="001661F0">
        <w:rPr>
          <w:color w:val="000000" w:themeColor="text1"/>
          <w:lang w:val="en-US"/>
        </w:rPr>
        <w:t>.</w:t>
      </w:r>
      <w:r w:rsidR="001661F0">
        <w:rPr>
          <w:color w:val="000000" w:themeColor="text1"/>
          <w:lang w:val="en-US"/>
        </w:rPr>
        <w:fldChar w:fldCharType="begin"/>
      </w:r>
      <w:r w:rsidR="001661F0">
        <w:rPr>
          <w:color w:val="000000" w:themeColor="text1"/>
          <w:lang w:val="en-US"/>
        </w:rPr>
        <w:instrText xml:space="preserve"> ADDIN ZOTERO_ITEM CSL_CITATION {"citationID":"ennJH5vx","properties":{"formattedCitation":"(10)","plainCitation":"(10)","noteIndex":0},"citationItems":[{"id":3570,"uris":["http://zotero.org/users/1901135/items/CIX4FNYC"],"itemData":{"id":3570,"type":"article-journal","abstract":"Inherited disease susceptibility in humans is most commonly associated with single nucleotide polymorphisms (SNPs). The mechanisms by which this occurs are still poorly understood. We have analyzed the effect of a set of disease-causing missense mutations arising from SNPs, and a set of newly determined SNPs from the general population. Results of in vitro mutagenesis studies, together with the protein structural context of each mutation, are used to develop a model for assigning a mechanism of action of each mutation at the protein level. Ninety percent of the known disease-causing missense mutations examined fit this model, with the vast majority affecting protein stability, through a variety of energy related factors. In sharp contrast, over 70% of the population set are found to be neutral. The remaining 30% are potentially involved in polygenic disease.","container-title":"Human Mutation","DOI":"10.1002/humu.22","ISSN":"1098-1004","issue":"4","journalAbbreviation":"Hum Mutat","language":"eng","note":"PMID: 11295823","page":"263-270","source":"PubMed","title":"SNPs, protein structure, and disease","volume":"17","author":[{"family":"Wang","given":"Z."},{"family":"Moult","given":"J."}],"issued":{"date-parts":[["2001",4]]}}}],"schema":"https://github.com/citation-style-language/schema/raw/master/csl-citation.json"} </w:instrText>
      </w:r>
      <w:r w:rsidR="001661F0">
        <w:rPr>
          <w:color w:val="000000" w:themeColor="text1"/>
          <w:lang w:val="en-US"/>
        </w:rPr>
        <w:fldChar w:fldCharType="separate"/>
      </w:r>
      <w:r w:rsidR="001661F0">
        <w:rPr>
          <w:noProof/>
          <w:color w:val="000000" w:themeColor="text1"/>
          <w:lang w:val="en-US"/>
        </w:rPr>
        <w:t>(10)</w:t>
      </w:r>
      <w:r w:rsidR="001661F0">
        <w:rPr>
          <w:color w:val="000000" w:themeColor="text1"/>
          <w:lang w:val="en-US"/>
        </w:rPr>
        <w:fldChar w:fldCharType="end"/>
      </w:r>
      <w:r w:rsidR="001661F0">
        <w:rPr>
          <w:color w:val="000000" w:themeColor="text1"/>
          <w:lang w:val="en-US"/>
        </w:rPr>
        <w:t xml:space="preserve"> </w:t>
      </w:r>
      <w:r w:rsidRPr="002A2504">
        <w:rPr>
          <w:color w:val="000000" w:themeColor="text1"/>
          <w:lang w:val="en-US"/>
        </w:rPr>
        <w:t xml:space="preserve"> Here, there is no space in this region of the protein to accommodate a long </w:t>
      </w:r>
      <w:r w:rsidR="004F69A8" w:rsidRPr="002A2504">
        <w:rPr>
          <w:color w:val="000000" w:themeColor="text1"/>
          <w:lang w:val="en-US"/>
        </w:rPr>
        <w:t>arginine</w:t>
      </w:r>
      <w:r w:rsidRPr="002A2504">
        <w:rPr>
          <w:color w:val="000000" w:themeColor="text1"/>
          <w:lang w:val="en-US"/>
        </w:rPr>
        <w:t xml:space="preserve"> side chain</w:t>
      </w:r>
      <w:r w:rsidR="003E3B77" w:rsidRPr="002A2504">
        <w:rPr>
          <w:color w:val="000000" w:themeColor="text1"/>
          <w:lang w:val="en-US"/>
        </w:rPr>
        <w:t xml:space="preserve"> (</w:t>
      </w:r>
      <w:r w:rsidR="003E3B77" w:rsidRPr="002A2504">
        <w:rPr>
          <w:b/>
          <w:bCs/>
          <w:color w:val="000000" w:themeColor="text1"/>
          <w:lang w:val="en-US"/>
        </w:rPr>
        <w:t>Figure 3 E)</w:t>
      </w:r>
      <w:r w:rsidRPr="002A2504">
        <w:rPr>
          <w:color w:val="000000" w:themeColor="text1"/>
          <w:lang w:val="en-US"/>
        </w:rPr>
        <w:t xml:space="preserve">. This substitution is expected </w:t>
      </w:r>
      <w:r w:rsidRPr="004F69A8">
        <w:rPr>
          <w:lang w:val="en-US"/>
        </w:rPr>
        <w:t>to be destabilizing and should perturb proper folding of this region of the protein.</w:t>
      </w:r>
      <w:r w:rsidRPr="008414C1">
        <w:rPr>
          <w:lang w:val="en-US"/>
        </w:rPr>
        <w:t xml:space="preserve"> </w:t>
      </w:r>
    </w:p>
    <w:p w14:paraId="7580B434" w14:textId="77777777" w:rsidR="00EA4C27" w:rsidRPr="008414C1" w:rsidRDefault="00EA4C27" w:rsidP="000F65A0">
      <w:pPr>
        <w:spacing w:line="480" w:lineRule="auto"/>
        <w:jc w:val="both"/>
        <w:rPr>
          <w:lang w:val="en-US"/>
        </w:rPr>
      </w:pPr>
    </w:p>
    <w:p w14:paraId="6FDDF4D6" w14:textId="5E75BACA" w:rsidR="008414C1" w:rsidRPr="00EA4C27" w:rsidRDefault="00EA4C27" w:rsidP="000F65A0">
      <w:pPr>
        <w:spacing w:line="480" w:lineRule="auto"/>
        <w:jc w:val="both"/>
        <w:rPr>
          <w:bCs/>
          <w:i/>
          <w:iCs/>
          <w:lang w:val="en-US"/>
        </w:rPr>
      </w:pPr>
      <w:proofErr w:type="spellStart"/>
      <w:r w:rsidRPr="00EA4C27">
        <w:rPr>
          <w:bCs/>
          <w:i/>
          <w:iCs/>
          <w:lang w:val="en-US"/>
        </w:rPr>
        <w:t>sGC</w:t>
      </w:r>
      <w:proofErr w:type="spellEnd"/>
      <w:r w:rsidRPr="00EA4C27">
        <w:rPr>
          <w:bCs/>
          <w:i/>
          <w:iCs/>
          <w:lang w:val="en-US"/>
        </w:rPr>
        <w:t xml:space="preserve"> alpha1 subunit and </w:t>
      </w:r>
      <w:r w:rsidR="004F69A8">
        <w:rPr>
          <w:bCs/>
          <w:i/>
          <w:iCs/>
          <w:lang w:val="en-US"/>
        </w:rPr>
        <w:t>p.</w:t>
      </w:r>
      <w:r w:rsidRPr="00EA4C27">
        <w:rPr>
          <w:bCs/>
          <w:i/>
          <w:iCs/>
          <w:lang w:val="en-US"/>
        </w:rPr>
        <w:t>R593H variant</w:t>
      </w:r>
    </w:p>
    <w:p w14:paraId="682C4CDA" w14:textId="122AEBE5" w:rsidR="00291B1B" w:rsidRDefault="008414C1" w:rsidP="000F65A0">
      <w:pPr>
        <w:spacing w:line="480" w:lineRule="auto"/>
        <w:jc w:val="both"/>
        <w:rPr>
          <w:color w:val="000000" w:themeColor="text1"/>
          <w:lang w:val="en-US"/>
        </w:rPr>
      </w:pPr>
      <w:r w:rsidRPr="002A2504">
        <w:rPr>
          <w:color w:val="000000" w:themeColor="text1"/>
          <w:lang w:val="en-US"/>
        </w:rPr>
        <w:t xml:space="preserve">The cryo-electron microscopy structures of the human </w:t>
      </w:r>
      <w:proofErr w:type="spellStart"/>
      <w:r w:rsidRPr="002A2504">
        <w:rPr>
          <w:color w:val="000000" w:themeColor="text1"/>
          <w:lang w:val="en-US"/>
        </w:rPr>
        <w:t>sGC</w:t>
      </w:r>
      <w:proofErr w:type="spellEnd"/>
      <w:r w:rsidRPr="002A2504">
        <w:rPr>
          <w:color w:val="000000" w:themeColor="text1"/>
        </w:rPr>
        <w:t>α</w:t>
      </w:r>
      <w:r w:rsidRPr="002A2504">
        <w:rPr>
          <w:color w:val="000000" w:themeColor="text1"/>
          <w:lang w:val="en-US"/>
        </w:rPr>
        <w:t>1</w:t>
      </w:r>
      <w:r w:rsidRPr="002A2504">
        <w:rPr>
          <w:color w:val="000000" w:themeColor="text1"/>
        </w:rPr>
        <w:t>β</w:t>
      </w:r>
      <w:r w:rsidRPr="002A2504">
        <w:rPr>
          <w:color w:val="000000" w:themeColor="text1"/>
          <w:lang w:val="en-US"/>
        </w:rPr>
        <w:t>1 heterodimer in different functional states have been reported</w:t>
      </w:r>
      <w:r w:rsidR="001661F0">
        <w:rPr>
          <w:color w:val="000000" w:themeColor="text1"/>
          <w:lang w:val="en-US"/>
        </w:rPr>
        <w:t>.</w:t>
      </w:r>
      <w:r w:rsidR="00FA0D0C">
        <w:rPr>
          <w:color w:val="000000" w:themeColor="text1"/>
          <w:lang w:val="en-US"/>
        </w:rPr>
        <w:fldChar w:fldCharType="begin"/>
      </w:r>
      <w:r w:rsidR="00FA0D0C">
        <w:rPr>
          <w:color w:val="000000" w:themeColor="text1"/>
          <w:lang w:val="en-US"/>
        </w:rPr>
        <w:instrText xml:space="preserve"> ADDIN ZOTERO_ITEM CSL_CITATION {"citationID":"S7QHORT2","properties":{"formattedCitation":"(9)","plainCitation":"(9)","noteIndex":0},"citationItems":[{"id":3567,"uris":["http://zotero.org/users/1901135/items/JLXGFB5Z"],"itemData":{"id":3567,"type":"article-journal","abstract":"Soluble guanylate cyclase (sGC) is the primary sensor of nitric oxide. It has a central role in nitric oxide signalling and has been implicated in many essential physiological processes and disease conditions. The binding of nitric oxide boosts the enzymatic activity of sGC. However, the mechanism by which nitric oxide activates the enzyme is unclear. Here we report the cryo-electron microscopy structures of the human sGCα1β1 heterodimer in different functional states. These structures revealed that the transducer module bridges the nitric oxide sensor module and the catalytic module. Binding of nitric oxide to the β1 haem-nitric oxide and oxygen binding (H-NOX) domain triggers the structural rearrangement of the sensor module and a conformational switch of the transducer module from bending to straightening. The resulting movement of the N termini of the catalytic domains drives structural changes within the catalytic module, which in turn boost the enzymatic activity of sGC.","container-title":"Nature","DOI":"10.1038/s41586-019-1584-6","ISSN":"1476-4687","issue":"7777","journalAbbreviation":"Nature","language":"eng","note":"PMID: 31514202","page":"206-210","source":"PubMed","title":"Structural insights into the mechanism of human soluble guanylate cyclase","volume":"574","author":[{"family":"Kang","given":"Yunlu"},{"family":"Liu","given":"Rui"},{"family":"Wu","given":"Jing-Xiang"},{"family":"Chen","given":"Lei"}],"issued":{"date-parts":[["2019",10]]}}}],"schema":"https://github.com/citation-style-language/schema/raw/master/csl-citation.json"} </w:instrText>
      </w:r>
      <w:r w:rsidR="00FA0D0C">
        <w:rPr>
          <w:color w:val="000000" w:themeColor="text1"/>
          <w:lang w:val="en-US"/>
        </w:rPr>
        <w:fldChar w:fldCharType="separate"/>
      </w:r>
      <w:r w:rsidR="00FA0D0C">
        <w:rPr>
          <w:noProof/>
          <w:color w:val="000000" w:themeColor="text1"/>
          <w:lang w:val="en-US"/>
        </w:rPr>
        <w:t>(9)</w:t>
      </w:r>
      <w:r w:rsidR="00FA0D0C">
        <w:rPr>
          <w:color w:val="000000" w:themeColor="text1"/>
          <w:lang w:val="en-US"/>
        </w:rPr>
        <w:fldChar w:fldCharType="end"/>
      </w:r>
      <w:r w:rsidR="001661F0">
        <w:rPr>
          <w:color w:val="000000" w:themeColor="text1"/>
          <w:lang w:val="en-US"/>
        </w:rPr>
        <w:t xml:space="preserve"> </w:t>
      </w:r>
      <w:r w:rsidRPr="002A2504">
        <w:rPr>
          <w:color w:val="000000" w:themeColor="text1"/>
          <w:lang w:val="en-US"/>
        </w:rPr>
        <w:t>The transducer module bridges the nitric oxide sensor module and the catalytic module (</w:t>
      </w:r>
      <w:r w:rsidRPr="002A2504">
        <w:rPr>
          <w:b/>
          <w:bCs/>
          <w:color w:val="000000" w:themeColor="text1"/>
          <w:lang w:val="en-US"/>
        </w:rPr>
        <w:t>Fig</w:t>
      </w:r>
      <w:r w:rsidR="004F69A8" w:rsidRPr="002A2504">
        <w:rPr>
          <w:b/>
          <w:bCs/>
          <w:color w:val="000000" w:themeColor="text1"/>
          <w:lang w:val="en-US"/>
        </w:rPr>
        <w:t>ure 3 G and H</w:t>
      </w:r>
      <w:r w:rsidRPr="002A2504">
        <w:rPr>
          <w:color w:val="000000" w:themeColor="text1"/>
          <w:lang w:val="en-US"/>
        </w:rPr>
        <w:t>). Binding of NO to the sensor module triggers structural rearrangement</w:t>
      </w:r>
      <w:r w:rsidR="00176A00" w:rsidRPr="002A2504">
        <w:rPr>
          <w:color w:val="000000" w:themeColor="text1"/>
          <w:lang w:val="en-US"/>
        </w:rPr>
        <w:t>s</w:t>
      </w:r>
      <w:r w:rsidRPr="002A2504">
        <w:rPr>
          <w:color w:val="000000" w:themeColor="text1"/>
          <w:lang w:val="en-US"/>
        </w:rPr>
        <w:t xml:space="preserve"> within this module together with changes in the transducer </w:t>
      </w:r>
      <w:r w:rsidR="00176A00" w:rsidRPr="002A2504">
        <w:rPr>
          <w:color w:val="000000" w:themeColor="text1"/>
          <w:lang w:val="en-US"/>
        </w:rPr>
        <w:t>and catalytic module</w:t>
      </w:r>
      <w:r w:rsidR="00647F44" w:rsidRPr="002A2504">
        <w:rPr>
          <w:color w:val="000000" w:themeColor="text1"/>
          <w:lang w:val="en-US"/>
        </w:rPr>
        <w:t>s</w:t>
      </w:r>
      <w:r w:rsidRPr="002A2504">
        <w:rPr>
          <w:color w:val="000000" w:themeColor="text1"/>
          <w:lang w:val="en-US"/>
        </w:rPr>
        <w:t>. It is expected that the protein evolves from a bent conformation (inactive</w:t>
      </w:r>
      <w:r w:rsidR="004F69A8" w:rsidRPr="002A2504">
        <w:rPr>
          <w:color w:val="000000" w:themeColor="text1"/>
          <w:lang w:val="en-US"/>
        </w:rPr>
        <w:t xml:space="preserve">, </w:t>
      </w:r>
      <w:r w:rsidR="004F69A8" w:rsidRPr="002A2504">
        <w:rPr>
          <w:b/>
          <w:bCs/>
          <w:color w:val="000000" w:themeColor="text1"/>
          <w:lang w:val="en-US"/>
        </w:rPr>
        <w:t>Figure 3G</w:t>
      </w:r>
      <w:r w:rsidRPr="002A2504">
        <w:rPr>
          <w:color w:val="000000" w:themeColor="text1"/>
          <w:lang w:val="en-US"/>
        </w:rPr>
        <w:t>) to a more extended structure (active</w:t>
      </w:r>
      <w:r w:rsidR="004F69A8" w:rsidRPr="002A2504">
        <w:rPr>
          <w:color w:val="000000" w:themeColor="text1"/>
          <w:lang w:val="en-US"/>
        </w:rPr>
        <w:t xml:space="preserve">, </w:t>
      </w:r>
      <w:r w:rsidR="004F69A8" w:rsidRPr="002A2504">
        <w:rPr>
          <w:b/>
          <w:bCs/>
          <w:color w:val="000000" w:themeColor="text1"/>
          <w:lang w:val="en-US"/>
        </w:rPr>
        <w:t>Figure 3H</w:t>
      </w:r>
      <w:r w:rsidRPr="002A2504">
        <w:rPr>
          <w:color w:val="000000" w:themeColor="text1"/>
          <w:lang w:val="en-US"/>
        </w:rPr>
        <w:t>)</w:t>
      </w:r>
      <w:r w:rsidR="000B2E1C" w:rsidRPr="002A2504">
        <w:rPr>
          <w:color w:val="000000" w:themeColor="text1"/>
          <w:lang w:val="en-US"/>
        </w:rPr>
        <w:t xml:space="preserve"> upon interaction with NO</w:t>
      </w:r>
      <w:r w:rsidR="002A2504" w:rsidRPr="002A2504">
        <w:rPr>
          <w:color w:val="000000" w:themeColor="text1"/>
          <w:lang w:val="en-US"/>
        </w:rPr>
        <w:t xml:space="preserve">. </w:t>
      </w:r>
      <w:r w:rsidRPr="002A2504">
        <w:rPr>
          <w:color w:val="000000" w:themeColor="text1"/>
          <w:lang w:val="en-US"/>
        </w:rPr>
        <w:t xml:space="preserve">Such high plasticity is indeed necessary for the </w:t>
      </w:r>
      <w:proofErr w:type="spellStart"/>
      <w:r w:rsidRPr="002A2504">
        <w:rPr>
          <w:color w:val="000000" w:themeColor="text1"/>
          <w:lang w:val="en-US"/>
        </w:rPr>
        <w:t>sGC</w:t>
      </w:r>
      <w:proofErr w:type="spellEnd"/>
      <w:r w:rsidRPr="002A2504">
        <w:rPr>
          <w:color w:val="000000" w:themeColor="text1"/>
          <w:lang w:val="en-US"/>
        </w:rPr>
        <w:t xml:space="preserve"> activity. In a recent structural study, it was proposed that the molecular mechanisms involved</w:t>
      </w:r>
      <w:r w:rsidR="009A5ED9" w:rsidRPr="002A2504">
        <w:rPr>
          <w:color w:val="000000" w:themeColor="text1"/>
          <w:lang w:val="en-US"/>
        </w:rPr>
        <w:t xml:space="preserve"> during activation</w:t>
      </w:r>
      <w:r w:rsidRPr="002A2504">
        <w:rPr>
          <w:color w:val="000000" w:themeColor="text1"/>
          <w:lang w:val="en-US"/>
        </w:rPr>
        <w:t xml:space="preserve"> were likely to be very complex and the authors mentioned that in fact the transducer module could act as an allosteric structural coupler between the sensor module and the catalytic module to allow the bi-directional flow of information within the protein.</w:t>
      </w:r>
      <w:r w:rsidR="00FA0D0C">
        <w:rPr>
          <w:color w:val="000000" w:themeColor="text1"/>
          <w:lang w:val="en-US"/>
        </w:rPr>
        <w:fldChar w:fldCharType="begin"/>
      </w:r>
      <w:r w:rsidR="00FA0D0C">
        <w:rPr>
          <w:color w:val="000000" w:themeColor="text1"/>
          <w:lang w:val="en-US"/>
        </w:rPr>
        <w:instrText xml:space="preserve"> ADDIN ZOTERO_ITEM CSL_CITATION {"citationID":"BqdqK8xu","properties":{"formattedCitation":"(9)","plainCitation":"(9)","noteIndex":0},"citationItems":[{"id":3567,"uris":["http://zotero.org/users/1901135/items/JLXGFB5Z"],"itemData":{"id":3567,"type":"article-journal","abstract":"Soluble guanylate cyclase (sGC) is the primary sensor of nitric oxide. It has a central role in nitric oxide signalling and has been implicated in many essential physiological processes and disease conditions. The binding of nitric oxide boosts the enzymatic activity of sGC. However, the mechanism by which nitric oxide activates the enzyme is unclear. Here we report the cryo-electron microscopy structures of the human sGCα1β1 heterodimer in different functional states. These structures revealed that the transducer module bridges the nitric oxide sensor module and the catalytic module. Binding of nitric oxide to the β1 haem-nitric oxide and oxygen binding (H-NOX) domain triggers the structural rearrangement of the sensor module and a conformational switch of the transducer module from bending to straightening. The resulting movement of the N termini of the catalytic domains drives structural changes within the catalytic module, which in turn boost the enzymatic activity of sGC.","container-title":"Nature","DOI":"10.1038/s41586-019-1584-6","ISSN":"1476-4687","issue":"7777","journalAbbreviation":"Nature","language":"eng","note":"PMID: 31514202","page":"206-210","source":"PubMed","title":"Structural insights into the mechanism of human soluble guanylate cyclase","volume":"574","author":[{"family":"Kang","given":"Yunlu"},{"family":"Liu","given":"Rui"},{"family":"Wu","given":"Jing-Xiang"},{"family":"Chen","given":"Lei"}],"issued":{"date-parts":[["2019",10]]}}}],"schema":"https://github.com/citation-style-language/schema/raw/master/csl-citation.json"} </w:instrText>
      </w:r>
      <w:r w:rsidR="00FA0D0C">
        <w:rPr>
          <w:color w:val="000000" w:themeColor="text1"/>
          <w:lang w:val="en-US"/>
        </w:rPr>
        <w:fldChar w:fldCharType="separate"/>
      </w:r>
      <w:r w:rsidR="00FA0D0C">
        <w:rPr>
          <w:noProof/>
          <w:color w:val="000000" w:themeColor="text1"/>
          <w:lang w:val="en-US"/>
        </w:rPr>
        <w:t>(9)</w:t>
      </w:r>
      <w:r w:rsidR="00FA0D0C">
        <w:rPr>
          <w:color w:val="000000" w:themeColor="text1"/>
          <w:lang w:val="en-US"/>
        </w:rPr>
        <w:fldChar w:fldCharType="end"/>
      </w:r>
      <w:r w:rsidRPr="002A2504">
        <w:rPr>
          <w:color w:val="000000" w:themeColor="text1"/>
          <w:lang w:val="en-US"/>
        </w:rPr>
        <w:t xml:space="preserve"> R593 in both structures is buried, fully conserved in the sequence</w:t>
      </w:r>
      <w:r w:rsidR="009A5ED9" w:rsidRPr="002A2504">
        <w:rPr>
          <w:color w:val="000000" w:themeColor="text1"/>
          <w:lang w:val="en-US"/>
        </w:rPr>
        <w:t xml:space="preserve"> (Figure 3A)</w:t>
      </w:r>
      <w:r w:rsidRPr="002A2504">
        <w:rPr>
          <w:color w:val="000000" w:themeColor="text1"/>
          <w:lang w:val="en-US"/>
        </w:rPr>
        <w:t xml:space="preserve"> and involved in a salt-bridge network (all these residues are strictly conserved and buried</w:t>
      </w:r>
      <w:r w:rsidR="006D561D" w:rsidRPr="002A2504">
        <w:rPr>
          <w:color w:val="000000" w:themeColor="text1"/>
          <w:lang w:val="en-US"/>
        </w:rPr>
        <w:t xml:space="preserve">, </w:t>
      </w:r>
      <w:r w:rsidR="006D561D" w:rsidRPr="002A2504">
        <w:rPr>
          <w:b/>
          <w:bCs/>
          <w:color w:val="000000" w:themeColor="text1"/>
          <w:lang w:val="en-US"/>
        </w:rPr>
        <w:t>Figure</w:t>
      </w:r>
      <w:r w:rsidR="007874F0" w:rsidRPr="002A2504">
        <w:rPr>
          <w:b/>
          <w:bCs/>
          <w:color w:val="000000" w:themeColor="text1"/>
          <w:lang w:val="en-US"/>
        </w:rPr>
        <w:t>s</w:t>
      </w:r>
      <w:r w:rsidR="006D561D" w:rsidRPr="002A2504">
        <w:rPr>
          <w:b/>
          <w:bCs/>
          <w:color w:val="000000" w:themeColor="text1"/>
          <w:lang w:val="en-US"/>
        </w:rPr>
        <w:t xml:space="preserve"> 3 I and J</w:t>
      </w:r>
      <w:r w:rsidRPr="002A2504">
        <w:rPr>
          <w:color w:val="000000" w:themeColor="text1"/>
          <w:lang w:val="en-US"/>
        </w:rPr>
        <w:t xml:space="preserve">). The </w:t>
      </w:r>
      <w:r w:rsidRPr="008414C1">
        <w:rPr>
          <w:lang w:val="en-US"/>
        </w:rPr>
        <w:t xml:space="preserve">stability of a salt bridge depends on the environment, the pH, and the distance and geometric orientation between the involved residues. Salt bridges can be located on the protein surface, and in this case their contribution </w:t>
      </w:r>
      <w:r w:rsidRPr="008414C1">
        <w:rPr>
          <w:lang w:val="en-US"/>
        </w:rPr>
        <w:lastRenderedPageBreak/>
        <w:t xml:space="preserve">to protein stability is in general relatively weak, or they can be found buried within the hydrophobic interior of the folded protein. Studies on different protein families have found that buried salt-bridges are more likely to be conserved, functionally relevant than surface exposed ones </w:t>
      </w:r>
      <w:r w:rsidR="00980521">
        <w:rPr>
          <w:lang w:val="en-US"/>
        </w:rPr>
        <w:fldChar w:fldCharType="begin"/>
      </w:r>
      <w:r w:rsidR="00980521">
        <w:rPr>
          <w:lang w:val="en-US"/>
        </w:rPr>
        <w:instrText xml:space="preserve"> ADDIN ZOTERO_ITEM CSL_CITATION {"citationID":"t0X1yGBc","properties":{"formattedCitation":"(11)","plainCitation":"(11)","noteIndex":0},"citationItems":[{"id":3576,"uris":["http://zotero.org/users/1901135/items/VNL5UQRQ"],"itemData":{"id":3576,"type":"article-journal","abstract":"Salt bridges play important roles in the conformational stability of proteins. However, the effect of a surface salt bridge on the stability remains controversial even today; some reports have shown little contribution of a surface salt bridge to stability, whereas others have shown a favorable contribution. In this study, to elucidate the net contribution of a surface salt bridge to the conformational stability of a protein, systematic mutant human lysozymes, containing one Glu to Gln (E7Q) and five Asp to Asn mutations (D18N, D49N, D67N, D102N, and D120N) at residues where a salt bridge is formed near the surface in the wild-type structure, were examined. The thermodynamic parameters for denaturation between pH 2.0 and 4.8 were determined by use of a differential scanning calorimeter, and the crystal structures were analyzed by X-ray crystallography. The denaturation Gibbs energy (DeltaG) of all mutant proteins was lower than that of the wild-type protein at pH 4, whereas there was little difference between them near pH 2. This is caused by the fact that the Glu and Asp residues are ionized at pH 4 but protonated at pH 2, indicating a favorable contribution of salt bridges to the wild-type structure at pH 4. Each contribution was not equivalent, but we found that the contributions correlate with the solvent inaccessibility of the salt bridges; the salt bridge contribution was small when 100% accessible, while it was about 9 kJ/mol if 100% inaccessible. This conclusion indicates how to reconcile a number of conflicting reports about role of surface salt bridges in protein stability. Furthermore, the effect of salts on surface salt bridges was also examined. In the presence of 0.2 M KCl, the stability at pH 4 decreased, and the differences in stability between the wild-type and mutant proteins were smaller than those in the absence of salts, indicating the compensation to the contribution of salt bridges with salts. Salt bridges with more than 50% accessibility did not contribute to the stability in the presence of 0.2 M KCl.","container-title":"Biochemistry","DOI":"10.1021/bi000849s","ISSN":"0006-2960","issue":"40","journalAbbreviation":"Biochemistry","language":"eng","note":"PMID: 11015217","page":"12375-12381","source":"PubMed","title":"Contribution of salt bridges near the surface of a protein to the conformational stability","volume":"39","author":[{"family":"Takano","given":"K."},{"family":"Tsuchimori","given":"K."},{"family":"Yamagata","given":"Y."},{"family":"Yutani","given":"K."}],"issued":{"date-parts":[["2000",10,10]]}}}],"schema":"https://github.com/citation-style-language/schema/raw/master/csl-citation.json"} </w:instrText>
      </w:r>
      <w:r w:rsidR="00980521">
        <w:rPr>
          <w:lang w:val="en-US"/>
        </w:rPr>
        <w:fldChar w:fldCharType="separate"/>
      </w:r>
      <w:r w:rsidR="00980521">
        <w:rPr>
          <w:noProof/>
          <w:lang w:val="en-US"/>
        </w:rPr>
        <w:t>(11)</w:t>
      </w:r>
      <w:r w:rsidR="00980521">
        <w:rPr>
          <w:lang w:val="en-US"/>
        </w:rPr>
        <w:fldChar w:fldCharType="end"/>
      </w:r>
      <w:r w:rsidR="00980521">
        <w:rPr>
          <w:lang w:val="en-US"/>
        </w:rPr>
        <w:t xml:space="preserve"> </w:t>
      </w:r>
      <w:r w:rsidR="00980521">
        <w:rPr>
          <w:lang w:val="en-US"/>
        </w:rPr>
        <w:fldChar w:fldCharType="begin"/>
      </w:r>
      <w:r w:rsidR="00980521">
        <w:rPr>
          <w:lang w:val="en-US"/>
        </w:rPr>
        <w:instrText xml:space="preserve"> ADDIN ZOTERO_ITEM CSL_CITATION {"citationID":"lfFrnoYH","properties":{"formattedCitation":"(12)","plainCitation":"(12)","noteIndex":0},"citationItems":[{"id":3579,"uris":["http://zotero.org/users/1901135/items/K2RMTM5H"],"itemData":{"id":3579,"type":"article-journal","abstract":"A detailed computational analysis is presented that focuses on the relationship between structural attributes and the degree and mode of salt bridge conservation. A data set of conserved and non-conserved salt bridges was constructed from eight protein families, based on the structural alignment of family members. Salt bridges were defined at the secondary structure level rather than at the residue level, implying different possible modes of conservation: preservation (same charges at the same residue positions), compensation (reversal of charges), and complementation (maintenance of a salt bridge between two segments of secondary structures, not involving the same residue positions). Structural attributes such as the surface accessibility, distance from the active site, or type of secondary structures involved, were studied. No significant differences were found between conserved and non-conserved salt bridges, except for the surface accessibility. Conserved salt bridges were shown to be less exposed than non-conserved ones. Moreover, within the set of conserved salt bridges, the degree of conservation was shown to negatively correlate with surface exposure; however, not to an extent that could indicate a general role for electrostatic interactions in the protein interior. Examination of the most conserved salt bridge in each family showed a variety of typical features: Some involved the terminal segments of the protein, some were buried and one involved the catalytic site of the protein. Hence, the role of salt bridges is more specific, probably in fine tuning of a specific structure through the folding process or in determining the functional site. As for the conservation mode, preservations were found to predominate in the conserved interactions, while complementations were of secondary importance. Compensations occurred only rarely and mostly in exposed salt bridges, suggesting that this mechanism is not utilized frequently and especially not in important interactions.","container-title":"Journal of Molecular Biology","DOI":"10.1006/jmbi.1995.0206","ISSN":"0022-2836","issue":"1","journalAbbreviation":"J Mol Biol","language":"eng","note":"PMID: 7731038","page":"125-135","source":"PubMed","title":"Conservation of salt bridges in protein families","volume":"248","author":[{"family":"Schueler","given":"O."},{"family":"Margalit","given":"H."}],"issued":{"date-parts":[["1995",4,21]]}}}],"schema":"https://github.com/citation-style-language/schema/raw/master/csl-citation.json"} </w:instrText>
      </w:r>
      <w:r w:rsidR="00980521">
        <w:rPr>
          <w:lang w:val="en-US"/>
        </w:rPr>
        <w:fldChar w:fldCharType="separate"/>
      </w:r>
      <w:r w:rsidR="00980521">
        <w:rPr>
          <w:noProof/>
          <w:lang w:val="en-US"/>
        </w:rPr>
        <w:t>(12)</w:t>
      </w:r>
      <w:r w:rsidR="00980521">
        <w:rPr>
          <w:lang w:val="en-US"/>
        </w:rPr>
        <w:fldChar w:fldCharType="end"/>
      </w:r>
      <w:r w:rsidRPr="008414C1">
        <w:rPr>
          <w:lang w:val="en-US"/>
        </w:rPr>
        <w:t xml:space="preserve"> and that they tend to stabilize a protein by about </w:t>
      </w:r>
      <w:r w:rsidR="008446D0">
        <w:rPr>
          <w:lang w:val="en-US"/>
        </w:rPr>
        <w:t>2-</w:t>
      </w:r>
      <w:r w:rsidRPr="008414C1">
        <w:rPr>
          <w:lang w:val="en-US"/>
        </w:rPr>
        <w:t>3 kcal/mol.</w:t>
      </w:r>
      <w:r w:rsidR="00777244">
        <w:rPr>
          <w:lang w:val="en-US"/>
        </w:rPr>
        <w:fldChar w:fldCharType="begin"/>
      </w:r>
      <w:r w:rsidR="00777244">
        <w:rPr>
          <w:lang w:val="en-US"/>
        </w:rPr>
        <w:instrText xml:space="preserve"> ADDIN ZOTERO_ITEM CSL_CITATION {"citationID":"skYMsy3x","properties":{"formattedCitation":"(13)","plainCitation":"(13)","noteIndex":0},"citationItems":[{"id":3581,"uris":["http://zotero.org/users/1901135/items/IE38K75B"],"itemData":{"id":3581,"type":"article-journal","abstract":"Double-mutant cycles are widely used in the field of protein engineering to measure intermolecular and intramolecular interactions. Ideally, there should be no structural rearrangement of the protein on making the two single mutations and the double mutation within the cycle. However, structural pertubation on mutation does not preclude the use of this method, providing the sum of the changes in the single mutants equals the change in the double mutant. In this way, the energy associated with any structural rearrangement cancels in the double-mutant cycle. Previously, the contribution of a buried salt bridge between Arg69 and Asp93 in barnase to the stability of the folded protein has been determined by double-mutant cycle analysis. In order to determine whether the measured interaction of -14.0 kJ mol(-1) represents the true interaction energy, the crystal structure of each mutant within the double-mutant cycle was solved. Although mutation results in structural shifts, the majority of those in the single mutants are also found in the double mutant; their energetic effects in the double-mutant cycle are therefore cancelled. This study highlights the robust nature of the double-mutant cycle analysis.","container-title":"Acta Crystallographica. Section D, Biological Crystallography","DOI":"10.1107/s0907444902001567","ISSN":"0907-4449","issue":"Pt 4","journalAbbreviation":"Acta Crystallogr D Biol Crystallogr","language":"eng","note":"PMID: 11914482","page":"591-600","source":"PubMed","title":"A structural double-mutant cycle: estimating the strength of a buried salt bridge in barnase","title-short":"A structural double-mutant cycle","volume":"58","author":[{"family":"Vaughan","given":"Cara K."},{"family":"Harryson","given":"Pia"},{"family":"Buckle","given":"Ashley M."},{"family":"Fersht","given":"Alan R."}],"issued":{"date-parts":[["2002",4]]}}}],"schema":"https://github.com/citation-style-language/schema/raw/master/csl-citation.json"} </w:instrText>
      </w:r>
      <w:r w:rsidR="00777244">
        <w:rPr>
          <w:lang w:val="en-US"/>
        </w:rPr>
        <w:fldChar w:fldCharType="separate"/>
      </w:r>
      <w:r w:rsidR="00777244">
        <w:rPr>
          <w:noProof/>
          <w:lang w:val="en-US"/>
        </w:rPr>
        <w:t>(13)</w:t>
      </w:r>
      <w:r w:rsidR="00777244">
        <w:rPr>
          <w:lang w:val="en-US"/>
        </w:rPr>
        <w:fldChar w:fldCharType="end"/>
      </w:r>
      <w:r w:rsidRPr="008414C1">
        <w:rPr>
          <w:lang w:val="en-US"/>
        </w:rPr>
        <w:t xml:space="preserve"> The p.</w:t>
      </w:r>
      <w:r w:rsidR="00B84EA1">
        <w:rPr>
          <w:lang w:val="en-US"/>
        </w:rPr>
        <w:t>R</w:t>
      </w:r>
      <w:r w:rsidRPr="008414C1">
        <w:rPr>
          <w:lang w:val="en-US"/>
        </w:rPr>
        <w:t>593</w:t>
      </w:r>
      <w:r w:rsidR="00B84EA1">
        <w:rPr>
          <w:lang w:val="en-US"/>
        </w:rPr>
        <w:t>H</w:t>
      </w:r>
      <w:r w:rsidRPr="008414C1">
        <w:rPr>
          <w:lang w:val="en-US"/>
        </w:rPr>
        <w:t xml:space="preserve"> substitution, on the inactive </w:t>
      </w:r>
      <w:proofErr w:type="spellStart"/>
      <w:r w:rsidRPr="008414C1">
        <w:rPr>
          <w:lang w:val="en-US"/>
        </w:rPr>
        <w:t>sGC</w:t>
      </w:r>
      <w:proofErr w:type="spellEnd"/>
      <w:r w:rsidRPr="008414C1">
        <w:rPr>
          <w:lang w:val="en-US"/>
        </w:rPr>
        <w:t xml:space="preserve"> form, would seem to induce local structural changes mainly due to perturbed electrostatic interactions and the mutation is predicted to be destabilizing (destruction of the R593-E526 salt-bridge in the </w:t>
      </w:r>
      <w:r w:rsidRPr="008D5CB2">
        <w:rPr>
          <w:rFonts w:ascii="Symbol" w:hAnsi="Symbol"/>
        </w:rPr>
        <w:t></w:t>
      </w:r>
      <w:r w:rsidRPr="008414C1">
        <w:rPr>
          <w:lang w:val="en-US"/>
        </w:rPr>
        <w:t xml:space="preserve">-subunit and perturbed ionic bonds between the </w:t>
      </w:r>
      <w:r w:rsidRPr="008D5CB2">
        <w:rPr>
          <w:rFonts w:ascii="Symbol" w:hAnsi="Symbol"/>
        </w:rPr>
        <w:t></w:t>
      </w:r>
      <w:r w:rsidRPr="008414C1">
        <w:rPr>
          <w:lang w:val="en-US"/>
        </w:rPr>
        <w:t xml:space="preserve">-subunit and </w:t>
      </w:r>
      <w:r>
        <w:rPr>
          <w:rFonts w:ascii="Symbol" w:hAnsi="Symbol"/>
        </w:rPr>
        <w:t></w:t>
      </w:r>
      <w:r w:rsidRPr="008414C1">
        <w:rPr>
          <w:lang w:val="en-US"/>
        </w:rPr>
        <w:t xml:space="preserve">-subunit). Although histidine can form salt-bridges, the shape, length, </w:t>
      </w:r>
      <w:proofErr w:type="spellStart"/>
      <w:r w:rsidRPr="008414C1">
        <w:rPr>
          <w:lang w:val="en-US"/>
        </w:rPr>
        <w:t>pKa</w:t>
      </w:r>
      <w:proofErr w:type="spellEnd"/>
      <w:r w:rsidRPr="008414C1">
        <w:rPr>
          <w:lang w:val="en-US"/>
        </w:rPr>
        <w:t xml:space="preserve">, and flexibility of the side chain cannot reproduce the wild-type R residue in this region of </w:t>
      </w:r>
      <w:proofErr w:type="spellStart"/>
      <w:r w:rsidRPr="008414C1">
        <w:rPr>
          <w:lang w:val="en-US"/>
        </w:rPr>
        <w:t>sGC</w:t>
      </w:r>
      <w:proofErr w:type="spellEnd"/>
      <w:r w:rsidRPr="008414C1">
        <w:rPr>
          <w:lang w:val="en-US"/>
        </w:rPr>
        <w:t xml:space="preserve">. The </w:t>
      </w:r>
      <w:r w:rsidR="00B84EA1">
        <w:rPr>
          <w:lang w:val="en-US"/>
        </w:rPr>
        <w:t>arginine</w:t>
      </w:r>
      <w:r w:rsidRPr="008414C1">
        <w:rPr>
          <w:lang w:val="en-US"/>
        </w:rPr>
        <w:t xml:space="preserve"> to </w:t>
      </w:r>
      <w:r w:rsidR="00B84EA1">
        <w:rPr>
          <w:lang w:val="en-US"/>
        </w:rPr>
        <w:t>histidine</w:t>
      </w:r>
      <w:r w:rsidRPr="008414C1">
        <w:rPr>
          <w:lang w:val="en-US"/>
        </w:rPr>
        <w:t xml:space="preserve"> substitution in the NO-activated </w:t>
      </w:r>
      <w:proofErr w:type="spellStart"/>
      <w:r w:rsidRPr="008414C1">
        <w:rPr>
          <w:lang w:val="en-US"/>
        </w:rPr>
        <w:t>sGC</w:t>
      </w:r>
      <w:proofErr w:type="spellEnd"/>
      <w:r w:rsidRPr="008414C1">
        <w:rPr>
          <w:lang w:val="en-US"/>
        </w:rPr>
        <w:t xml:space="preserve"> structure should induce similar problems (local structural changes and destabilization) and in addition impede the interactions between the R593 of the </w:t>
      </w:r>
      <w:r w:rsidRPr="008D5CB2">
        <w:rPr>
          <w:rFonts w:ascii="Symbol" w:hAnsi="Symbol"/>
        </w:rPr>
        <w:t></w:t>
      </w:r>
      <w:r w:rsidRPr="008414C1">
        <w:rPr>
          <w:lang w:val="en-US"/>
        </w:rPr>
        <w:t xml:space="preserve">-subunit and the R539 of the </w:t>
      </w:r>
      <w:r>
        <w:rPr>
          <w:rFonts w:ascii="Symbol" w:hAnsi="Symbol"/>
        </w:rPr>
        <w:t></w:t>
      </w:r>
      <w:r w:rsidRPr="008414C1">
        <w:rPr>
          <w:lang w:val="en-US"/>
        </w:rPr>
        <w:t xml:space="preserve">-subunit that seems critical for the proposer orientation of the amino acid side chains involved in the salt bridge network. Further, because R593 of the </w:t>
      </w:r>
      <w:r>
        <w:rPr>
          <w:rFonts w:ascii="Symbol" w:hAnsi="Symbol"/>
        </w:rPr>
        <w:t></w:t>
      </w:r>
      <w:r w:rsidRPr="008414C1">
        <w:rPr>
          <w:lang w:val="en-US"/>
        </w:rPr>
        <w:t>-subunit forms a salt-bridge with E526 (</w:t>
      </w:r>
      <w:r w:rsidRPr="008D5CB2">
        <w:rPr>
          <w:rFonts w:ascii="Symbol" w:hAnsi="Symbol"/>
        </w:rPr>
        <w:t></w:t>
      </w:r>
      <w:r w:rsidRPr="008414C1">
        <w:rPr>
          <w:lang w:val="en-US"/>
        </w:rPr>
        <w:t>-subunit) and with E473 (</w:t>
      </w:r>
      <w:r>
        <w:rPr>
          <w:rFonts w:ascii="Symbol" w:hAnsi="Symbol"/>
        </w:rPr>
        <w:t></w:t>
      </w:r>
      <w:r w:rsidRPr="008414C1">
        <w:rPr>
          <w:lang w:val="en-US"/>
        </w:rPr>
        <w:t xml:space="preserve">-subunit) and that this E473 has polar contacts with the GTP substrate, it is possible that the </w:t>
      </w:r>
      <w:r w:rsidR="00B84EA1">
        <w:rPr>
          <w:lang w:val="en-US"/>
        </w:rPr>
        <w:t>p.</w:t>
      </w:r>
      <w:r w:rsidRPr="008414C1">
        <w:rPr>
          <w:lang w:val="en-US"/>
        </w:rPr>
        <w:t xml:space="preserve">R593H perturbs the binding of the GTP substrate or even affect structural changes to allow the proper formation of the GTP binding pocket. In </w:t>
      </w:r>
      <w:r w:rsidRPr="002A2504">
        <w:rPr>
          <w:color w:val="000000" w:themeColor="text1"/>
          <w:lang w:val="en-US"/>
        </w:rPr>
        <w:t xml:space="preserve">fact, the region directly surrounding R593 is known to play different roles with regard to the activity of </w:t>
      </w:r>
      <w:proofErr w:type="spellStart"/>
      <w:r w:rsidRPr="002A2504">
        <w:rPr>
          <w:color w:val="000000" w:themeColor="text1"/>
          <w:lang w:val="en-US"/>
        </w:rPr>
        <w:t>sGC</w:t>
      </w:r>
      <w:proofErr w:type="spellEnd"/>
      <w:r w:rsidRPr="002A2504">
        <w:rPr>
          <w:color w:val="000000" w:themeColor="text1"/>
          <w:lang w:val="en-US"/>
        </w:rPr>
        <w:t xml:space="preserve">. The substitution </w:t>
      </w:r>
      <w:r w:rsidR="00B84EA1" w:rsidRPr="002A2504">
        <w:rPr>
          <w:color w:val="000000" w:themeColor="text1"/>
          <w:lang w:val="en-US"/>
        </w:rPr>
        <w:t>p.</w:t>
      </w:r>
      <w:r w:rsidRPr="002A2504">
        <w:rPr>
          <w:color w:val="000000" w:themeColor="text1"/>
          <w:lang w:val="en-US"/>
        </w:rPr>
        <w:t>C595</w:t>
      </w:r>
      <w:r w:rsidR="00E23FA5" w:rsidRPr="002A2504">
        <w:rPr>
          <w:color w:val="000000" w:themeColor="text1"/>
          <w:lang w:val="en-US"/>
        </w:rPr>
        <w:t>Y</w:t>
      </w:r>
      <w:r w:rsidRPr="002A2504">
        <w:rPr>
          <w:color w:val="000000" w:themeColor="text1"/>
          <w:lang w:val="en-US"/>
        </w:rPr>
        <w:t xml:space="preserve"> in the </w:t>
      </w:r>
      <w:r w:rsidRPr="002A2504">
        <w:rPr>
          <w:rFonts w:ascii="Symbol" w:hAnsi="Symbol"/>
          <w:color w:val="000000" w:themeColor="text1"/>
        </w:rPr>
        <w:t></w:t>
      </w:r>
      <w:r w:rsidRPr="002A2504">
        <w:rPr>
          <w:color w:val="000000" w:themeColor="text1"/>
          <w:lang w:val="en-US"/>
        </w:rPr>
        <w:t xml:space="preserve">-subunit severely impair </w:t>
      </w:r>
      <w:proofErr w:type="spellStart"/>
      <w:r w:rsidRPr="002A2504">
        <w:rPr>
          <w:color w:val="000000" w:themeColor="text1"/>
          <w:lang w:val="en-US"/>
        </w:rPr>
        <w:t>sGC</w:t>
      </w:r>
      <w:proofErr w:type="spellEnd"/>
      <w:r w:rsidRPr="002A2504">
        <w:rPr>
          <w:color w:val="000000" w:themeColor="text1"/>
          <w:lang w:val="en-US"/>
        </w:rPr>
        <w:t xml:space="preserve"> activity </w:t>
      </w:r>
      <w:r w:rsidR="00210852">
        <w:rPr>
          <w:color w:val="000000" w:themeColor="text1"/>
          <w:lang w:val="en-US"/>
        </w:rPr>
        <w:fldChar w:fldCharType="begin"/>
      </w:r>
      <w:r w:rsidR="00210852">
        <w:rPr>
          <w:color w:val="000000" w:themeColor="text1"/>
          <w:lang w:val="en-US"/>
        </w:rPr>
        <w:instrText xml:space="preserve"> ADDIN ZOTERO_ITEM CSL_CITATION {"citationID":"UkivHTKB","properties":{"formattedCitation":"(14)","plainCitation":"(14)","noteIndex":0},"citationItems":[{"id":3590,"uris":["http://zotero.org/users/1901135/items/3CDJI3DC"],"itemData":{"id":3590,"type":"article-journal","abstract":"Since a nitric oxide-sensitive form of guanylyl cyclase exists as a heterodimer, mutations disrupting catalysis but not heterodimer formation could serve as dominant negative mutations. Two mutations within the catalytic region of the alpha subunit (alpha 1D513A, alpha 1D529A) caused complete losses of basal and sodium nitroprusside-stimulated guanylyl cyclase activity; however, the mutant alpha subunits continued to form heterodimers with wild-type beta-subunit. Rat insulinoma cells, which contain the alpha 1 beta 1 form of guanylyl cyclase, were stably transfected with alpha 1D513A or alpha 1D529A. The response to sodium nitroprusside, which exceeded 200-fold in the presence of wild-type alpha 1, was markedly reduced by the expression of either mutant subunit. In contrast, the mutant subunits failed to inhibit heat-stable enterotoxin-induced cGMP elevations; the bacterial peptide elevated insulinoma cell cGMP approximately 100-fold. The two point mutations, therefore, result in dominant negative proteins that can effectively and specifically block the NO/cGMP signaling pathway. These are also the first studies to show that, although both the alpha and beta subunits contain regions homologous to putative cyclase catalytic regions, a point mutation in just one of the subunits can completely inhibit cyclase activity.","container-title":"The Journal of Biological Chemistry","ISSN":"0021-9258","issue":"2","journalAbbreviation":"J Biol Chem","language":"eng","note":"PMID: 7904602","page":"791-793","source":"PubMed","title":"Dominant negative mutants of nitric oxide-sensitive guanylyl cyclase","volume":"269","author":[{"family":"Yuen","given":"P. S."},{"family":"Doolittle","given":"L. K."},{"family":"Garbers","given":"D. L."}],"issued":{"date-parts":[["1994",1,14]]}}}],"schema":"https://github.com/citation-style-language/schema/raw/master/csl-citation.json"} </w:instrText>
      </w:r>
      <w:r w:rsidR="00210852">
        <w:rPr>
          <w:color w:val="000000" w:themeColor="text1"/>
          <w:lang w:val="en-US"/>
        </w:rPr>
        <w:fldChar w:fldCharType="separate"/>
      </w:r>
      <w:r w:rsidR="00210852">
        <w:rPr>
          <w:noProof/>
          <w:color w:val="000000" w:themeColor="text1"/>
          <w:lang w:val="en-US"/>
        </w:rPr>
        <w:t>(14)</w:t>
      </w:r>
      <w:r w:rsidR="00210852">
        <w:rPr>
          <w:color w:val="000000" w:themeColor="text1"/>
          <w:lang w:val="en-US"/>
        </w:rPr>
        <w:fldChar w:fldCharType="end"/>
      </w:r>
      <w:r w:rsidRPr="002A2504">
        <w:rPr>
          <w:color w:val="000000" w:themeColor="text1"/>
          <w:lang w:val="en-US"/>
        </w:rPr>
        <w:t xml:space="preserve"> while the </w:t>
      </w:r>
      <w:r w:rsidR="00B84EA1" w:rsidRPr="002A2504">
        <w:rPr>
          <w:color w:val="000000" w:themeColor="text1"/>
          <w:lang w:val="en-US"/>
        </w:rPr>
        <w:t>p.</w:t>
      </w:r>
      <w:r w:rsidRPr="002A2504">
        <w:rPr>
          <w:color w:val="000000" w:themeColor="text1"/>
          <w:lang w:val="en-US"/>
        </w:rPr>
        <w:t>C595S mutation dramatically increases the basal activity of the protein</w:t>
      </w:r>
      <w:r w:rsidR="00210852">
        <w:rPr>
          <w:color w:val="000000" w:themeColor="text1"/>
          <w:lang w:val="en-US"/>
        </w:rPr>
        <w:t>.</w:t>
      </w:r>
      <w:r w:rsidR="00210852">
        <w:rPr>
          <w:color w:val="000000" w:themeColor="text1"/>
          <w:lang w:val="en-US"/>
        </w:rPr>
        <w:fldChar w:fldCharType="begin"/>
      </w:r>
      <w:r w:rsidR="00210852">
        <w:rPr>
          <w:color w:val="000000" w:themeColor="text1"/>
          <w:lang w:val="en-US"/>
        </w:rPr>
        <w:instrText xml:space="preserve"> ADDIN ZOTERO_ITEM CSL_CITATION {"citationID":"3w8ZIQIV","properties":{"formattedCitation":"(15)","plainCitation":"(15)","noteIndex":0},"citationItems":[{"id":3592,"uris":["http://zotero.org/users/1901135/items/Y544B7BQ"],"itemData":{"id":3592,"type":"article-journal","abstract":"Guanylyl cyclases (GCs) and adenylyl cyclases (ACs) play key roles in various signaling cascades and are structurally closely related. The crystal structure of a soluble AC revealed one binding site each for the substrate ATP and the activator forskolin. Recently, YC-1, a novel activator of the heterodimeric soluble GC (sGC), has been identified which acts like forskolin on AC. Here, we investigated the respective substrate and potential activator domains of sGC using point-mutated subunits. Whereas substitution of the conserved Cys-541 of the beta(1) subunit with serine led to an almost complete loss of activity, mutation of the respective homologue (Cys-596) in the alpha(1) subunit yielded an enzyme with an increased catalytic rate and higher sensitivity toward NO. This phenotype exhibits characteristics similar to those of the YC-1-treated wild-type enzyme. Conceivably, this domain which corresponds to the forskolin site of the ACs may comprise the binding site for YC-1.","container-title":"Biochemistry","DOI":"10.1021/bi9908944","ISSN":"0006-2960","issue":"46","journalAbbreviation":"Biochemistry","language":"eng","note":"PMID: 10563809","page":"15253-15257","source":"PubMed","title":"A point-mutated guanylyl cyclase with features of the YC-1-stimulated enzyme: implications for the YC-1 binding site?","title-short":"A point-mutated guanylyl cyclase with features of the YC-1-stimulated enzyme","volume":"38","author":[{"family":"Friebe","given":"A."},{"family":"Russwurm","given":"M."},{"family":"Mergia","given":"E."},{"family":"Koesling","given":"D."}],"issued":{"date-parts":[["1999",11,16]]}}}],"schema":"https://github.com/citation-style-language/schema/raw/master/csl-citation.json"} </w:instrText>
      </w:r>
      <w:r w:rsidR="00210852">
        <w:rPr>
          <w:color w:val="000000" w:themeColor="text1"/>
          <w:lang w:val="en-US"/>
        </w:rPr>
        <w:fldChar w:fldCharType="separate"/>
      </w:r>
      <w:r w:rsidR="00210852">
        <w:rPr>
          <w:noProof/>
          <w:color w:val="000000" w:themeColor="text1"/>
          <w:lang w:val="en-US"/>
        </w:rPr>
        <w:t>(15)</w:t>
      </w:r>
      <w:r w:rsidR="00210852">
        <w:rPr>
          <w:color w:val="000000" w:themeColor="text1"/>
          <w:lang w:val="en-US"/>
        </w:rPr>
        <w:fldChar w:fldCharType="end"/>
      </w:r>
      <w:r w:rsidRPr="002A2504">
        <w:rPr>
          <w:color w:val="000000" w:themeColor="text1"/>
          <w:lang w:val="en-US"/>
        </w:rPr>
        <w:t xml:space="preserve"> A serine at position 595 should be tolerated in this region of </w:t>
      </w:r>
      <w:proofErr w:type="spellStart"/>
      <w:r w:rsidRPr="002A2504">
        <w:rPr>
          <w:color w:val="000000" w:themeColor="text1"/>
          <w:lang w:val="en-US"/>
        </w:rPr>
        <w:t>sGC</w:t>
      </w:r>
      <w:proofErr w:type="spellEnd"/>
      <w:r w:rsidRPr="002A2504">
        <w:rPr>
          <w:color w:val="000000" w:themeColor="text1"/>
          <w:lang w:val="en-US"/>
        </w:rPr>
        <w:t xml:space="preserve"> while a bulky </w:t>
      </w:r>
      <w:r w:rsidR="00B84EA1" w:rsidRPr="002A2504">
        <w:rPr>
          <w:color w:val="000000" w:themeColor="text1"/>
          <w:lang w:val="en-US"/>
        </w:rPr>
        <w:t>tyrosine</w:t>
      </w:r>
      <w:r w:rsidRPr="002A2504">
        <w:rPr>
          <w:color w:val="000000" w:themeColor="text1"/>
          <w:lang w:val="en-US"/>
        </w:rPr>
        <w:t xml:space="preserve"> will create steric clashes and local structural changes. In fact, residues 595 with the nearby E526 have been suggested already to play a key role at the interface between the </w:t>
      </w:r>
      <w:r w:rsidRPr="002A2504">
        <w:rPr>
          <w:rFonts w:ascii="Symbol" w:hAnsi="Symbol"/>
          <w:color w:val="000000" w:themeColor="text1"/>
        </w:rPr>
        <w:t></w:t>
      </w:r>
      <w:r w:rsidRPr="002A2504">
        <w:rPr>
          <w:color w:val="000000" w:themeColor="text1"/>
          <w:lang w:val="en-US"/>
        </w:rPr>
        <w:t xml:space="preserve">- and </w:t>
      </w:r>
      <w:r w:rsidRPr="002A2504">
        <w:rPr>
          <w:rFonts w:ascii="Symbol" w:hAnsi="Symbol"/>
          <w:color w:val="000000" w:themeColor="text1"/>
        </w:rPr>
        <w:t></w:t>
      </w:r>
      <w:r w:rsidRPr="002A2504">
        <w:rPr>
          <w:color w:val="000000" w:themeColor="text1"/>
          <w:lang w:val="en-US"/>
        </w:rPr>
        <w:t xml:space="preserve">-subunits, they are located in a region that undergoes major conformational changes during activation and it has even been proposed that a </w:t>
      </w:r>
      <w:r w:rsidR="00B84EA1" w:rsidRPr="002A2504">
        <w:rPr>
          <w:color w:val="000000" w:themeColor="text1"/>
          <w:lang w:val="en-US"/>
        </w:rPr>
        <w:t>tyrosine</w:t>
      </w:r>
      <w:r w:rsidRPr="002A2504">
        <w:rPr>
          <w:color w:val="000000" w:themeColor="text1"/>
          <w:lang w:val="en-US"/>
        </w:rPr>
        <w:t xml:space="preserve"> at position 595 could damage the nearby GTP-binding pocket and prevent conformational changes </w:t>
      </w:r>
      <w:r w:rsidRPr="002A2504">
        <w:rPr>
          <w:color w:val="000000" w:themeColor="text1"/>
          <w:lang w:val="en-US"/>
        </w:rPr>
        <w:lastRenderedPageBreak/>
        <w:t>in the active site</w:t>
      </w:r>
      <w:r w:rsidR="003005FF">
        <w:rPr>
          <w:color w:val="000000" w:themeColor="text1"/>
          <w:lang w:val="en-US"/>
        </w:rPr>
        <w:t>.</w:t>
      </w:r>
      <w:r w:rsidR="0061609D">
        <w:rPr>
          <w:color w:val="000000" w:themeColor="text1"/>
          <w:lang w:val="en-US"/>
        </w:rPr>
        <w:t xml:space="preserve"> </w:t>
      </w:r>
      <w:r w:rsidR="003005FF">
        <w:rPr>
          <w:color w:val="000000" w:themeColor="text1"/>
          <w:lang w:val="en-US"/>
        </w:rPr>
        <w:fldChar w:fldCharType="begin"/>
      </w:r>
      <w:r w:rsidR="00210852">
        <w:rPr>
          <w:color w:val="000000" w:themeColor="text1"/>
          <w:lang w:val="en-US"/>
        </w:rPr>
        <w:instrText xml:space="preserve"> ADDIN ZOTERO_ITEM CSL_CITATION {"citationID":"rbmDjtGl","properties":{"formattedCitation":"(16)","plainCitation":"(16)","noteIndex":0},"citationItems":[{"id":3584,"uris":["http://zotero.org/users/1901135/items/4A99KFBU"],"itemData":{"id":3584,"type":"article-journal","abstract":"Soluble guanylyl cyclase (sGC) is the main receptor for nitric oxide (NO) and a central component of the NO-cGMP pathway, critical to cardiovascular function. NO binding to the N-terminal sensor domain in sGC enhances the cyclase activity of the C-terminal catalytic domain. Our understanding of the structural elements regulating this signaling cascade is limited, hindering structure-based drug design efforts that target sGC to improve the management of cardiovascular diseases. Conformational changes are thought to propagate the NO-binding signal throughout the entire sGC heterodimer, via its coiled-coil domain, to reorient the catalytic domain into an active conformation. To identify the structural elements involved in this signal transduction cascade, here we optimized a cGMP-based luciferase assay that reports on heterologous sGC activity in Escherichia coli and identified several mutations that activate sGC. These mutations resided in the dorsal flaps, dimer interface, and GTP-binding regions of the catalytic domain. Combinations of mutations from these different elements synergized, resulting in even greater activity and indicating a complex cross-talk among these regions. Molecular dynamics simulations further revealed conformational changes underlying the functional impact of these mutations. We propose that the interfacial residues play a central role in the sGC activation mechanism by coupling the coiled-coil domain to the active site via a series of hot spots. Our results provide new mechanistic insights not only into the molecular pathway for sGC activation but also for other members of the larger nucleotidyl cyclase family.","container-title":"The Journal of Biological Chemistry","DOI":"10.1074/jbc.RA119.011010","ISSN":"1083-351X","issue":"48","journalAbbreviation":"J Biol Chem","language":"eng","note":"PMID: 31645439\nPMCID: PMC6885636","page":"18451-18464","source":"PubMed","title":"Synergistic mutations in soluble guanylyl cyclase (sGC) reveal a key role for interfacial regions in the sGC activation mechanism","volume":"294","author":[{"family":"Childers","given":"Kenneth C."},{"family":"Yao","given":"Xin-Qiu"},{"family":"Giannakoulias","given":"Sam"},{"family":"Amason","given":"Joshua"},{"family":"Hamelberg","given":"Donald"},{"family":"Garcin","given":"Elsa D."}],"issued":{"date-parts":[["2019",11,29]]}}}],"schema":"https://github.com/citation-style-language/schema/raw/master/csl-citation.json"} </w:instrText>
      </w:r>
      <w:r w:rsidR="003005FF">
        <w:rPr>
          <w:color w:val="000000" w:themeColor="text1"/>
          <w:lang w:val="en-US"/>
        </w:rPr>
        <w:fldChar w:fldCharType="separate"/>
      </w:r>
      <w:r w:rsidR="00210852">
        <w:rPr>
          <w:noProof/>
          <w:color w:val="000000" w:themeColor="text1"/>
          <w:lang w:val="en-US"/>
        </w:rPr>
        <w:t>(16)</w:t>
      </w:r>
      <w:r w:rsidR="003005FF">
        <w:rPr>
          <w:color w:val="000000" w:themeColor="text1"/>
          <w:lang w:val="en-US"/>
        </w:rPr>
        <w:fldChar w:fldCharType="end"/>
      </w:r>
      <w:r w:rsidR="0061609D">
        <w:rPr>
          <w:color w:val="000000" w:themeColor="text1"/>
          <w:lang w:val="en-US"/>
        </w:rPr>
        <w:t xml:space="preserve"> </w:t>
      </w:r>
      <w:r w:rsidR="0061609D">
        <w:rPr>
          <w:color w:val="000000" w:themeColor="text1"/>
          <w:lang w:val="en-US"/>
        </w:rPr>
        <w:fldChar w:fldCharType="begin"/>
      </w:r>
      <w:r w:rsidR="00210852">
        <w:rPr>
          <w:color w:val="000000" w:themeColor="text1"/>
          <w:lang w:val="en-US"/>
        </w:rPr>
        <w:instrText xml:space="preserve"> ADDIN ZOTERO_ITEM CSL_CITATION {"citationID":"qeAZorsd","properties":{"formattedCitation":"(17)","plainCitation":"(17)","noteIndex":0},"citationItems":[{"id":3587,"uris":["http://zotero.org/users/1901135/items/YP4ZQW9M"],"itemData":{"id":3587,"type":"article-journal","abstract":"1. A method is described for altering the ionic composition of the alveolar (residual) milk in the goat mammary gland. Transepithelial (blood-milk) potential difference (PD) was recorded before and after composition was changed. 2. When [Na+] and [K+] were varied while [Na+ + K+] and [Cl-] were maintained constant, there were no significant changes in PD. 3. When [Na+] was varied, with [K+] and [Cl-] constant, there was a linear relation between PD and log [Na+], with a change of 18 mV per tenfold change in concentration. 4. When [K+] was varied, with [Na+] and [Cl-] constant, there was a linear relation between PD and log [K+], with a change of 24 mV per tenfold change. 5. In view of the lack of discrimination between Na+ and K+ in the first experiment, the sum of [Na+] and [K+] was considered. In the experiments in which [Na+] or [K+] were varied, there was a change of 37 and 38 mV, respectively, per tenfold change in [Na+ + K+]. The quantitative effects on PD of changing [Na+] or [K+] when expressed as changes in [Na+ + K+] were not significantly different. 6. When [Cl-] was varied, with [Na+] and [K+] constant, there was a linear relation between PD and log [Cl-], with a change of 22 mV per tenfold change. 7. The results are discussed in relation to the types of ion channel that might be present in the apical membrane of the secretory cell and in relation to hypotheses on the mechanisms of ion transport in the mammary gland.(ABSTRACT TRUNCATED AT 250 WORDS)","container-title":"The Journal of Physiology","ISSN":"0022-3751","journalAbbreviation":"J Physiol","note":"PMID: 2466984\nPMCID: PMC1191906","page":"533-541","source":"PubMed Central","title":"Effect of ionic composition of milk on transepithelial potential in the goat mammary gland.","volume":"402","author":[{"family":"Blatchford","given":"D R"},{"family":"Peaker","given":"M"}],"issued":{"date-parts":[["1988",8]]}}}],"schema":"https://github.com/citation-style-language/schema/raw/master/csl-citation.json"} </w:instrText>
      </w:r>
      <w:r w:rsidR="0061609D">
        <w:rPr>
          <w:color w:val="000000" w:themeColor="text1"/>
          <w:lang w:val="en-US"/>
        </w:rPr>
        <w:fldChar w:fldCharType="separate"/>
      </w:r>
      <w:r w:rsidR="00210852">
        <w:rPr>
          <w:noProof/>
          <w:color w:val="000000" w:themeColor="text1"/>
          <w:lang w:val="en-US"/>
        </w:rPr>
        <w:t>(17)</w:t>
      </w:r>
      <w:r w:rsidR="0061609D">
        <w:rPr>
          <w:color w:val="000000" w:themeColor="text1"/>
          <w:lang w:val="en-US"/>
        </w:rPr>
        <w:fldChar w:fldCharType="end"/>
      </w:r>
      <w:r w:rsidRPr="002A2504">
        <w:rPr>
          <w:color w:val="000000" w:themeColor="text1"/>
          <w:lang w:val="en-US"/>
        </w:rPr>
        <w:t xml:space="preserve"> None of these previous studies discussed the striking buried salt-bridge network that we report here. We propose that the </w:t>
      </w:r>
      <w:r w:rsidR="00B84EA1" w:rsidRPr="002A2504">
        <w:rPr>
          <w:color w:val="000000" w:themeColor="text1"/>
          <w:lang w:val="en-US"/>
        </w:rPr>
        <w:t>p.</w:t>
      </w:r>
      <w:r w:rsidRPr="002A2504">
        <w:rPr>
          <w:color w:val="000000" w:themeColor="text1"/>
          <w:lang w:val="en-US"/>
        </w:rPr>
        <w:t xml:space="preserve">R593H substitution could have similar functional role than the </w:t>
      </w:r>
      <w:r w:rsidR="00B84EA1" w:rsidRPr="002A2504">
        <w:rPr>
          <w:color w:val="000000" w:themeColor="text1"/>
          <w:lang w:val="en-US"/>
        </w:rPr>
        <w:t>p.</w:t>
      </w:r>
      <w:r w:rsidRPr="002A2504">
        <w:rPr>
          <w:color w:val="000000" w:themeColor="text1"/>
          <w:lang w:val="en-US"/>
        </w:rPr>
        <w:t xml:space="preserve">C595Y mutation, it should induce local structural changes and be destabilizing, it should perturb the dimer interface of the catalytic module and possibly alter the binding of GTP and/or impede the necessary conformational changes that are required to form the proper GTP binding site. Because R593 is next the transducer module and near the interface of the catalytic module and next to the substrate binding site, it is likely that the </w:t>
      </w:r>
      <w:r w:rsidR="00B84EA1" w:rsidRPr="002A2504">
        <w:rPr>
          <w:color w:val="000000" w:themeColor="text1"/>
          <w:lang w:val="en-US"/>
        </w:rPr>
        <w:t>p.</w:t>
      </w:r>
      <w:r w:rsidRPr="002A2504">
        <w:rPr>
          <w:color w:val="000000" w:themeColor="text1"/>
          <w:lang w:val="en-US"/>
        </w:rPr>
        <w:t>R593</w:t>
      </w:r>
      <w:r w:rsidR="00B84EA1" w:rsidRPr="002A2504">
        <w:rPr>
          <w:color w:val="000000" w:themeColor="text1"/>
          <w:lang w:val="en-US"/>
        </w:rPr>
        <w:t>H</w:t>
      </w:r>
      <w:r w:rsidRPr="002A2504">
        <w:rPr>
          <w:color w:val="000000" w:themeColor="text1"/>
          <w:lang w:val="en-US"/>
        </w:rPr>
        <w:t xml:space="preserve"> substitution impacts the 3D structure in this region, the dynamics of the protein and its stability and thus affect the flow of information along the transducer module between the sensor module and the catalytic module.</w:t>
      </w:r>
    </w:p>
    <w:p w14:paraId="5A96B7C7" w14:textId="63152901" w:rsidR="001851C8" w:rsidRDefault="001851C8" w:rsidP="000F65A0">
      <w:pPr>
        <w:spacing w:line="480" w:lineRule="auto"/>
        <w:jc w:val="both"/>
        <w:rPr>
          <w:color w:val="000000" w:themeColor="text1"/>
          <w:lang w:val="en-US"/>
        </w:rPr>
      </w:pPr>
    </w:p>
    <w:p w14:paraId="3DD2F1CA" w14:textId="75E758DA" w:rsidR="001851C8" w:rsidRDefault="001851C8" w:rsidP="000F65A0">
      <w:pPr>
        <w:spacing w:line="480" w:lineRule="auto"/>
        <w:jc w:val="both"/>
        <w:rPr>
          <w:color w:val="000000" w:themeColor="text1"/>
          <w:lang w:val="en-US"/>
        </w:rPr>
      </w:pPr>
      <w:r>
        <w:rPr>
          <w:color w:val="000000" w:themeColor="text1"/>
          <w:lang w:val="en-US"/>
        </w:rPr>
        <w:t xml:space="preserve">References: </w:t>
      </w:r>
    </w:p>
    <w:p w14:paraId="4BE76FD4" w14:textId="77777777" w:rsidR="00210852" w:rsidRPr="00210852" w:rsidRDefault="0061609D" w:rsidP="00210852">
      <w:pPr>
        <w:pStyle w:val="Bibliography"/>
        <w:rPr>
          <w:color w:val="000000"/>
        </w:rPr>
      </w:pPr>
      <w:r>
        <w:fldChar w:fldCharType="begin"/>
      </w:r>
      <w:r w:rsidR="00210852">
        <w:instrText xml:space="preserve"> ADDIN ZOTERO_BIBL {"uncited":[],"omitted":[],"custom":[]} CSL_BIBLIOGRAPHY </w:instrText>
      </w:r>
      <w:r>
        <w:fldChar w:fldCharType="separate"/>
      </w:r>
      <w:r w:rsidR="00210852" w:rsidRPr="00210852">
        <w:rPr>
          <w:color w:val="000000"/>
        </w:rPr>
        <w:t>1.</w:t>
      </w:r>
      <w:r w:rsidR="00210852" w:rsidRPr="00210852">
        <w:rPr>
          <w:color w:val="000000"/>
        </w:rPr>
        <w:tab/>
        <w:t xml:space="preserve">Pettersen EF, Goddard TD, Huang CC, Couch GS, Greenblatt DM, Meng EC, et al. UCSF Chimera--a visualization system for exploratory research and analysis. J </w:t>
      </w:r>
      <w:proofErr w:type="spellStart"/>
      <w:r w:rsidR="00210852" w:rsidRPr="00210852">
        <w:rPr>
          <w:color w:val="000000"/>
        </w:rPr>
        <w:t>Comput</w:t>
      </w:r>
      <w:proofErr w:type="spellEnd"/>
      <w:r w:rsidR="00210852" w:rsidRPr="00210852">
        <w:rPr>
          <w:color w:val="000000"/>
        </w:rPr>
        <w:t xml:space="preserve"> Chem. 2004 Oct;25(13):1605–12. </w:t>
      </w:r>
    </w:p>
    <w:p w14:paraId="08BA0125" w14:textId="77777777" w:rsidR="00210852" w:rsidRPr="00210852" w:rsidRDefault="00210852" w:rsidP="00210852">
      <w:pPr>
        <w:pStyle w:val="Bibliography"/>
        <w:rPr>
          <w:color w:val="000000"/>
        </w:rPr>
      </w:pPr>
      <w:r w:rsidRPr="00210852">
        <w:rPr>
          <w:color w:val="000000"/>
        </w:rPr>
        <w:t>2.</w:t>
      </w:r>
      <w:r w:rsidRPr="00210852">
        <w:rPr>
          <w:color w:val="000000"/>
        </w:rPr>
        <w:tab/>
        <w:t xml:space="preserve">Pettersen EF, Goddard TD, Huang CC, Meng EC, Couch GS, </w:t>
      </w:r>
      <w:proofErr w:type="spellStart"/>
      <w:r w:rsidRPr="00210852">
        <w:rPr>
          <w:color w:val="000000"/>
        </w:rPr>
        <w:t>Croll</w:t>
      </w:r>
      <w:proofErr w:type="spellEnd"/>
      <w:r w:rsidRPr="00210852">
        <w:rPr>
          <w:color w:val="000000"/>
        </w:rPr>
        <w:t xml:space="preserve"> TI, et al. UCSF </w:t>
      </w:r>
      <w:proofErr w:type="spellStart"/>
      <w:r w:rsidRPr="00210852">
        <w:rPr>
          <w:color w:val="000000"/>
        </w:rPr>
        <w:t>ChimeraX</w:t>
      </w:r>
      <w:proofErr w:type="spellEnd"/>
      <w:r w:rsidRPr="00210852">
        <w:rPr>
          <w:color w:val="000000"/>
        </w:rPr>
        <w:t xml:space="preserve">: Structure visualization for researchers, educators, and developers. Protein Sci </w:t>
      </w:r>
      <w:proofErr w:type="spellStart"/>
      <w:r w:rsidRPr="00210852">
        <w:rPr>
          <w:color w:val="000000"/>
        </w:rPr>
        <w:t>Publ</w:t>
      </w:r>
      <w:proofErr w:type="spellEnd"/>
      <w:r w:rsidRPr="00210852">
        <w:rPr>
          <w:color w:val="000000"/>
        </w:rPr>
        <w:t xml:space="preserve"> Protein Soc. 2021 Jan;30(1):70–82. </w:t>
      </w:r>
    </w:p>
    <w:p w14:paraId="62CA95D9" w14:textId="77777777" w:rsidR="00210852" w:rsidRPr="00210852" w:rsidRDefault="00210852" w:rsidP="00210852">
      <w:pPr>
        <w:pStyle w:val="Bibliography"/>
        <w:rPr>
          <w:color w:val="000000"/>
        </w:rPr>
      </w:pPr>
      <w:r w:rsidRPr="00210852">
        <w:rPr>
          <w:color w:val="000000"/>
        </w:rPr>
        <w:t>3.</w:t>
      </w:r>
      <w:r w:rsidRPr="00210852">
        <w:rPr>
          <w:color w:val="000000"/>
        </w:rPr>
        <w:tab/>
        <w:t>Pires DEV, Ascher DB, Blundell TL. DUET: a server for predicting effects of mutations on protein stability using an integrated computational approach. Nucleic Acids Res. 2014 Jul;42(Web Server issue</w:t>
      </w:r>
      <w:proofErr w:type="gramStart"/>
      <w:r w:rsidRPr="00210852">
        <w:rPr>
          <w:color w:val="000000"/>
        </w:rPr>
        <w:t>):W</w:t>
      </w:r>
      <w:proofErr w:type="gramEnd"/>
      <w:r w:rsidRPr="00210852">
        <w:rPr>
          <w:color w:val="000000"/>
        </w:rPr>
        <w:t xml:space="preserve">314-319. </w:t>
      </w:r>
    </w:p>
    <w:p w14:paraId="10E38286" w14:textId="77777777" w:rsidR="00210852" w:rsidRPr="00210852" w:rsidRDefault="00210852" w:rsidP="00210852">
      <w:pPr>
        <w:pStyle w:val="Bibliography"/>
        <w:rPr>
          <w:color w:val="000000"/>
        </w:rPr>
      </w:pPr>
      <w:r w:rsidRPr="00210852">
        <w:rPr>
          <w:color w:val="000000"/>
        </w:rPr>
        <w:t>4.</w:t>
      </w:r>
      <w:r w:rsidRPr="00210852">
        <w:rPr>
          <w:color w:val="000000"/>
        </w:rPr>
        <w:tab/>
        <w:t xml:space="preserve">Waterhouse A, </w:t>
      </w:r>
      <w:proofErr w:type="spellStart"/>
      <w:r w:rsidRPr="00210852">
        <w:rPr>
          <w:color w:val="000000"/>
        </w:rPr>
        <w:t>Bertoni</w:t>
      </w:r>
      <w:proofErr w:type="spellEnd"/>
      <w:r w:rsidRPr="00210852">
        <w:rPr>
          <w:color w:val="000000"/>
        </w:rPr>
        <w:t xml:space="preserve"> M, </w:t>
      </w:r>
      <w:proofErr w:type="spellStart"/>
      <w:r w:rsidRPr="00210852">
        <w:rPr>
          <w:color w:val="000000"/>
        </w:rPr>
        <w:t>Bienert</w:t>
      </w:r>
      <w:proofErr w:type="spellEnd"/>
      <w:r w:rsidRPr="00210852">
        <w:rPr>
          <w:color w:val="000000"/>
        </w:rPr>
        <w:t xml:space="preserve"> S, Studer G, </w:t>
      </w:r>
      <w:proofErr w:type="spellStart"/>
      <w:r w:rsidRPr="00210852">
        <w:rPr>
          <w:color w:val="000000"/>
        </w:rPr>
        <w:t>Tauriello</w:t>
      </w:r>
      <w:proofErr w:type="spellEnd"/>
      <w:r w:rsidRPr="00210852">
        <w:rPr>
          <w:color w:val="000000"/>
        </w:rPr>
        <w:t xml:space="preserve"> G, </w:t>
      </w:r>
      <w:proofErr w:type="spellStart"/>
      <w:r w:rsidRPr="00210852">
        <w:rPr>
          <w:color w:val="000000"/>
        </w:rPr>
        <w:t>Gumienny</w:t>
      </w:r>
      <w:proofErr w:type="spellEnd"/>
      <w:r w:rsidRPr="00210852">
        <w:rPr>
          <w:color w:val="000000"/>
        </w:rPr>
        <w:t xml:space="preserve"> R, et al. SWISS-MODEL: homology modelling of protein structures and complexes. Nucleic Acids Res. 2018 Jul 2;46(W1</w:t>
      </w:r>
      <w:proofErr w:type="gramStart"/>
      <w:r w:rsidRPr="00210852">
        <w:rPr>
          <w:color w:val="000000"/>
        </w:rPr>
        <w:t>):W</w:t>
      </w:r>
      <w:proofErr w:type="gramEnd"/>
      <w:r w:rsidRPr="00210852">
        <w:rPr>
          <w:color w:val="000000"/>
        </w:rPr>
        <w:t xml:space="preserve">296–303. </w:t>
      </w:r>
    </w:p>
    <w:p w14:paraId="0312F63F" w14:textId="77777777" w:rsidR="00210852" w:rsidRPr="00210852" w:rsidRDefault="00210852" w:rsidP="00210852">
      <w:pPr>
        <w:pStyle w:val="Bibliography"/>
        <w:rPr>
          <w:color w:val="000000"/>
        </w:rPr>
      </w:pPr>
      <w:r w:rsidRPr="00210852">
        <w:rPr>
          <w:color w:val="000000"/>
        </w:rPr>
        <w:t>5.</w:t>
      </w:r>
      <w:r w:rsidRPr="00210852">
        <w:rPr>
          <w:color w:val="000000"/>
        </w:rPr>
        <w:tab/>
      </w:r>
      <w:proofErr w:type="spellStart"/>
      <w:r w:rsidRPr="00210852">
        <w:rPr>
          <w:color w:val="000000"/>
        </w:rPr>
        <w:t>Garcin</w:t>
      </w:r>
      <w:proofErr w:type="spellEnd"/>
      <w:r w:rsidRPr="00210852">
        <w:rPr>
          <w:color w:val="000000"/>
        </w:rPr>
        <w:t xml:space="preserve"> ED, Bruns CM, Lloyd SJ, </w:t>
      </w:r>
      <w:proofErr w:type="spellStart"/>
      <w:r w:rsidRPr="00210852">
        <w:rPr>
          <w:color w:val="000000"/>
        </w:rPr>
        <w:t>Hosfield</w:t>
      </w:r>
      <w:proofErr w:type="spellEnd"/>
      <w:r w:rsidRPr="00210852">
        <w:rPr>
          <w:color w:val="000000"/>
        </w:rPr>
        <w:t xml:space="preserve"> DJ, Tiso M, </w:t>
      </w:r>
      <w:proofErr w:type="spellStart"/>
      <w:r w:rsidRPr="00210852">
        <w:rPr>
          <w:color w:val="000000"/>
        </w:rPr>
        <w:t>Gachhui</w:t>
      </w:r>
      <w:proofErr w:type="spellEnd"/>
      <w:r w:rsidRPr="00210852">
        <w:rPr>
          <w:color w:val="000000"/>
        </w:rPr>
        <w:t xml:space="preserve"> R, et al. Structural basis for isozyme-specific regulation of electron transfer in nitric-oxide synthase. J Biol Chem. 2004 Sep 3;279(36):37918–27. </w:t>
      </w:r>
    </w:p>
    <w:p w14:paraId="097D7EC5" w14:textId="77777777" w:rsidR="00210852" w:rsidRPr="00210852" w:rsidRDefault="00210852" w:rsidP="00210852">
      <w:pPr>
        <w:pStyle w:val="Bibliography"/>
        <w:rPr>
          <w:color w:val="000000"/>
        </w:rPr>
      </w:pPr>
      <w:r w:rsidRPr="00210852">
        <w:rPr>
          <w:color w:val="000000"/>
        </w:rPr>
        <w:t>6.</w:t>
      </w:r>
      <w:r w:rsidRPr="00210852">
        <w:rPr>
          <w:color w:val="000000"/>
        </w:rPr>
        <w:tab/>
        <w:t xml:space="preserve">Burley SK, </w:t>
      </w:r>
      <w:proofErr w:type="spellStart"/>
      <w:r w:rsidRPr="00210852">
        <w:rPr>
          <w:color w:val="000000"/>
        </w:rPr>
        <w:t>Bhikadiya</w:t>
      </w:r>
      <w:proofErr w:type="spellEnd"/>
      <w:r w:rsidRPr="00210852">
        <w:rPr>
          <w:color w:val="000000"/>
        </w:rPr>
        <w:t xml:space="preserve"> C, Bi C, </w:t>
      </w:r>
      <w:proofErr w:type="spellStart"/>
      <w:r w:rsidRPr="00210852">
        <w:rPr>
          <w:color w:val="000000"/>
        </w:rPr>
        <w:t>Bittrich</w:t>
      </w:r>
      <w:proofErr w:type="spellEnd"/>
      <w:r w:rsidRPr="00210852">
        <w:rPr>
          <w:color w:val="000000"/>
        </w:rPr>
        <w:t xml:space="preserve"> S, Chen L, Crichlow GV, et al. RCSB Protein Data Bank: powerful new tools for exploring 3D structures of biological macromolecules for basic and applied research and education in fundamental biology, biomedicine, biotechnology, bioengineering and energy sciences. Nucleic Acids Res. 2021 Jan 8;49(D1</w:t>
      </w:r>
      <w:proofErr w:type="gramStart"/>
      <w:r w:rsidRPr="00210852">
        <w:rPr>
          <w:color w:val="000000"/>
        </w:rPr>
        <w:t>):D</w:t>
      </w:r>
      <w:proofErr w:type="gramEnd"/>
      <w:r w:rsidRPr="00210852">
        <w:rPr>
          <w:color w:val="000000"/>
        </w:rPr>
        <w:t xml:space="preserve">437–51. </w:t>
      </w:r>
    </w:p>
    <w:p w14:paraId="2E7501AB" w14:textId="77777777" w:rsidR="00210852" w:rsidRPr="00210852" w:rsidRDefault="00210852" w:rsidP="00210852">
      <w:pPr>
        <w:pStyle w:val="Bibliography"/>
        <w:rPr>
          <w:color w:val="000000"/>
        </w:rPr>
      </w:pPr>
      <w:r w:rsidRPr="00210852">
        <w:rPr>
          <w:color w:val="000000"/>
        </w:rPr>
        <w:lastRenderedPageBreak/>
        <w:t>7.</w:t>
      </w:r>
      <w:r w:rsidRPr="00210852">
        <w:rPr>
          <w:color w:val="000000"/>
        </w:rPr>
        <w:tab/>
        <w:t xml:space="preserve">Fischmann TO, </w:t>
      </w:r>
      <w:proofErr w:type="spellStart"/>
      <w:r w:rsidRPr="00210852">
        <w:rPr>
          <w:color w:val="000000"/>
        </w:rPr>
        <w:t>Hruza</w:t>
      </w:r>
      <w:proofErr w:type="spellEnd"/>
      <w:r w:rsidRPr="00210852">
        <w:rPr>
          <w:color w:val="000000"/>
        </w:rPr>
        <w:t xml:space="preserve"> A, </w:t>
      </w:r>
      <w:proofErr w:type="spellStart"/>
      <w:r w:rsidRPr="00210852">
        <w:rPr>
          <w:color w:val="000000"/>
        </w:rPr>
        <w:t>Niu</w:t>
      </w:r>
      <w:proofErr w:type="spellEnd"/>
      <w:r w:rsidRPr="00210852">
        <w:rPr>
          <w:color w:val="000000"/>
        </w:rPr>
        <w:t xml:space="preserve"> XD, </w:t>
      </w:r>
      <w:proofErr w:type="spellStart"/>
      <w:r w:rsidRPr="00210852">
        <w:rPr>
          <w:color w:val="000000"/>
        </w:rPr>
        <w:t>Fossetta</w:t>
      </w:r>
      <w:proofErr w:type="spellEnd"/>
      <w:r w:rsidRPr="00210852">
        <w:rPr>
          <w:color w:val="000000"/>
        </w:rPr>
        <w:t xml:space="preserve"> JD, Lunn CA, Dolphin E, et al. Structural characterization of nitric oxide synthase isoforms reveals striking active-site conservation. Nat Struct Biol. 1999 Mar;6(3):233–42. </w:t>
      </w:r>
    </w:p>
    <w:p w14:paraId="59CDCD22" w14:textId="77777777" w:rsidR="00210852" w:rsidRPr="00210852" w:rsidRDefault="00210852" w:rsidP="00210852">
      <w:pPr>
        <w:pStyle w:val="Bibliography"/>
        <w:rPr>
          <w:color w:val="000000"/>
        </w:rPr>
      </w:pPr>
      <w:r w:rsidRPr="00210852">
        <w:rPr>
          <w:color w:val="000000"/>
        </w:rPr>
        <w:t>8.</w:t>
      </w:r>
      <w:r w:rsidRPr="00210852">
        <w:rPr>
          <w:color w:val="000000"/>
        </w:rPr>
        <w:tab/>
      </w:r>
      <w:proofErr w:type="spellStart"/>
      <w:r w:rsidRPr="00210852">
        <w:rPr>
          <w:color w:val="000000"/>
        </w:rPr>
        <w:t>Varadi</w:t>
      </w:r>
      <w:proofErr w:type="spellEnd"/>
      <w:r w:rsidRPr="00210852">
        <w:rPr>
          <w:color w:val="000000"/>
        </w:rPr>
        <w:t xml:space="preserve"> M, </w:t>
      </w:r>
      <w:proofErr w:type="spellStart"/>
      <w:r w:rsidRPr="00210852">
        <w:rPr>
          <w:color w:val="000000"/>
        </w:rPr>
        <w:t>Anyango</w:t>
      </w:r>
      <w:proofErr w:type="spellEnd"/>
      <w:r w:rsidRPr="00210852">
        <w:rPr>
          <w:color w:val="000000"/>
        </w:rPr>
        <w:t xml:space="preserve"> S, Deshpande M, Nair S, </w:t>
      </w:r>
      <w:proofErr w:type="spellStart"/>
      <w:r w:rsidRPr="00210852">
        <w:rPr>
          <w:color w:val="000000"/>
        </w:rPr>
        <w:t>Natassia</w:t>
      </w:r>
      <w:proofErr w:type="spellEnd"/>
      <w:r w:rsidRPr="00210852">
        <w:rPr>
          <w:color w:val="000000"/>
        </w:rPr>
        <w:t xml:space="preserve"> C, </w:t>
      </w:r>
      <w:proofErr w:type="spellStart"/>
      <w:r w:rsidRPr="00210852">
        <w:rPr>
          <w:color w:val="000000"/>
        </w:rPr>
        <w:t>Yordanova</w:t>
      </w:r>
      <w:proofErr w:type="spellEnd"/>
      <w:r w:rsidRPr="00210852">
        <w:rPr>
          <w:color w:val="000000"/>
        </w:rPr>
        <w:t xml:space="preserve"> G, et al. </w:t>
      </w:r>
      <w:proofErr w:type="spellStart"/>
      <w:r w:rsidRPr="00210852">
        <w:rPr>
          <w:color w:val="000000"/>
        </w:rPr>
        <w:t>AlphaFold</w:t>
      </w:r>
      <w:proofErr w:type="spellEnd"/>
      <w:r w:rsidRPr="00210852">
        <w:rPr>
          <w:color w:val="000000"/>
        </w:rPr>
        <w:t xml:space="preserve"> Protein Structure Database: massively expanding the structural coverage of protein-sequence space with high-accuracy models. Nucleic Acids Res. 2022 Jan 7;50(D1</w:t>
      </w:r>
      <w:proofErr w:type="gramStart"/>
      <w:r w:rsidRPr="00210852">
        <w:rPr>
          <w:color w:val="000000"/>
        </w:rPr>
        <w:t>):D</w:t>
      </w:r>
      <w:proofErr w:type="gramEnd"/>
      <w:r w:rsidRPr="00210852">
        <w:rPr>
          <w:color w:val="000000"/>
        </w:rPr>
        <w:t xml:space="preserve">439–44. </w:t>
      </w:r>
    </w:p>
    <w:p w14:paraId="47438202" w14:textId="77777777" w:rsidR="00210852" w:rsidRPr="00210852" w:rsidRDefault="00210852" w:rsidP="00210852">
      <w:pPr>
        <w:pStyle w:val="Bibliography"/>
        <w:rPr>
          <w:color w:val="000000"/>
        </w:rPr>
      </w:pPr>
      <w:r w:rsidRPr="00210852">
        <w:rPr>
          <w:color w:val="000000"/>
        </w:rPr>
        <w:t>9.</w:t>
      </w:r>
      <w:r w:rsidRPr="00210852">
        <w:rPr>
          <w:color w:val="000000"/>
        </w:rPr>
        <w:tab/>
        <w:t xml:space="preserve">Kang Y, Liu R, Wu JX, Chen L. Structural insights into the mechanism of human soluble guanylate cyclase. Nature. 2019 Oct;574(7777):206–10. </w:t>
      </w:r>
    </w:p>
    <w:p w14:paraId="03DF510F" w14:textId="77777777" w:rsidR="00210852" w:rsidRPr="00210852" w:rsidRDefault="00210852" w:rsidP="00210852">
      <w:pPr>
        <w:pStyle w:val="Bibliography"/>
        <w:rPr>
          <w:color w:val="000000"/>
        </w:rPr>
      </w:pPr>
      <w:r w:rsidRPr="00210852">
        <w:rPr>
          <w:color w:val="000000"/>
        </w:rPr>
        <w:t>10.</w:t>
      </w:r>
      <w:r w:rsidRPr="00210852">
        <w:rPr>
          <w:color w:val="000000"/>
        </w:rPr>
        <w:tab/>
        <w:t xml:space="preserve">Wang Z, </w:t>
      </w:r>
      <w:proofErr w:type="spellStart"/>
      <w:r w:rsidRPr="00210852">
        <w:rPr>
          <w:color w:val="000000"/>
        </w:rPr>
        <w:t>Moult</w:t>
      </w:r>
      <w:proofErr w:type="spellEnd"/>
      <w:r w:rsidRPr="00210852">
        <w:rPr>
          <w:color w:val="000000"/>
        </w:rPr>
        <w:t xml:space="preserve"> J. SNPs, protein structure, and disease. Hum </w:t>
      </w:r>
      <w:proofErr w:type="spellStart"/>
      <w:r w:rsidRPr="00210852">
        <w:rPr>
          <w:color w:val="000000"/>
        </w:rPr>
        <w:t>Mutat</w:t>
      </w:r>
      <w:proofErr w:type="spellEnd"/>
      <w:r w:rsidRPr="00210852">
        <w:rPr>
          <w:color w:val="000000"/>
        </w:rPr>
        <w:t xml:space="preserve">. 2001 Apr;17(4):263–70. </w:t>
      </w:r>
    </w:p>
    <w:p w14:paraId="2935671F" w14:textId="77777777" w:rsidR="00210852" w:rsidRPr="00210852" w:rsidRDefault="00210852" w:rsidP="00210852">
      <w:pPr>
        <w:pStyle w:val="Bibliography"/>
        <w:rPr>
          <w:color w:val="000000"/>
        </w:rPr>
      </w:pPr>
      <w:r w:rsidRPr="00210852">
        <w:rPr>
          <w:color w:val="000000"/>
        </w:rPr>
        <w:t>11.</w:t>
      </w:r>
      <w:r w:rsidRPr="00210852">
        <w:rPr>
          <w:color w:val="000000"/>
        </w:rPr>
        <w:tab/>
        <w:t xml:space="preserve">Takano K, </w:t>
      </w:r>
      <w:proofErr w:type="spellStart"/>
      <w:r w:rsidRPr="00210852">
        <w:rPr>
          <w:color w:val="000000"/>
        </w:rPr>
        <w:t>Tsuchimori</w:t>
      </w:r>
      <w:proofErr w:type="spellEnd"/>
      <w:r w:rsidRPr="00210852">
        <w:rPr>
          <w:color w:val="000000"/>
        </w:rPr>
        <w:t xml:space="preserve"> K, Yamagata Y, </w:t>
      </w:r>
      <w:proofErr w:type="spellStart"/>
      <w:r w:rsidRPr="00210852">
        <w:rPr>
          <w:color w:val="000000"/>
        </w:rPr>
        <w:t>Yutani</w:t>
      </w:r>
      <w:proofErr w:type="spellEnd"/>
      <w:r w:rsidRPr="00210852">
        <w:rPr>
          <w:color w:val="000000"/>
        </w:rPr>
        <w:t xml:space="preserve"> K. Contribution of salt bridges near the surface of a protein to the conformational stability. Biochemistry. 2000 Oct 10;39(40):12375–81. </w:t>
      </w:r>
    </w:p>
    <w:p w14:paraId="00C1CC5C" w14:textId="77777777" w:rsidR="00210852" w:rsidRPr="00210852" w:rsidRDefault="00210852" w:rsidP="00210852">
      <w:pPr>
        <w:pStyle w:val="Bibliography"/>
        <w:rPr>
          <w:color w:val="000000"/>
        </w:rPr>
      </w:pPr>
      <w:r w:rsidRPr="00210852">
        <w:rPr>
          <w:color w:val="000000"/>
        </w:rPr>
        <w:t>12.</w:t>
      </w:r>
      <w:r w:rsidRPr="00210852">
        <w:rPr>
          <w:color w:val="000000"/>
        </w:rPr>
        <w:tab/>
      </w:r>
      <w:proofErr w:type="spellStart"/>
      <w:r w:rsidRPr="00210852">
        <w:rPr>
          <w:color w:val="000000"/>
        </w:rPr>
        <w:t>Schueler</w:t>
      </w:r>
      <w:proofErr w:type="spellEnd"/>
      <w:r w:rsidRPr="00210852">
        <w:rPr>
          <w:color w:val="000000"/>
        </w:rPr>
        <w:t xml:space="preserve"> O, Margalit H. Conservation of salt bridges in protein families. J Mol Biol. 1995 Apr 21;248(1):125–35. </w:t>
      </w:r>
    </w:p>
    <w:p w14:paraId="25C98C76" w14:textId="77777777" w:rsidR="00210852" w:rsidRPr="00210852" w:rsidRDefault="00210852" w:rsidP="00210852">
      <w:pPr>
        <w:pStyle w:val="Bibliography"/>
        <w:rPr>
          <w:color w:val="000000"/>
        </w:rPr>
      </w:pPr>
      <w:r w:rsidRPr="00210852">
        <w:rPr>
          <w:color w:val="000000"/>
        </w:rPr>
        <w:t>13.</w:t>
      </w:r>
      <w:r w:rsidRPr="00210852">
        <w:rPr>
          <w:color w:val="000000"/>
        </w:rPr>
        <w:tab/>
        <w:t xml:space="preserve">Vaughan CK, </w:t>
      </w:r>
      <w:proofErr w:type="spellStart"/>
      <w:r w:rsidRPr="00210852">
        <w:rPr>
          <w:color w:val="000000"/>
        </w:rPr>
        <w:t>Harryson</w:t>
      </w:r>
      <w:proofErr w:type="spellEnd"/>
      <w:r w:rsidRPr="00210852">
        <w:rPr>
          <w:color w:val="000000"/>
        </w:rPr>
        <w:t xml:space="preserve"> P, Buckle AM, </w:t>
      </w:r>
      <w:proofErr w:type="spellStart"/>
      <w:r w:rsidRPr="00210852">
        <w:rPr>
          <w:color w:val="000000"/>
        </w:rPr>
        <w:t>Fersht</w:t>
      </w:r>
      <w:proofErr w:type="spellEnd"/>
      <w:r w:rsidRPr="00210852">
        <w:rPr>
          <w:color w:val="000000"/>
        </w:rPr>
        <w:t xml:space="preserve"> AR. A structural double-mutant cycle: estimating the strength of a buried salt bridge in </w:t>
      </w:r>
      <w:proofErr w:type="spellStart"/>
      <w:r w:rsidRPr="00210852">
        <w:rPr>
          <w:color w:val="000000"/>
        </w:rPr>
        <w:t>barnase</w:t>
      </w:r>
      <w:proofErr w:type="spellEnd"/>
      <w:r w:rsidRPr="00210852">
        <w:rPr>
          <w:color w:val="000000"/>
        </w:rPr>
        <w:t xml:space="preserve">. Acta </w:t>
      </w:r>
      <w:proofErr w:type="spellStart"/>
      <w:r w:rsidRPr="00210852">
        <w:rPr>
          <w:color w:val="000000"/>
        </w:rPr>
        <w:t>Crystallogr</w:t>
      </w:r>
      <w:proofErr w:type="spellEnd"/>
      <w:r w:rsidRPr="00210852">
        <w:rPr>
          <w:color w:val="000000"/>
        </w:rPr>
        <w:t xml:space="preserve"> D Biol </w:t>
      </w:r>
      <w:proofErr w:type="spellStart"/>
      <w:r w:rsidRPr="00210852">
        <w:rPr>
          <w:color w:val="000000"/>
        </w:rPr>
        <w:t>Crystallogr</w:t>
      </w:r>
      <w:proofErr w:type="spellEnd"/>
      <w:r w:rsidRPr="00210852">
        <w:rPr>
          <w:color w:val="000000"/>
        </w:rPr>
        <w:t xml:space="preserve">. 2002 Apr;58(Pt 4):591–600. </w:t>
      </w:r>
    </w:p>
    <w:p w14:paraId="401E56B2" w14:textId="77777777" w:rsidR="00210852" w:rsidRPr="00210852" w:rsidRDefault="00210852" w:rsidP="00210852">
      <w:pPr>
        <w:pStyle w:val="Bibliography"/>
        <w:rPr>
          <w:color w:val="000000"/>
        </w:rPr>
      </w:pPr>
      <w:r w:rsidRPr="00210852">
        <w:rPr>
          <w:color w:val="000000"/>
        </w:rPr>
        <w:t>14.</w:t>
      </w:r>
      <w:r w:rsidRPr="00210852">
        <w:rPr>
          <w:color w:val="000000"/>
        </w:rPr>
        <w:tab/>
        <w:t xml:space="preserve">Yuen PS, Doolittle LK, </w:t>
      </w:r>
      <w:proofErr w:type="spellStart"/>
      <w:r w:rsidRPr="00210852">
        <w:rPr>
          <w:color w:val="000000"/>
        </w:rPr>
        <w:t>Garbers</w:t>
      </w:r>
      <w:proofErr w:type="spellEnd"/>
      <w:r w:rsidRPr="00210852">
        <w:rPr>
          <w:color w:val="000000"/>
        </w:rPr>
        <w:t xml:space="preserve"> DL. Dominant negative mutants of nitric oxide-sensitive guanylyl cyclase. J Biol Chem. 1994 Jan 14;269(2):791–3. </w:t>
      </w:r>
    </w:p>
    <w:p w14:paraId="66F0C91C" w14:textId="77777777" w:rsidR="00210852" w:rsidRPr="00210852" w:rsidRDefault="00210852" w:rsidP="00210852">
      <w:pPr>
        <w:pStyle w:val="Bibliography"/>
        <w:rPr>
          <w:color w:val="000000"/>
        </w:rPr>
      </w:pPr>
      <w:r w:rsidRPr="00210852">
        <w:rPr>
          <w:color w:val="000000"/>
        </w:rPr>
        <w:t>15.</w:t>
      </w:r>
      <w:r w:rsidRPr="00210852">
        <w:rPr>
          <w:color w:val="000000"/>
        </w:rPr>
        <w:tab/>
      </w:r>
      <w:proofErr w:type="spellStart"/>
      <w:r w:rsidRPr="00210852">
        <w:rPr>
          <w:color w:val="000000"/>
        </w:rPr>
        <w:t>Friebe</w:t>
      </w:r>
      <w:proofErr w:type="spellEnd"/>
      <w:r w:rsidRPr="00210852">
        <w:rPr>
          <w:color w:val="000000"/>
        </w:rPr>
        <w:t xml:space="preserve"> A, Russwurm M, </w:t>
      </w:r>
      <w:proofErr w:type="spellStart"/>
      <w:r w:rsidRPr="00210852">
        <w:rPr>
          <w:color w:val="000000"/>
        </w:rPr>
        <w:t>Mergia</w:t>
      </w:r>
      <w:proofErr w:type="spellEnd"/>
      <w:r w:rsidRPr="00210852">
        <w:rPr>
          <w:color w:val="000000"/>
        </w:rPr>
        <w:t xml:space="preserve"> E, </w:t>
      </w:r>
      <w:proofErr w:type="spellStart"/>
      <w:r w:rsidRPr="00210852">
        <w:rPr>
          <w:color w:val="000000"/>
        </w:rPr>
        <w:t>Koesling</w:t>
      </w:r>
      <w:proofErr w:type="spellEnd"/>
      <w:r w:rsidRPr="00210852">
        <w:rPr>
          <w:color w:val="000000"/>
        </w:rPr>
        <w:t xml:space="preserve"> D. A point-mutated guanylyl cyclase with features of the YC-1-stimulated enzyme: implications for the YC-1 binding site? Biochemistry. 1999 Nov 16;38(46):15253–7. </w:t>
      </w:r>
    </w:p>
    <w:p w14:paraId="3E60229F" w14:textId="77777777" w:rsidR="00210852" w:rsidRPr="00210852" w:rsidRDefault="00210852" w:rsidP="00210852">
      <w:pPr>
        <w:pStyle w:val="Bibliography"/>
        <w:rPr>
          <w:color w:val="000000"/>
        </w:rPr>
      </w:pPr>
      <w:r w:rsidRPr="00210852">
        <w:rPr>
          <w:color w:val="000000"/>
        </w:rPr>
        <w:t>16.</w:t>
      </w:r>
      <w:r w:rsidRPr="00210852">
        <w:rPr>
          <w:color w:val="000000"/>
        </w:rPr>
        <w:tab/>
        <w:t xml:space="preserve">Childers KC, Yao XQ, </w:t>
      </w:r>
      <w:proofErr w:type="spellStart"/>
      <w:r w:rsidRPr="00210852">
        <w:rPr>
          <w:color w:val="000000"/>
        </w:rPr>
        <w:t>Giannakoulias</w:t>
      </w:r>
      <w:proofErr w:type="spellEnd"/>
      <w:r w:rsidRPr="00210852">
        <w:rPr>
          <w:color w:val="000000"/>
        </w:rPr>
        <w:t xml:space="preserve"> S, </w:t>
      </w:r>
      <w:proofErr w:type="spellStart"/>
      <w:r w:rsidRPr="00210852">
        <w:rPr>
          <w:color w:val="000000"/>
        </w:rPr>
        <w:t>Amason</w:t>
      </w:r>
      <w:proofErr w:type="spellEnd"/>
      <w:r w:rsidRPr="00210852">
        <w:rPr>
          <w:color w:val="000000"/>
        </w:rPr>
        <w:t xml:space="preserve"> J, </w:t>
      </w:r>
      <w:proofErr w:type="spellStart"/>
      <w:r w:rsidRPr="00210852">
        <w:rPr>
          <w:color w:val="000000"/>
        </w:rPr>
        <w:t>Hamelberg</w:t>
      </w:r>
      <w:proofErr w:type="spellEnd"/>
      <w:r w:rsidRPr="00210852">
        <w:rPr>
          <w:color w:val="000000"/>
        </w:rPr>
        <w:t xml:space="preserve"> D, </w:t>
      </w:r>
      <w:proofErr w:type="spellStart"/>
      <w:r w:rsidRPr="00210852">
        <w:rPr>
          <w:color w:val="000000"/>
        </w:rPr>
        <w:t>Garcin</w:t>
      </w:r>
      <w:proofErr w:type="spellEnd"/>
      <w:r w:rsidRPr="00210852">
        <w:rPr>
          <w:color w:val="000000"/>
        </w:rPr>
        <w:t xml:space="preserve"> ED. Synergistic mutations in soluble guanylyl cyclase (</w:t>
      </w:r>
      <w:proofErr w:type="spellStart"/>
      <w:r w:rsidRPr="00210852">
        <w:rPr>
          <w:color w:val="000000"/>
        </w:rPr>
        <w:t>sGC</w:t>
      </w:r>
      <w:proofErr w:type="spellEnd"/>
      <w:r w:rsidRPr="00210852">
        <w:rPr>
          <w:color w:val="000000"/>
        </w:rPr>
        <w:t xml:space="preserve">) reveal a key role for interfacial regions in the </w:t>
      </w:r>
      <w:proofErr w:type="spellStart"/>
      <w:r w:rsidRPr="00210852">
        <w:rPr>
          <w:color w:val="000000"/>
        </w:rPr>
        <w:t>sGC</w:t>
      </w:r>
      <w:proofErr w:type="spellEnd"/>
      <w:r w:rsidRPr="00210852">
        <w:rPr>
          <w:color w:val="000000"/>
        </w:rPr>
        <w:t xml:space="preserve"> activation mechanism. J Biol Chem. 2019 Nov 29;294(48):18451–64. </w:t>
      </w:r>
    </w:p>
    <w:p w14:paraId="091CF360" w14:textId="77777777" w:rsidR="00210852" w:rsidRPr="00210852" w:rsidRDefault="00210852" w:rsidP="00210852">
      <w:pPr>
        <w:pStyle w:val="Bibliography"/>
        <w:rPr>
          <w:color w:val="000000"/>
        </w:rPr>
      </w:pPr>
      <w:r w:rsidRPr="00210852">
        <w:rPr>
          <w:color w:val="000000"/>
        </w:rPr>
        <w:t>17.</w:t>
      </w:r>
      <w:r w:rsidRPr="00210852">
        <w:rPr>
          <w:color w:val="000000"/>
        </w:rPr>
        <w:tab/>
        <w:t xml:space="preserve">Blatchford DR, Peaker M. Effect of ionic composition of milk on transepithelial potential in the goat mammary gland. J Physiol. 1988 </w:t>
      </w:r>
      <w:proofErr w:type="gramStart"/>
      <w:r w:rsidRPr="00210852">
        <w:rPr>
          <w:color w:val="000000"/>
        </w:rPr>
        <w:t>Aug;402:533</w:t>
      </w:r>
      <w:proofErr w:type="gramEnd"/>
      <w:r w:rsidRPr="00210852">
        <w:rPr>
          <w:color w:val="000000"/>
        </w:rPr>
        <w:t xml:space="preserve">–41. </w:t>
      </w:r>
    </w:p>
    <w:p w14:paraId="47488E31" w14:textId="4BDE884F" w:rsidR="0061609D" w:rsidRDefault="0061609D" w:rsidP="000F65A0">
      <w:pPr>
        <w:spacing w:line="480" w:lineRule="auto"/>
        <w:jc w:val="both"/>
        <w:rPr>
          <w:color w:val="000000" w:themeColor="text1"/>
          <w:lang w:val="en-US"/>
        </w:rPr>
      </w:pPr>
      <w:r>
        <w:rPr>
          <w:color w:val="000000" w:themeColor="text1"/>
          <w:lang w:val="en-US"/>
        </w:rPr>
        <w:fldChar w:fldCharType="end"/>
      </w:r>
    </w:p>
    <w:p w14:paraId="7B13FE3D" w14:textId="77777777" w:rsidR="001851C8" w:rsidRPr="00291B1B" w:rsidRDefault="001851C8" w:rsidP="000F65A0">
      <w:pPr>
        <w:spacing w:line="480" w:lineRule="auto"/>
        <w:jc w:val="both"/>
        <w:rPr>
          <w:lang w:val="en-US"/>
        </w:rPr>
      </w:pPr>
    </w:p>
    <w:sectPr w:rsidR="001851C8" w:rsidRPr="00291B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506020202030204"/>
    <w:charset w:val="00"/>
    <w:family w:val="swiss"/>
    <w:pitch w:val="variable"/>
    <w:sig w:usb0="00000287" w:usb1="00000800" w:usb2="00000000" w:usb3="00000000" w:csb0="0000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BB1935"/>
    <w:multiLevelType w:val="hybridMultilevel"/>
    <w:tmpl w:val="D81E92E8"/>
    <w:lvl w:ilvl="0" w:tplc="00506C5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293553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C98"/>
    <w:rsid w:val="00011436"/>
    <w:rsid w:val="000136FA"/>
    <w:rsid w:val="00014A9E"/>
    <w:rsid w:val="00020587"/>
    <w:rsid w:val="00030CDC"/>
    <w:rsid w:val="00033960"/>
    <w:rsid w:val="00034958"/>
    <w:rsid w:val="00060B31"/>
    <w:rsid w:val="000A2D27"/>
    <w:rsid w:val="000B2E1C"/>
    <w:rsid w:val="000C3F5E"/>
    <w:rsid w:val="000F2FE6"/>
    <w:rsid w:val="000F65A0"/>
    <w:rsid w:val="001109B6"/>
    <w:rsid w:val="00113C30"/>
    <w:rsid w:val="001142E1"/>
    <w:rsid w:val="001519E3"/>
    <w:rsid w:val="00153D79"/>
    <w:rsid w:val="00164340"/>
    <w:rsid w:val="001661F0"/>
    <w:rsid w:val="00176A00"/>
    <w:rsid w:val="00180317"/>
    <w:rsid w:val="001851C8"/>
    <w:rsid w:val="001A3A4C"/>
    <w:rsid w:val="001B4BC9"/>
    <w:rsid w:val="001C23EF"/>
    <w:rsid w:val="001D55CE"/>
    <w:rsid w:val="001E4841"/>
    <w:rsid w:val="001F7B02"/>
    <w:rsid w:val="00205ADC"/>
    <w:rsid w:val="00207950"/>
    <w:rsid w:val="00210852"/>
    <w:rsid w:val="00227654"/>
    <w:rsid w:val="00230B21"/>
    <w:rsid w:val="00240A67"/>
    <w:rsid w:val="00246C33"/>
    <w:rsid w:val="002554A5"/>
    <w:rsid w:val="00275838"/>
    <w:rsid w:val="002804BC"/>
    <w:rsid w:val="00291B1B"/>
    <w:rsid w:val="00292E90"/>
    <w:rsid w:val="0029337A"/>
    <w:rsid w:val="00293CA5"/>
    <w:rsid w:val="002A2504"/>
    <w:rsid w:val="002C1648"/>
    <w:rsid w:val="003005FF"/>
    <w:rsid w:val="00302C43"/>
    <w:rsid w:val="00304F0B"/>
    <w:rsid w:val="00323248"/>
    <w:rsid w:val="0034267F"/>
    <w:rsid w:val="00366F7B"/>
    <w:rsid w:val="003733D6"/>
    <w:rsid w:val="00377BCD"/>
    <w:rsid w:val="003B00CF"/>
    <w:rsid w:val="003C41FE"/>
    <w:rsid w:val="003D6698"/>
    <w:rsid w:val="003E3B77"/>
    <w:rsid w:val="004005F0"/>
    <w:rsid w:val="00401491"/>
    <w:rsid w:val="00421749"/>
    <w:rsid w:val="00441063"/>
    <w:rsid w:val="00467CE2"/>
    <w:rsid w:val="0047775D"/>
    <w:rsid w:val="00494322"/>
    <w:rsid w:val="004B01DF"/>
    <w:rsid w:val="004E280B"/>
    <w:rsid w:val="004E2EFA"/>
    <w:rsid w:val="004F69A8"/>
    <w:rsid w:val="00530C8F"/>
    <w:rsid w:val="0053152B"/>
    <w:rsid w:val="00536B86"/>
    <w:rsid w:val="00563564"/>
    <w:rsid w:val="00567067"/>
    <w:rsid w:val="005718F9"/>
    <w:rsid w:val="005A633F"/>
    <w:rsid w:val="005B1830"/>
    <w:rsid w:val="005B235D"/>
    <w:rsid w:val="005C1931"/>
    <w:rsid w:val="005C2440"/>
    <w:rsid w:val="005C2A84"/>
    <w:rsid w:val="005D1A78"/>
    <w:rsid w:val="005E0A10"/>
    <w:rsid w:val="005F2BE1"/>
    <w:rsid w:val="00606CD7"/>
    <w:rsid w:val="00610087"/>
    <w:rsid w:val="0061609D"/>
    <w:rsid w:val="00617C98"/>
    <w:rsid w:val="006228DB"/>
    <w:rsid w:val="00647F44"/>
    <w:rsid w:val="00663854"/>
    <w:rsid w:val="00672642"/>
    <w:rsid w:val="00677BEC"/>
    <w:rsid w:val="00685C68"/>
    <w:rsid w:val="00695A2B"/>
    <w:rsid w:val="006A0F4D"/>
    <w:rsid w:val="006A7AD2"/>
    <w:rsid w:val="006C24EE"/>
    <w:rsid w:val="006D561D"/>
    <w:rsid w:val="006E1990"/>
    <w:rsid w:val="006F0DA2"/>
    <w:rsid w:val="00771C03"/>
    <w:rsid w:val="00777244"/>
    <w:rsid w:val="00783E7E"/>
    <w:rsid w:val="007874F0"/>
    <w:rsid w:val="007D28D9"/>
    <w:rsid w:val="007E4FC1"/>
    <w:rsid w:val="007F5830"/>
    <w:rsid w:val="0080246E"/>
    <w:rsid w:val="008041B4"/>
    <w:rsid w:val="00822BF5"/>
    <w:rsid w:val="00824EE3"/>
    <w:rsid w:val="008414C1"/>
    <w:rsid w:val="008446D0"/>
    <w:rsid w:val="00847949"/>
    <w:rsid w:val="008542DA"/>
    <w:rsid w:val="008736C0"/>
    <w:rsid w:val="0087375E"/>
    <w:rsid w:val="00875DF7"/>
    <w:rsid w:val="00895551"/>
    <w:rsid w:val="008D66BB"/>
    <w:rsid w:val="008E48F6"/>
    <w:rsid w:val="0092129B"/>
    <w:rsid w:val="00943323"/>
    <w:rsid w:val="009627AF"/>
    <w:rsid w:val="00980521"/>
    <w:rsid w:val="009A0967"/>
    <w:rsid w:val="009A5ED9"/>
    <w:rsid w:val="009B7ADB"/>
    <w:rsid w:val="009C64FC"/>
    <w:rsid w:val="009C78CA"/>
    <w:rsid w:val="009E257C"/>
    <w:rsid w:val="00A22D8B"/>
    <w:rsid w:val="00A47E1D"/>
    <w:rsid w:val="00A5562A"/>
    <w:rsid w:val="00A75D9F"/>
    <w:rsid w:val="00AA2079"/>
    <w:rsid w:val="00AA56B1"/>
    <w:rsid w:val="00AC6A85"/>
    <w:rsid w:val="00AC7643"/>
    <w:rsid w:val="00AD10FD"/>
    <w:rsid w:val="00AF45EC"/>
    <w:rsid w:val="00B2073D"/>
    <w:rsid w:val="00B32DBC"/>
    <w:rsid w:val="00B46D7C"/>
    <w:rsid w:val="00B575CC"/>
    <w:rsid w:val="00B662B8"/>
    <w:rsid w:val="00B84EA1"/>
    <w:rsid w:val="00BA20D1"/>
    <w:rsid w:val="00BC5328"/>
    <w:rsid w:val="00BD3FBC"/>
    <w:rsid w:val="00BE26B7"/>
    <w:rsid w:val="00C1433D"/>
    <w:rsid w:val="00C543EE"/>
    <w:rsid w:val="00C63322"/>
    <w:rsid w:val="00C64144"/>
    <w:rsid w:val="00C75838"/>
    <w:rsid w:val="00CA676A"/>
    <w:rsid w:val="00CB0358"/>
    <w:rsid w:val="00CB7D46"/>
    <w:rsid w:val="00CD514E"/>
    <w:rsid w:val="00CD5681"/>
    <w:rsid w:val="00CF722C"/>
    <w:rsid w:val="00D06E98"/>
    <w:rsid w:val="00D075FF"/>
    <w:rsid w:val="00D32AF7"/>
    <w:rsid w:val="00D57EC5"/>
    <w:rsid w:val="00D635D4"/>
    <w:rsid w:val="00D715EF"/>
    <w:rsid w:val="00D73584"/>
    <w:rsid w:val="00D94F89"/>
    <w:rsid w:val="00D95EC4"/>
    <w:rsid w:val="00DB2AE0"/>
    <w:rsid w:val="00DC1B82"/>
    <w:rsid w:val="00DD067A"/>
    <w:rsid w:val="00DE1503"/>
    <w:rsid w:val="00DE3D56"/>
    <w:rsid w:val="00DF224E"/>
    <w:rsid w:val="00E03FD0"/>
    <w:rsid w:val="00E059B8"/>
    <w:rsid w:val="00E23FA5"/>
    <w:rsid w:val="00E32CB5"/>
    <w:rsid w:val="00E37CD3"/>
    <w:rsid w:val="00E64BF1"/>
    <w:rsid w:val="00EA4C27"/>
    <w:rsid w:val="00EB1A1B"/>
    <w:rsid w:val="00EB2DA5"/>
    <w:rsid w:val="00ED60EE"/>
    <w:rsid w:val="00ED69E1"/>
    <w:rsid w:val="00EE6C60"/>
    <w:rsid w:val="00F04535"/>
    <w:rsid w:val="00F34968"/>
    <w:rsid w:val="00F42ACC"/>
    <w:rsid w:val="00F60071"/>
    <w:rsid w:val="00F62B61"/>
    <w:rsid w:val="00F778B8"/>
    <w:rsid w:val="00F86FA1"/>
    <w:rsid w:val="00FA0D0C"/>
    <w:rsid w:val="00FB1D43"/>
    <w:rsid w:val="00FC4ED4"/>
    <w:rsid w:val="00FD441D"/>
    <w:rsid w:val="00FF357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23384C"/>
  <w15:chartTrackingRefBased/>
  <w15:docId w15:val="{71D529AE-E299-4C4C-9EE7-94DBD9CB5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17C98"/>
    <w:rPr>
      <w:rFonts w:ascii="Times New Roman" w:eastAsia="Times New Roman" w:hAnsi="Times New Roman" w:cs="Times New Roman"/>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17C98"/>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D715EF"/>
    <w:rPr>
      <w:color w:val="0563C1" w:themeColor="hyperlink"/>
      <w:u w:val="single"/>
    </w:rPr>
  </w:style>
  <w:style w:type="paragraph" w:styleId="Paragraphedeliste">
    <w:name w:val="List Paragraph"/>
    <w:basedOn w:val="Normal"/>
    <w:uiPriority w:val="34"/>
    <w:qFormat/>
    <w:rsid w:val="00EA4C27"/>
    <w:pPr>
      <w:ind w:left="720"/>
      <w:contextualSpacing/>
    </w:pPr>
  </w:style>
  <w:style w:type="paragraph" w:customStyle="1" w:styleId="Bibliography">
    <w:name w:val="Bibliography"/>
    <w:basedOn w:val="Normal"/>
    <w:link w:val="BibliographyCar"/>
    <w:rsid w:val="0061609D"/>
    <w:pPr>
      <w:tabs>
        <w:tab w:val="left" w:pos="380"/>
      </w:tabs>
      <w:spacing w:after="240"/>
      <w:ind w:left="384" w:hanging="384"/>
      <w:jc w:val="both"/>
    </w:pPr>
    <w:rPr>
      <w:color w:val="000000" w:themeColor="text1"/>
      <w:lang w:val="en-US"/>
    </w:rPr>
  </w:style>
  <w:style w:type="character" w:customStyle="1" w:styleId="BibliographyCar">
    <w:name w:val="Bibliography Car"/>
    <w:basedOn w:val="Policepardfaut"/>
    <w:link w:val="Bibliography"/>
    <w:rsid w:val="0061609D"/>
    <w:rPr>
      <w:rFonts w:ascii="Times New Roman" w:eastAsia="Times New Roman" w:hAnsi="Times New Roman" w:cs="Times New Roman"/>
      <w:color w:val="000000" w:themeColor="text1"/>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8366</Words>
  <Characters>46014</Characters>
  <Application>Microsoft Office Word</Application>
  <DocSecurity>0</DocSecurity>
  <Lines>383</Lines>
  <Paragraphs>108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Stéphanie GUEY</dc:creator>
  <cp:keywords/>
  <dc:description/>
  <cp:lastModifiedBy>Stéphanie GUEY</cp:lastModifiedBy>
  <cp:revision>2</cp:revision>
  <dcterms:created xsi:type="dcterms:W3CDTF">2022-12-27T16:24:00Z</dcterms:created>
  <dcterms:modified xsi:type="dcterms:W3CDTF">2022-12-27T16:24:00Z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zotero-version="6.0.18"&gt;&lt;session id="vU4Yzn4C"/&gt;&lt;style id="http://www.zotero.org/styles/vancouver" locale="en-US"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