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left"/>
        <w:rPr>
          <w:rStyle w:val="12"/>
          <w:rFonts w:ascii="Times New Roman" w:hAnsi="Times New Roman"/>
          <w:b/>
          <w:sz w:val="22"/>
        </w:rPr>
      </w:pPr>
      <w:r>
        <w:rPr>
          <w:rStyle w:val="12"/>
          <w:rFonts w:hint="eastAsia" w:ascii="Times New Roman" w:hAnsi="Times New Roman"/>
          <w:b/>
          <w:sz w:val="22"/>
        </w:rPr>
        <w:t>SUPPLEMENTARY MATERIAL</w:t>
      </w:r>
    </w:p>
    <w:p>
      <w:pPr>
        <w:widowControl/>
        <w:spacing w:line="360" w:lineRule="auto"/>
        <w:jc w:val="left"/>
        <w:rPr>
          <w:rStyle w:val="12"/>
          <w:rFonts w:ascii="Times New Roman" w:hAnsi="Times New Roman"/>
          <w:b/>
          <w:sz w:val="22"/>
        </w:rPr>
      </w:pPr>
    </w:p>
    <w:p>
      <w:pPr>
        <w:widowControl/>
        <w:spacing w:line="360" w:lineRule="auto"/>
        <w:jc w:val="left"/>
        <w:rPr>
          <w:rStyle w:val="12"/>
          <w:rFonts w:ascii="Times New Roman" w:hAnsi="Times New Roman"/>
          <w:b/>
          <w:sz w:val="22"/>
        </w:rPr>
      </w:pPr>
    </w:p>
    <w:p>
      <w:pPr>
        <w:widowControl/>
        <w:spacing w:line="360" w:lineRule="auto"/>
        <w:jc w:val="left"/>
        <w:rPr>
          <w:rStyle w:val="12"/>
          <w:rFonts w:ascii="Times New Roman" w:hAnsi="Times New Roman"/>
          <w:b/>
          <w:sz w:val="22"/>
        </w:rPr>
      </w:pPr>
    </w:p>
    <w:p>
      <w:pPr>
        <w:widowControl/>
        <w:spacing w:line="360" w:lineRule="auto"/>
        <w:jc w:val="left"/>
        <w:rPr>
          <w:rStyle w:val="12"/>
          <w:rFonts w:ascii="Times New Roman" w:hAnsi="Times New Roman"/>
          <w:b/>
          <w:sz w:val="22"/>
        </w:rPr>
      </w:pPr>
      <w:r>
        <w:rPr>
          <w:rStyle w:val="12"/>
          <w:rFonts w:ascii="Times New Roman" w:hAnsi="Times New Roman"/>
          <w:b/>
          <w:sz w:val="22"/>
        </w:rPr>
        <w:t>Supplementary</w:t>
      </w:r>
      <w:r>
        <w:rPr>
          <w:rStyle w:val="12"/>
          <w:rFonts w:hint="eastAsia" w:ascii="Times New Roman" w:hAnsi="Times New Roman"/>
          <w:b/>
          <w:sz w:val="22"/>
        </w:rPr>
        <w:t xml:space="preserve"> methods</w:t>
      </w:r>
    </w:p>
    <w:p>
      <w:pPr>
        <w:spacing w:line="360" w:lineRule="auto"/>
        <w:rPr>
          <w:rFonts w:ascii="Times New Roman" w:hAnsi="Times New Roman" w:cs="Times New Roman"/>
          <w:b/>
          <w:color w:val="000000"/>
          <w:sz w:val="22"/>
        </w:rPr>
      </w:pPr>
    </w:p>
    <w:p>
      <w:pPr>
        <w:spacing w:line="360" w:lineRule="auto"/>
        <w:rPr>
          <w:rFonts w:ascii="Times New Roman" w:hAnsi="Times New Roman" w:cs="Times New Roman"/>
          <w:b/>
          <w:bCs/>
          <w:sz w:val="22"/>
        </w:rPr>
      </w:pPr>
      <w:r>
        <w:rPr>
          <w:rFonts w:ascii="Times New Roman" w:hAnsi="Times New Roman" w:cs="Times New Roman"/>
          <w:b/>
          <w:bCs/>
          <w:sz w:val="22"/>
        </w:rPr>
        <w:t>Detailed clinical study design</w:t>
      </w:r>
    </w:p>
    <w:p>
      <w:pPr>
        <w:spacing w:line="360" w:lineRule="auto"/>
        <w:rPr>
          <w:rFonts w:ascii="Times New Roman" w:hAnsi="Times New Roman" w:cs="Times New Roman"/>
          <w:sz w:val="22"/>
        </w:rPr>
      </w:pPr>
      <w:r>
        <w:rPr>
          <w:rFonts w:ascii="Times New Roman" w:hAnsi="Times New Roman" w:cs="Times New Roman"/>
          <w:sz w:val="22"/>
        </w:rPr>
        <w:t>All HCC patients included in this study were HBV infected, and finally 289 HBV-related AYA HCC patients and 257 HBV-related elderly HCC patients who underwent hepatectomy in West China Hospital, Sichuan University, Chengdu, China from 2010 to 2014, were included. The data of all patients were retrospectively reviewed. Inclusion criteria included the age of patients</w:t>
      </w:r>
      <w:r>
        <w:rPr>
          <w:rFonts w:ascii="Times New Roman" w:hAnsi="Times New Roman" w:cs="Times New Roman"/>
          <w:color w:val="auto"/>
          <w:sz w:val="22"/>
        </w:rPr>
        <w:t xml:space="preserve"> (AYA group 15-40 years old, elderly group ove</w:t>
      </w:r>
      <w:r>
        <w:rPr>
          <w:rFonts w:ascii="Times New Roman" w:hAnsi="Times New Roman" w:cs="Times New Roman"/>
          <w:sz w:val="22"/>
        </w:rPr>
        <w:t xml:space="preserve">r 60 years old), no history of previous anticancer therapy, radical resection of liver </w:t>
      </w:r>
      <w:r>
        <w:rPr>
          <w:rFonts w:hint="eastAsia" w:ascii="Times New Roman" w:hAnsi="Times New Roman" w:cs="Times New Roman"/>
          <w:sz w:val="22"/>
        </w:rPr>
        <w:t>tumour</w:t>
      </w:r>
      <w:r>
        <w:rPr>
          <w:rFonts w:ascii="Times New Roman" w:hAnsi="Times New Roman" w:cs="Times New Roman"/>
          <w:sz w:val="22"/>
        </w:rPr>
        <w:t xml:space="preserve">s and the histopathologically proven HCC, </w:t>
      </w:r>
      <w:bookmarkStart w:id="0" w:name="_Hlk114583968"/>
      <w:r>
        <w:rPr>
          <w:rFonts w:ascii="Times New Roman" w:hAnsi="Times New Roman" w:cs="Times New Roman"/>
          <w:sz w:val="22"/>
        </w:rPr>
        <w:t>grade A or B Child-Pugh liver function</w:t>
      </w:r>
      <w:bookmarkEnd w:id="0"/>
      <w:r>
        <w:rPr>
          <w:rFonts w:ascii="Times New Roman" w:hAnsi="Times New Roman" w:cs="Times New Roman"/>
          <w:sz w:val="22"/>
        </w:rPr>
        <w:t xml:space="preserve">. Exclusion criteria included extrahepatic metastasis of primary liver cancer, simultaneously underwent resection and radiofrequency ablation and palliative resection and targeted therapy, the mixed or other type of liver cancer, grade C Child-Pugh liver function, pregnant or breastfeeding women, patients with a history of mental illness or psychotropic substance abuse and HIV-infected people. </w:t>
      </w:r>
    </w:p>
    <w:p>
      <w:pPr>
        <w:spacing w:line="360" w:lineRule="auto"/>
        <w:ind w:firstLine="440" w:firstLineChars="200"/>
        <w:rPr>
          <w:rFonts w:ascii="Times New Roman" w:hAnsi="Times New Roman" w:cs="Times New Roman"/>
          <w:sz w:val="22"/>
        </w:rPr>
      </w:pPr>
      <w:r>
        <w:rPr>
          <w:rFonts w:ascii="Times New Roman" w:hAnsi="Times New Roman" w:cs="Times New Roman"/>
          <w:sz w:val="22"/>
        </w:rPr>
        <w:t xml:space="preserve"> Laboratory blood examination, including routine blood test, liver and renal function, coagulation tests, </w:t>
      </w:r>
      <w:r>
        <w:rPr>
          <w:rFonts w:hint="eastAsia" w:ascii="Times New Roman" w:hAnsi="Times New Roman" w:cs="Times New Roman"/>
          <w:sz w:val="22"/>
        </w:rPr>
        <w:t>tumour</w:t>
      </w:r>
      <w:r>
        <w:rPr>
          <w:rFonts w:ascii="Times New Roman" w:hAnsi="Times New Roman" w:cs="Times New Roman"/>
          <w:sz w:val="22"/>
        </w:rPr>
        <w:t xml:space="preserve"> markers like alpha-fetoprotein (AFP) and infectious disease screening were completely tested. Preoperative chest X-ray, electrocardiogram and enhanced CT or MRI of abdomen to exclude the cardiopulmonary diseases and confirm the HCC diagnosis. Postoperative HCC diagnosis was confirmed by histopathological examination. Two experienced pathologists confirmed the final diagnosis and all specimens were routinely examined for the presence of the microvascular invasion (MVI). Liver and renal function test, serum AFP assay, routine blood test and abdominal ultrasonography were performed every 3 months in the first and second postoperative year and every 6 months in the subsequent years. Patients who survived and were not lost to follow-up were followed up to at least 5 years. Overall survival (OS) and recurrence-free survival (RFS) were the endpoints of our study. OS was calculated from the date of radical liver resection to the date of patient’s death or the date of last follow-up visit. DFS was measured from the date of radical liver resection to the date when </w:t>
      </w:r>
      <w:r>
        <w:rPr>
          <w:rFonts w:hint="eastAsia" w:ascii="Times New Roman" w:hAnsi="Times New Roman" w:cs="Times New Roman"/>
          <w:sz w:val="22"/>
        </w:rPr>
        <w:t>tumour</w:t>
      </w:r>
      <w:r>
        <w:rPr>
          <w:rFonts w:ascii="Times New Roman" w:hAnsi="Times New Roman" w:cs="Times New Roman"/>
          <w:sz w:val="22"/>
        </w:rPr>
        <w:t xml:space="preserve"> recurrence was diagnosed.</w:t>
      </w:r>
    </w:p>
    <w:p>
      <w:pPr>
        <w:spacing w:line="360" w:lineRule="auto"/>
        <w:ind w:firstLine="440" w:firstLineChars="200"/>
        <w:rPr>
          <w:rFonts w:ascii="Times New Roman" w:hAnsi="Times New Roman" w:cs="Times New Roman"/>
          <w:sz w:val="22"/>
        </w:rPr>
      </w:pPr>
    </w:p>
    <w:p>
      <w:pPr>
        <w:spacing w:line="360" w:lineRule="auto"/>
        <w:rPr>
          <w:rFonts w:ascii="Times New Roman" w:hAnsi="Times New Roman" w:cs="Times New Roman"/>
          <w:sz w:val="22"/>
        </w:rPr>
      </w:pPr>
      <w:r>
        <w:rPr>
          <w:rFonts w:hint="eastAsia" w:ascii="Times New Roman" w:hAnsi="Times New Roman" w:cs="Times New Roman"/>
          <w:b/>
          <w:bCs/>
          <w:sz w:val="22"/>
        </w:rPr>
        <w:t>Collection of HCC specimens and sequencing</w:t>
      </w:r>
    </w:p>
    <w:p>
      <w:pPr>
        <w:spacing w:line="360" w:lineRule="auto"/>
        <w:rPr>
          <w:rFonts w:ascii="Times New Roman" w:hAnsi="Times New Roman" w:cs="Times New Roman"/>
          <w:sz w:val="22"/>
        </w:rPr>
      </w:pPr>
      <w:r>
        <w:rPr>
          <w:rFonts w:hint="eastAsia" w:ascii="Times New Roman" w:hAnsi="Times New Roman" w:cs="Times New Roman"/>
          <w:sz w:val="22"/>
        </w:rPr>
        <w:t>The sequencing work of this study was completed by LC-Bio Technologies (Hangzhou) Co., Ltd. Total RNA was isolated and purified us</w:t>
      </w:r>
      <w:r>
        <w:rPr>
          <w:rFonts w:hint="eastAsia" w:ascii="Times New Roman" w:hAnsi="Times New Roman" w:cs="Times New Roman"/>
          <w:color w:val="auto"/>
          <w:sz w:val="22"/>
        </w:rPr>
        <w:t>ing TRIzol reagent (Invitrogen, Carlsbad, CA, USA) following the manufacturer's procedure. After removing ribosomal RNAs, the remaining RNAs were fragmented into small pieces, and the RNA library was constructed. Finally, we performed high-throughput sequencing following the vendor's recommended protocol as well as data mapping, analysis, and annotation..</w:t>
      </w:r>
    </w:p>
    <w:p>
      <w:pPr>
        <w:spacing w:line="360" w:lineRule="auto"/>
        <w:rPr>
          <w:rFonts w:ascii="Times New Roman" w:hAnsi="Times New Roman" w:cs="Times New Roman"/>
          <w:sz w:val="22"/>
        </w:rPr>
      </w:pPr>
    </w:p>
    <w:p>
      <w:pPr>
        <w:spacing w:line="360" w:lineRule="auto"/>
        <w:rPr>
          <w:rFonts w:ascii="Times New Roman" w:hAnsi="Times New Roman" w:cs="Times New Roman"/>
          <w:b/>
          <w:bCs/>
          <w:sz w:val="22"/>
        </w:rPr>
      </w:pPr>
      <w:r>
        <w:rPr>
          <w:rFonts w:ascii="Times New Roman" w:hAnsi="Times New Roman" w:cs="Times New Roman"/>
          <w:b/>
          <w:bCs/>
          <w:sz w:val="22"/>
        </w:rPr>
        <w:t>Screening of AYA unique different mRNAs, miRNAs and lncRNAs</w:t>
      </w:r>
    </w:p>
    <w:p>
      <w:pPr>
        <w:spacing w:line="360" w:lineRule="auto"/>
        <w:rPr>
          <w:rFonts w:ascii="Times New Roman" w:hAnsi="Times New Roman" w:cs="Times New Roman"/>
          <w:sz w:val="22"/>
        </w:rPr>
      </w:pPr>
      <w:r>
        <w:rPr>
          <w:rFonts w:hint="eastAsia" w:ascii="Times New Roman" w:hAnsi="Times New Roman" w:cs="Times New Roman"/>
          <w:sz w:val="22"/>
        </w:rPr>
        <w:t>Differential expression analysis of mRNAs and lncRN</w:t>
      </w:r>
      <w:r>
        <w:rPr>
          <w:rFonts w:hint="eastAsia" w:ascii="Times New Roman" w:hAnsi="Times New Roman" w:cs="Times New Roman"/>
          <w:color w:val="auto"/>
          <w:sz w:val="22"/>
        </w:rPr>
        <w:t>As in the AYA group and elderly group with a p value &lt;0.05 and |log2-fold change (FC)|&gt;1 threshold was performed by the “edgeR” package in R. Then, unique differential mRNAs and lncRNAs of the AYA g</w:t>
      </w:r>
      <w:r>
        <w:rPr>
          <w:rFonts w:hint="eastAsia" w:ascii="Times New Roman" w:hAnsi="Times New Roman" w:cs="Times New Roman"/>
          <w:sz w:val="22"/>
        </w:rPr>
        <w:t>roup were selected by Venn diagram (https://bioinfogp.cnb.csic.es/tools/ve</w:t>
      </w:r>
      <w:r>
        <w:rPr>
          <w:rFonts w:hint="eastAsia" w:ascii="Times New Roman" w:hAnsi="Times New Roman" w:cs="Times New Roman"/>
          <w:color w:val="auto"/>
          <w:sz w:val="22"/>
        </w:rPr>
        <w:t>nny) with an adjusted p value &lt;0.05 and |log2-fold change (FC)|&gt;1 threshold. For AYA unique differential mRNAs, the mean fragments per kilobase of transcript per million mapped reads (FPKM) &gt;15 was an additional condition. The expression levels of miRNAs were normalized following the procedures described in a previous study[1] with minor modifications. Then, a t te</w:t>
      </w:r>
      <w:r>
        <w:rPr>
          <w:rFonts w:hint="eastAsia" w:ascii="Times New Roman" w:hAnsi="Times New Roman" w:cs="Times New Roman"/>
          <w:sz w:val="22"/>
        </w:rPr>
        <w:t>st of the two groups of samples with biological replicates was performed on the expression of miRNAs between the</w:t>
      </w:r>
      <w:r>
        <w:rPr>
          <w:rFonts w:hint="eastAsia" w:ascii="Times New Roman" w:hAnsi="Times New Roman" w:cs="Times New Roman"/>
          <w:color w:val="auto"/>
          <w:sz w:val="22"/>
        </w:rPr>
        <w:t xml:space="preserve"> tumour ti</w:t>
      </w:r>
      <w:r>
        <w:rPr>
          <w:rFonts w:hint="eastAsia" w:ascii="Times New Roman" w:hAnsi="Times New Roman" w:cs="Times New Roman"/>
          <w:sz w:val="22"/>
        </w:rPr>
        <w:t>ssue and adjacent tissue of the AYA group and the elderly group with a p value &lt;0.05 and |log</w:t>
      </w:r>
      <w:r>
        <w:rPr>
          <w:rFonts w:hint="eastAsia" w:ascii="Times New Roman" w:hAnsi="Times New Roman" w:cs="Times New Roman"/>
          <w:color w:val="auto"/>
          <w:sz w:val="22"/>
        </w:rPr>
        <w:t>2-fold</w:t>
      </w:r>
      <w:r>
        <w:rPr>
          <w:rFonts w:hint="eastAsia" w:ascii="Times New Roman" w:hAnsi="Times New Roman" w:cs="Times New Roman"/>
          <w:sz w:val="22"/>
        </w:rPr>
        <w:t xml:space="preserve"> change (FC)|&gt;1 threshold. The unique differential miRNAs of the AYA group were selected by Venn diagram with p value &lt;0.01. Heatmaps were plotted by https://www.bioinformatics.com.cn.</w:t>
      </w:r>
    </w:p>
    <w:p>
      <w:pPr>
        <w:spacing w:line="360" w:lineRule="auto"/>
        <w:ind w:firstLine="440" w:firstLineChars="200"/>
        <w:rPr>
          <w:rFonts w:ascii="Times New Roman" w:hAnsi="Times New Roman" w:cs="Times New Roman"/>
          <w:sz w:val="22"/>
        </w:rPr>
      </w:pPr>
    </w:p>
    <w:p>
      <w:pPr>
        <w:spacing w:line="360" w:lineRule="auto"/>
        <w:rPr>
          <w:rFonts w:ascii="Times New Roman" w:hAnsi="Times New Roman" w:cs="Times New Roman"/>
          <w:b/>
          <w:bCs/>
          <w:sz w:val="22"/>
        </w:rPr>
      </w:pPr>
      <w:r>
        <w:rPr>
          <w:rFonts w:ascii="Times New Roman" w:hAnsi="Times New Roman" w:cs="Times New Roman"/>
          <w:b/>
          <w:bCs/>
          <w:sz w:val="22"/>
        </w:rPr>
        <w:t>Functional enrichment analysis</w:t>
      </w:r>
    </w:p>
    <w:p>
      <w:pPr>
        <w:spacing w:line="360" w:lineRule="auto"/>
        <w:rPr>
          <w:rFonts w:ascii="Times New Roman" w:hAnsi="Times New Roman" w:cs="Times New Roman"/>
          <w:sz w:val="22"/>
        </w:rPr>
      </w:pPr>
      <w:r>
        <w:rPr>
          <w:rFonts w:ascii="Times New Roman" w:hAnsi="Times New Roman" w:cs="Times New Roman"/>
          <w:sz w:val="22"/>
        </w:rPr>
        <w:t>For the differentially expressed mRNAs in AYA HCC, GO and KEGG functional analysis was performed using the “Cluster Profiler” package in R. Gene set enrichment analysis (GSEA) was also performed by the “Cluster Profiler” package. The age-related GSEA was using the “fgsea” package, in which the AYA unique differentially expressed genes arranged by correlation between age and gene expression. The KEGG enrichment analysis of differential miRNAs based on the TarBase database was performed through the mirPath function in DIANA TOOLS (http://snf-515788.vm.okeanos.grnet.gr/).</w:t>
      </w:r>
    </w:p>
    <w:p>
      <w:pPr>
        <w:spacing w:line="360" w:lineRule="auto"/>
        <w:rPr>
          <w:rFonts w:ascii="Times New Roman" w:hAnsi="Times New Roman" w:cs="Times New Roman"/>
          <w:sz w:val="22"/>
        </w:rPr>
      </w:pPr>
    </w:p>
    <w:p>
      <w:pPr>
        <w:spacing w:line="360" w:lineRule="auto"/>
        <w:rPr>
          <w:rFonts w:ascii="Times New Roman" w:hAnsi="Times New Roman" w:cs="Times New Roman"/>
          <w:b/>
          <w:bCs/>
          <w:sz w:val="22"/>
        </w:rPr>
      </w:pPr>
      <w:bookmarkStart w:id="1" w:name="_Hlk114601342"/>
      <w:r>
        <w:rPr>
          <w:rFonts w:ascii="Times New Roman" w:hAnsi="Times New Roman" w:cs="Times New Roman"/>
          <w:b/>
          <w:bCs/>
          <w:sz w:val="22"/>
        </w:rPr>
        <w:t>Mfuzz clustering analysis</w:t>
      </w:r>
    </w:p>
    <w:bookmarkEnd w:id="1"/>
    <w:p>
      <w:pPr>
        <w:spacing w:line="360" w:lineRule="auto"/>
        <w:rPr>
          <w:rFonts w:ascii="Times New Roman" w:hAnsi="Times New Roman" w:cs="Times New Roman"/>
          <w:sz w:val="22"/>
        </w:rPr>
      </w:pPr>
      <w:r>
        <w:rPr>
          <w:rFonts w:ascii="Times New Roman" w:hAnsi="Times New Roman" w:cs="Times New Roman"/>
          <w:sz w:val="22"/>
        </w:rPr>
        <w:t xml:space="preserve">According to the corresponding age of the HBV-HCC patients included for sequencing, the </w:t>
      </w:r>
      <w:r>
        <w:rPr>
          <w:rFonts w:hint="eastAsia" w:ascii="Times New Roman" w:hAnsi="Times New Roman" w:cs="Times New Roman"/>
          <w:sz w:val="22"/>
        </w:rPr>
        <w:t>tumour</w:t>
      </w:r>
      <w:r>
        <w:rPr>
          <w:rFonts w:ascii="Times New Roman" w:hAnsi="Times New Roman" w:cs="Times New Roman"/>
          <w:sz w:val="22"/>
        </w:rPr>
        <w:t xml:space="preserve"> samples were divided into 4 groups (&lt;25, 25-30, 65-70, &gt;70 years old). Mfuzz clustering analysis was performed using “Mfuzz” package in R, and the genes were set into 5 groups. Further functional analysis was performed on the differential gene clusters.</w:t>
      </w:r>
    </w:p>
    <w:p>
      <w:pPr>
        <w:spacing w:line="360" w:lineRule="auto"/>
        <w:rPr>
          <w:rFonts w:ascii="Times New Roman" w:hAnsi="Times New Roman" w:cs="Times New Roman"/>
          <w:sz w:val="22"/>
        </w:rPr>
      </w:pPr>
    </w:p>
    <w:p>
      <w:pPr>
        <w:spacing w:line="360" w:lineRule="auto"/>
        <w:rPr>
          <w:rFonts w:ascii="Times New Roman" w:hAnsi="Times New Roman" w:cs="Times New Roman"/>
          <w:b/>
          <w:bCs/>
          <w:sz w:val="22"/>
        </w:rPr>
      </w:pPr>
      <w:r>
        <w:rPr>
          <w:rFonts w:ascii="Times New Roman" w:hAnsi="Times New Roman" w:cs="Times New Roman"/>
          <w:b/>
          <w:bCs/>
          <w:sz w:val="22"/>
        </w:rPr>
        <w:t>WGCNA analysis</w:t>
      </w:r>
    </w:p>
    <w:p>
      <w:pPr>
        <w:spacing w:line="360" w:lineRule="auto"/>
        <w:rPr>
          <w:rFonts w:ascii="Times New Roman" w:hAnsi="Times New Roman" w:cs="Times New Roman"/>
          <w:sz w:val="22"/>
        </w:rPr>
      </w:pPr>
      <w:r>
        <w:rPr>
          <w:rFonts w:ascii="Times New Roman" w:hAnsi="Times New Roman" w:cs="Times New Roman"/>
          <w:sz w:val="22"/>
        </w:rPr>
        <w:t xml:space="preserve">The expression of unique differential genes </w:t>
      </w:r>
      <w:r>
        <w:rPr>
          <w:rFonts w:ascii="Times New Roman" w:hAnsi="Times New Roman" w:cs="Times New Roman"/>
          <w:color w:val="auto"/>
          <w:sz w:val="22"/>
        </w:rPr>
        <w:t>of AYA and elderly liver tumo</w:t>
      </w:r>
      <w:r>
        <w:rPr>
          <w:rFonts w:hint="eastAsia" w:ascii="Times New Roman" w:hAnsi="Times New Roman" w:cs="Times New Roman"/>
          <w:color w:val="auto"/>
          <w:sz w:val="22"/>
        </w:rPr>
        <w:t>u</w:t>
      </w:r>
      <w:r>
        <w:rPr>
          <w:rFonts w:ascii="Times New Roman" w:hAnsi="Times New Roman" w:cs="Times New Roman"/>
          <w:color w:val="auto"/>
          <w:sz w:val="22"/>
        </w:rPr>
        <w:t>r sa</w:t>
      </w:r>
      <w:r>
        <w:rPr>
          <w:rFonts w:ascii="Times New Roman" w:hAnsi="Times New Roman" w:cs="Times New Roman"/>
          <w:sz w:val="22"/>
        </w:rPr>
        <w:t xml:space="preserve">mples were used as input matrix. Clinical indicators such as age, </w:t>
      </w:r>
      <w:r>
        <w:rPr>
          <w:rFonts w:hint="eastAsia" w:ascii="Times New Roman" w:hAnsi="Times New Roman" w:cs="Times New Roman"/>
          <w:sz w:val="22"/>
        </w:rPr>
        <w:t>tumour</w:t>
      </w:r>
      <w:r>
        <w:rPr>
          <w:rFonts w:ascii="Times New Roman" w:hAnsi="Times New Roman" w:cs="Times New Roman"/>
          <w:sz w:val="22"/>
        </w:rPr>
        <w:t xml:space="preserve"> recurrence within 1 year, height, weight, AFP, abnormal prothrombin, total </w:t>
      </w:r>
      <w:r>
        <w:rPr>
          <w:rFonts w:hint="eastAsia" w:ascii="Times New Roman" w:hAnsi="Times New Roman" w:cs="Times New Roman"/>
          <w:sz w:val="22"/>
        </w:rPr>
        <w:t>tumour</w:t>
      </w:r>
      <w:r>
        <w:rPr>
          <w:rFonts w:ascii="Times New Roman" w:hAnsi="Times New Roman" w:cs="Times New Roman"/>
          <w:sz w:val="22"/>
        </w:rPr>
        <w:t xml:space="preserve"> diameter, microvascular invasion, pathological grade, TMN grade, etc. of the corresponding HCC patients were collected. The ”WGCNA” package in R was used for analysis. Outlier samples were removed by drawing a clustering tree and set a soft threshold of 6.</w:t>
      </w:r>
    </w:p>
    <w:p>
      <w:pPr>
        <w:spacing w:line="360" w:lineRule="auto"/>
        <w:rPr>
          <w:rFonts w:ascii="Times New Roman" w:hAnsi="Times New Roman" w:cs="Times New Roman"/>
          <w:sz w:val="22"/>
        </w:rPr>
      </w:pPr>
    </w:p>
    <w:p>
      <w:pPr>
        <w:spacing w:line="360" w:lineRule="auto"/>
        <w:rPr>
          <w:rFonts w:ascii="Times New Roman" w:hAnsi="Times New Roman" w:cs="Times New Roman"/>
          <w:b/>
          <w:bCs/>
          <w:sz w:val="22"/>
        </w:rPr>
      </w:pPr>
      <w:r>
        <w:rPr>
          <w:rFonts w:ascii="Times New Roman" w:hAnsi="Times New Roman" w:cs="Times New Roman"/>
          <w:b/>
          <w:bCs/>
          <w:sz w:val="22"/>
        </w:rPr>
        <w:t>MPI and PPI Network Construction</w:t>
      </w:r>
    </w:p>
    <w:p>
      <w:pPr>
        <w:spacing w:line="360" w:lineRule="auto"/>
        <w:rPr>
          <w:rFonts w:ascii="Times New Roman" w:hAnsi="Times New Roman" w:cs="Times New Roman"/>
          <w:sz w:val="22"/>
        </w:rPr>
      </w:pPr>
      <w:r>
        <w:rPr>
          <w:rFonts w:ascii="Times New Roman" w:hAnsi="Times New Roman" w:cs="Times New Roman"/>
          <w:sz w:val="22"/>
        </w:rPr>
        <w:t>PPIs were obtained from STRING (</w:t>
      </w:r>
      <w:r>
        <w:rPr>
          <w:rFonts w:ascii="Times New Roman" w:hAnsi="Times New Roman" w:cs="Times New Roman"/>
          <w:color w:val="auto"/>
          <w:sz w:val="22"/>
          <w:u w:val="none"/>
        </w:rPr>
        <w:t>https://cn.string-db.org/</w:t>
      </w:r>
      <w:r>
        <w:rPr>
          <w:rFonts w:ascii="Times New Roman" w:hAnsi="Times New Roman" w:cs="Times New Roman"/>
          <w:sz w:val="22"/>
        </w:rPr>
        <w:t xml:space="preserve">) and optimized the network by Cytoscape. The hub genes were screened out by the MCC algorithm in Cyto-Hubba. The MPI network was constructed as previous described, by which MPIs extracted from four resources including KEGG, Reactome, Human-GEM, and BRENDA. Genes in MPIs were ranged by degree using cytoNCA in Cytoscape. Combining PPIs and MPIs, metabolism-related hub genes were screened out from the intersection of key genes of two networks. </w:t>
      </w:r>
    </w:p>
    <w:p>
      <w:pPr>
        <w:spacing w:line="360" w:lineRule="auto"/>
        <w:rPr>
          <w:rFonts w:ascii="Times New Roman" w:hAnsi="Times New Roman" w:cs="Times New Roman"/>
          <w:sz w:val="22"/>
        </w:rPr>
      </w:pPr>
    </w:p>
    <w:p>
      <w:pPr>
        <w:spacing w:line="360" w:lineRule="auto"/>
        <w:rPr>
          <w:rFonts w:ascii="Times New Roman" w:hAnsi="Times New Roman" w:cs="Times New Roman"/>
          <w:b/>
          <w:bCs/>
          <w:sz w:val="22"/>
        </w:rPr>
      </w:pPr>
      <w:r>
        <w:rPr>
          <w:rFonts w:ascii="Times New Roman" w:hAnsi="Times New Roman" w:cs="Times New Roman"/>
          <w:b/>
          <w:bCs/>
          <w:sz w:val="22"/>
        </w:rPr>
        <w:t>Establishment of the ceRNA network</w:t>
      </w:r>
    </w:p>
    <w:p>
      <w:pPr>
        <w:spacing w:line="360" w:lineRule="auto"/>
        <w:rPr>
          <w:rFonts w:hint="default"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 xml:space="preserve">The </w:t>
      </w:r>
      <w:r>
        <w:rPr>
          <w:rFonts w:ascii="Times New Roman" w:hAnsi="Times New Roman" w:cs="Times New Roman"/>
          <w:sz w:val="22"/>
        </w:rPr>
        <w:t>miRNAs are known to mainly cause gene silence by binding to downstream target mRNA at the post-transcriptional level, while lncRNAs can act as baits for miRNA binding and counteract the repressive activity of miRNA, which is the fundamental basis of ceRNA network.</w:t>
      </w:r>
      <w:r>
        <w:rPr>
          <w:rFonts w:ascii="Times New Roman" w:hAnsi="Times New Roman" w:cs="Times New Roman"/>
          <w:sz w:val="22"/>
        </w:rPr>
        <w:fldChar w:fldCharType="begin">
          <w:fldData xml:space="preserve">PEVuZE5vdGU+PENpdGU+PEF1dGhvcj5LYXJyZXRoPC9BdXRob3I+PFllYXI+MjAxMzwvWWVhcj48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</w:fldData>
        </w:fldChar>
      </w:r>
      <w:r>
        <w:rPr>
          <w:rFonts w:ascii="Times New Roman" w:hAnsi="Times New Roman" w:cs="Times New Roman"/>
          <w:sz w:val="22"/>
        </w:rPr>
        <w:instrText xml:space="preserve"> ADDIN EN.CITE </w:instrText>
      </w:r>
      <w:r>
        <w:rPr>
          <w:rFonts w:ascii="Times New Roman" w:hAnsi="Times New Roman" w:cs="Times New Roman"/>
          <w:sz w:val="22"/>
        </w:rPr>
        <w:fldChar w:fldCharType="begin">
          <w:fldData xml:space="preserve">PEVuZE5vdGU+PENpdGU+PEF1dGhvcj5LYXJyZXRoPC9BdXRob3I+PFllYXI+MjAxMzwvWWVhcj48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</w:fldData>
        </w:fldChar>
      </w:r>
      <w:r>
        <w:rPr>
          <w:rFonts w:ascii="Times New Roman" w:hAnsi="Times New Roman" w:cs="Times New Roman"/>
          <w:sz w:val="22"/>
        </w:rPr>
        <w:instrText xml:space="preserve"> ADDIN EN.CITE.DATA </w:instrText>
      </w:r>
      <w:r>
        <w:rPr>
          <w:rFonts w:ascii="Times New Roman" w:hAnsi="Times New Roman" w:cs="Times New Roman"/>
          <w:sz w:val="22"/>
        </w:rPr>
        <w:fldChar w:fldCharType="end"/>
      </w:r>
      <w:r>
        <w:rPr>
          <w:rFonts w:ascii="Times New Roman" w:hAnsi="Times New Roman" w:cs="Times New Roman"/>
          <w:sz w:val="22"/>
        </w:rPr>
        <w:fldChar w:fldCharType="separate"/>
      </w:r>
      <w:r>
        <w:rPr>
          <w:rFonts w:ascii="Times New Roman" w:hAnsi="Times New Roman" w:cs="Times New Roman"/>
          <w:sz w:val="22"/>
        </w:rPr>
        <w:t>[1]</w:t>
      </w:r>
      <w:r>
        <w:rPr>
          <w:rFonts w:ascii="Times New Roman" w:hAnsi="Times New Roman" w:cs="Times New Roman"/>
          <w:sz w:val="22"/>
        </w:rPr>
        <w:fldChar w:fldCharType="end"/>
      </w:r>
      <w:r>
        <w:rPr>
          <w:rFonts w:ascii="Times New Roman" w:hAnsi="Times New Roman" w:cs="Times New Roman"/>
          <w:sz w:val="22"/>
        </w:rPr>
        <w:t xml:space="preserve"> lncRNA-mRNA co-expression relationship and the differential miRNA-mRNA and the differential miRNA-lncRNA regulatory relationships were integrated to construct the ceRNA network. Context score percentile&gt;90 by TargetScan, Tot Score&gt;140 and Tot Energy&lt;-20 by miRanda were filters for target ceRNAs. Pearson correlation coefficient&gt;0.65 and p value &lt;0.05 were the threshold of lncRNA-mRNA co-expression relationship. </w:t>
      </w:r>
    </w:p>
    <w:p>
      <w:pPr>
        <w:spacing w:line="360" w:lineRule="auto"/>
        <w:rPr>
          <w:rFonts w:ascii="Times New Roman" w:hAnsi="Times New Roman" w:cs="Times New Roman"/>
          <w:b/>
          <w:bCs/>
          <w:sz w:val="22"/>
        </w:rPr>
      </w:pPr>
    </w:p>
    <w:p>
      <w:pPr>
        <w:spacing w:line="360" w:lineRule="auto"/>
        <w:rPr>
          <w:rFonts w:ascii="Times New Roman" w:hAnsi="Times New Roman" w:cs="Times New Roman"/>
          <w:b/>
          <w:bCs/>
          <w:sz w:val="22"/>
        </w:rPr>
      </w:pPr>
      <w:r>
        <w:rPr>
          <w:rFonts w:ascii="Times New Roman" w:hAnsi="Times New Roman" w:cs="Times New Roman"/>
          <w:b/>
          <w:bCs/>
          <w:sz w:val="22"/>
        </w:rPr>
        <w:t>TCGA data preparation and processing</w:t>
      </w:r>
    </w:p>
    <w:p>
      <w:pPr>
        <w:spacing w:line="360" w:lineRule="auto"/>
        <w:rPr>
          <w:rFonts w:ascii="Times New Roman" w:hAnsi="Times New Roman" w:cs="Times New Roman"/>
          <w:sz w:val="22"/>
        </w:rPr>
      </w:pPr>
      <w:r>
        <w:rPr>
          <w:rFonts w:ascii="Times New Roman" w:hAnsi="Times New Roman" w:cs="Times New Roman"/>
          <w:sz w:val="22"/>
        </w:rPr>
        <w:t>Genomic Data Commons (GDC) TCGA</w:t>
      </w:r>
      <w:r>
        <w:rPr>
          <w:rFonts w:hint="eastAsia" w:ascii="Times New Roman" w:hAnsi="Times New Roman" w:cs="Times New Roman"/>
          <w:sz w:val="22"/>
          <w:lang w:val="en-US" w:eastAsia="zh-CN"/>
        </w:rPr>
        <w:t xml:space="preserve"> </w:t>
      </w:r>
      <w:r>
        <w:rPr>
          <w:rFonts w:ascii="Times New Roman" w:hAnsi="Times New Roman" w:cs="Times New Roman"/>
          <w:sz w:val="22"/>
        </w:rPr>
        <w:t>LIHC</w:t>
      </w:r>
      <w:r>
        <w:rPr>
          <w:rFonts w:hint="eastAsia" w:ascii="Times New Roman" w:hAnsi="Times New Roman" w:cs="Times New Roman"/>
          <w:sz w:val="22"/>
          <w:lang w:val="en-US" w:eastAsia="zh-CN"/>
        </w:rPr>
        <w:t xml:space="preserve"> (liver hepatocellular carcinoma)</w:t>
      </w:r>
      <w:r>
        <w:rPr>
          <w:rFonts w:ascii="Times New Roman" w:hAnsi="Times New Roman" w:cs="Times New Roman"/>
          <w:sz w:val="22"/>
        </w:rPr>
        <w:t xml:space="preserve"> data provided by the University of California Santa Cruz (UCSC) Xena database (</w:t>
      </w:r>
      <w:r>
        <w:rPr>
          <w:rFonts w:ascii="Times New Roman" w:hAnsi="Times New Roman" w:cs="Times New Roman"/>
          <w:color w:val="auto"/>
          <w:sz w:val="22"/>
          <w:u w:val="none"/>
        </w:rPr>
        <w:t>https://xenabrowser.net/datapages/</w:t>
      </w:r>
      <w:r>
        <w:rPr>
          <w:rFonts w:ascii="Times New Roman" w:hAnsi="Times New Roman" w:cs="Times New Roman"/>
          <w:sz w:val="22"/>
        </w:rPr>
        <w:t>) was used in this study for further validation. PCA analysis was performed on the HCC samples in the TCGA database based on the expression of metabolic-related hub genes. Samples were divided into two groups with PC1=PC2 as the dividing line. C1 group was the part of PC1&gt;PC2, and C2 group was the part of PC1&lt;PC2. The gene difference analysis of the two groups was further carried out through the “DESeq2” package in R. The threshold was set as p value &lt;0.01 and |log2 fold change (FC)|&gt;2. Functional analysis was performed by “Cluster Profiler” package and PPIs of key pathways was established using STRING with outcomes of GSEA analysis. The Kaplan–Meier method was used for prognosis analysis.</w:t>
      </w:r>
    </w:p>
    <w:p>
      <w:pPr>
        <w:spacing w:line="360" w:lineRule="auto"/>
        <w:rPr>
          <w:rFonts w:ascii="Times New Roman" w:hAnsi="Times New Roman" w:cs="Times New Roman"/>
          <w:b/>
          <w:bCs/>
          <w:sz w:val="22"/>
        </w:rPr>
      </w:pPr>
    </w:p>
    <w:p>
      <w:pPr>
        <w:spacing w:line="360" w:lineRule="auto"/>
        <w:rPr>
          <w:rFonts w:ascii="Times New Roman" w:hAnsi="Times New Roman" w:cs="Times New Roman"/>
          <w:b/>
          <w:bCs/>
          <w:sz w:val="22"/>
        </w:rPr>
      </w:pPr>
      <w:r>
        <w:rPr>
          <w:rFonts w:ascii="Times New Roman" w:hAnsi="Times New Roman" w:cs="Times New Roman"/>
          <w:b/>
          <w:bCs/>
          <w:sz w:val="22"/>
        </w:rPr>
        <w:t>Immune infiltrate levels and expression analysis</w:t>
      </w:r>
    </w:p>
    <w:p>
      <w:pPr>
        <w:spacing w:line="360" w:lineRule="auto"/>
        <w:rPr>
          <w:rFonts w:ascii="Times New Roman" w:hAnsi="Times New Roman" w:cs="Times New Roman"/>
          <w:sz w:val="22"/>
        </w:rPr>
      </w:pPr>
      <w:r>
        <w:rPr>
          <w:rFonts w:ascii="Times New Roman" w:hAnsi="Times New Roman" w:cs="Times New Roman"/>
          <w:sz w:val="22"/>
        </w:rPr>
        <w:t>The immune score and stromal score of C1 and C2 groups were calculated by the “estimate” package in R</w:t>
      </w:r>
      <w:r>
        <w:rPr>
          <w:rFonts w:ascii="Times New Roman" w:hAnsi="Times New Roman" w:cs="Times New Roman"/>
          <w:sz w:val="22"/>
        </w:rPr>
        <w:fldChar w:fldCharType="begin">
          <w:fldData xml:space="preserve">PEVuZE5vdGU+PENpdGU+PEF1dGhvcj5Zb3NoaWhhcmE8L0F1dGhvcj48WWVhcj4yMDEzPC9ZZWFy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</w:fldData>
        </w:fldChar>
      </w:r>
      <w:r>
        <w:rPr>
          <w:rFonts w:ascii="Times New Roman" w:hAnsi="Times New Roman" w:cs="Times New Roman"/>
          <w:sz w:val="22"/>
        </w:rPr>
        <w:instrText xml:space="preserve"> ADDIN EN.CITE </w:instrText>
      </w:r>
      <w:r>
        <w:rPr>
          <w:rFonts w:ascii="Times New Roman" w:hAnsi="Times New Roman" w:cs="Times New Roman"/>
          <w:sz w:val="22"/>
        </w:rPr>
        <w:fldChar w:fldCharType="begin">
          <w:fldData xml:space="preserve">PEVuZE5vdGU+PENpdGU+PEF1dGhvcj5Zb3NoaWhhcmE8L0F1dGhvcj48WWVhcj4yMDEzPC9ZZWFy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</w:fldData>
        </w:fldChar>
      </w:r>
      <w:r>
        <w:rPr>
          <w:rFonts w:ascii="Times New Roman" w:hAnsi="Times New Roman" w:cs="Times New Roman"/>
          <w:sz w:val="22"/>
        </w:rPr>
        <w:instrText xml:space="preserve"> ADDIN EN.CITE.DATA </w:instrText>
      </w:r>
      <w:r>
        <w:rPr>
          <w:rFonts w:ascii="Times New Roman" w:hAnsi="Times New Roman" w:cs="Times New Roman"/>
          <w:sz w:val="22"/>
        </w:rPr>
        <w:fldChar w:fldCharType="end"/>
      </w:r>
      <w:r>
        <w:rPr>
          <w:rFonts w:ascii="Times New Roman" w:hAnsi="Times New Roman" w:cs="Times New Roman"/>
          <w:sz w:val="22"/>
        </w:rPr>
        <w:fldChar w:fldCharType="separate"/>
      </w:r>
      <w:r>
        <w:rPr>
          <w:rFonts w:ascii="Times New Roman" w:hAnsi="Times New Roman" w:cs="Times New Roman"/>
          <w:sz w:val="22"/>
        </w:rPr>
        <w:t>[2]</w:t>
      </w:r>
      <w:r>
        <w:rPr>
          <w:rFonts w:ascii="Times New Roman" w:hAnsi="Times New Roman" w:cs="Times New Roman"/>
          <w:sz w:val="22"/>
        </w:rPr>
        <w:fldChar w:fldCharType="end"/>
      </w:r>
      <w:r>
        <w:rPr>
          <w:rFonts w:ascii="Times New Roman" w:hAnsi="Times New Roman" w:cs="Times New Roman"/>
          <w:sz w:val="22"/>
        </w:rPr>
        <w:t xml:space="preserve">. The proportion of the 22 types of immune cells in the </w:t>
      </w:r>
      <w:r>
        <w:rPr>
          <w:rFonts w:hint="eastAsia" w:ascii="Times New Roman" w:hAnsi="Times New Roman" w:cs="Times New Roman"/>
          <w:sz w:val="22"/>
        </w:rPr>
        <w:t>tumour</w:t>
      </w:r>
      <w:r>
        <w:rPr>
          <w:rFonts w:ascii="Times New Roman" w:hAnsi="Times New Roman" w:cs="Times New Roman"/>
          <w:sz w:val="22"/>
        </w:rPr>
        <w:t xml:space="preserve"> microenvironment (TME) of each sample was evaluated using the “</w:t>
      </w:r>
      <w:bookmarkStart w:id="2" w:name="_Hlk115201220"/>
      <w:r>
        <w:rPr>
          <w:rFonts w:ascii="Times New Roman" w:hAnsi="Times New Roman" w:cs="Times New Roman"/>
          <w:sz w:val="22"/>
        </w:rPr>
        <w:t>CIBERSORT</w:t>
      </w:r>
      <w:bookmarkEnd w:id="2"/>
      <w:r>
        <w:rPr>
          <w:rFonts w:ascii="Times New Roman" w:hAnsi="Times New Roman" w:cs="Times New Roman"/>
          <w:sz w:val="22"/>
        </w:rPr>
        <w:t>” package in R</w:t>
      </w:r>
      <w:r>
        <w:rPr>
          <w:rFonts w:ascii="Times New Roman" w:hAnsi="Times New Roman" w:cs="Times New Roman"/>
          <w:sz w:val="22"/>
        </w:rPr>
        <w:fldChar w:fldCharType="begin">
          <w:fldData xml:space="preserve">PEVuZE5vdGU+PENpdGU+PEF1dGhvcj5OZXdtYW48L0F1dGhvcj48WWVhcj4yMDE1PC9ZZWFyPjxS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==
</w:fldData>
        </w:fldChar>
      </w:r>
      <w:r>
        <w:rPr>
          <w:rFonts w:ascii="Times New Roman" w:hAnsi="Times New Roman" w:cs="Times New Roman"/>
          <w:sz w:val="22"/>
        </w:rPr>
        <w:instrText xml:space="preserve"> ADDIN EN.CITE </w:instrText>
      </w:r>
      <w:r>
        <w:rPr>
          <w:rFonts w:ascii="Times New Roman" w:hAnsi="Times New Roman" w:cs="Times New Roman"/>
          <w:sz w:val="22"/>
        </w:rPr>
        <w:fldChar w:fldCharType="begin">
          <w:fldData xml:space="preserve">PEVuZE5vdGU+PENpdGU+PEF1dGhvcj5OZXdtYW48L0F1dGhvcj48WWVhcj4yMDE1PC9ZZWFyPjxS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==
</w:fldData>
        </w:fldChar>
      </w:r>
      <w:r>
        <w:rPr>
          <w:rFonts w:ascii="Times New Roman" w:hAnsi="Times New Roman" w:cs="Times New Roman"/>
          <w:sz w:val="22"/>
        </w:rPr>
        <w:instrText xml:space="preserve"> ADDIN EN.CITE.DATA </w:instrText>
      </w:r>
      <w:r>
        <w:rPr>
          <w:rFonts w:ascii="Times New Roman" w:hAnsi="Times New Roman" w:cs="Times New Roman"/>
          <w:sz w:val="22"/>
        </w:rPr>
        <w:fldChar w:fldCharType="end"/>
      </w:r>
      <w:r>
        <w:rPr>
          <w:rFonts w:ascii="Times New Roman" w:hAnsi="Times New Roman" w:cs="Times New Roman"/>
          <w:sz w:val="22"/>
        </w:rPr>
        <w:fldChar w:fldCharType="separate"/>
      </w:r>
      <w:r>
        <w:rPr>
          <w:rFonts w:ascii="Times New Roman" w:hAnsi="Times New Roman" w:cs="Times New Roman"/>
          <w:sz w:val="22"/>
        </w:rPr>
        <w:t>[3]</w:t>
      </w:r>
      <w:r>
        <w:rPr>
          <w:rFonts w:ascii="Times New Roman" w:hAnsi="Times New Roman" w:cs="Times New Roman"/>
          <w:sz w:val="22"/>
        </w:rPr>
        <w:fldChar w:fldCharType="end"/>
      </w:r>
      <w:r>
        <w:rPr>
          <w:rFonts w:ascii="Times New Roman" w:hAnsi="Times New Roman" w:cs="Times New Roman"/>
          <w:sz w:val="22"/>
        </w:rPr>
        <w:t>. A list of 29 functional gene expression signatures (Fges) representing cellular and functional TME properties was proposed by Bagaev et al</w:t>
      </w:r>
      <w:r>
        <w:rPr>
          <w:rFonts w:ascii="Times New Roman" w:hAnsi="Times New Roman" w:cs="Times New Roman"/>
          <w:sz w:val="22"/>
        </w:rPr>
        <w:fldChar w:fldCharType="begin">
          <w:fldData xml:space="preserve">PEVuZE5vdGU+PENpdGU+PEF1dGhvcj5CYWdhZXY8L0F1dGhvcj48WWVhcj4yMDIxPC9ZZWFyPjxS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</w:fldData>
        </w:fldChar>
      </w:r>
      <w:r>
        <w:rPr>
          <w:rFonts w:ascii="Times New Roman" w:hAnsi="Times New Roman" w:cs="Times New Roman"/>
          <w:sz w:val="22"/>
        </w:rPr>
        <w:instrText xml:space="preserve"> ADDIN EN.CITE </w:instrText>
      </w:r>
      <w:r>
        <w:rPr>
          <w:rFonts w:ascii="Times New Roman" w:hAnsi="Times New Roman" w:cs="Times New Roman"/>
          <w:sz w:val="22"/>
        </w:rPr>
        <w:fldChar w:fldCharType="begin">
          <w:fldData xml:space="preserve">PEVuZE5vdGU+PENpdGU+PEF1dGhvcj5CYWdhZXY8L0F1dGhvcj48WWVhcj4yMDIxPC9ZZWFyPjxS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</w:fldData>
        </w:fldChar>
      </w:r>
      <w:r>
        <w:rPr>
          <w:rFonts w:ascii="Times New Roman" w:hAnsi="Times New Roman" w:cs="Times New Roman"/>
          <w:sz w:val="22"/>
        </w:rPr>
        <w:instrText xml:space="preserve"> ADDIN EN.CITE.DATA </w:instrText>
      </w:r>
      <w:r>
        <w:rPr>
          <w:rFonts w:ascii="Times New Roman" w:hAnsi="Times New Roman" w:cs="Times New Roman"/>
          <w:sz w:val="22"/>
        </w:rPr>
        <w:fldChar w:fldCharType="end"/>
      </w:r>
      <w:r>
        <w:rPr>
          <w:rFonts w:ascii="Times New Roman" w:hAnsi="Times New Roman" w:cs="Times New Roman"/>
          <w:sz w:val="22"/>
        </w:rPr>
        <w:fldChar w:fldCharType="separate"/>
      </w:r>
      <w:r>
        <w:rPr>
          <w:rFonts w:ascii="Times New Roman" w:hAnsi="Times New Roman" w:cs="Times New Roman"/>
          <w:sz w:val="22"/>
        </w:rPr>
        <w:t>[4]</w:t>
      </w:r>
      <w:r>
        <w:rPr>
          <w:rFonts w:ascii="Times New Roman" w:hAnsi="Times New Roman" w:cs="Times New Roman"/>
          <w:sz w:val="22"/>
        </w:rPr>
        <w:fldChar w:fldCharType="end"/>
      </w:r>
      <w:r>
        <w:rPr>
          <w:rFonts w:ascii="Times New Roman" w:hAnsi="Times New Roman" w:cs="Times New Roman"/>
          <w:sz w:val="22"/>
        </w:rPr>
        <w:t>. The expression of 29-Fges related genes was integrated and compared between two groups using the ssGSEA algorithm via the “GSVA” package in R.</w:t>
      </w:r>
    </w:p>
    <w:p>
      <w:pPr>
        <w:spacing w:line="360" w:lineRule="auto"/>
        <w:ind w:firstLine="420"/>
        <w:rPr>
          <w:rFonts w:ascii="Times New Roman" w:hAnsi="Times New Roman" w:cs="Times New Roman"/>
          <w:sz w:val="22"/>
        </w:rPr>
      </w:pPr>
    </w:p>
    <w:p>
      <w:pPr>
        <w:spacing w:line="360" w:lineRule="auto"/>
        <w:rPr>
          <w:rFonts w:ascii="Times New Roman" w:hAnsi="Times New Roman" w:cs="Times New Roman"/>
          <w:b/>
          <w:bCs/>
          <w:sz w:val="22"/>
        </w:rPr>
      </w:pPr>
      <w:r>
        <w:rPr>
          <w:rFonts w:ascii="Times New Roman" w:hAnsi="Times New Roman" w:cs="Times New Roman"/>
          <w:b/>
          <w:bCs/>
          <w:sz w:val="22"/>
        </w:rPr>
        <w:t>RT-qPCR assay</w:t>
      </w:r>
    </w:p>
    <w:p>
      <w:pPr>
        <w:spacing w:line="360" w:lineRule="auto"/>
      </w:pPr>
      <w:r>
        <w:rPr>
          <w:rFonts w:hint="eastAsia" w:ascii="Times New Roman" w:hAnsi="Times New Roman" w:cs="Times New Roman"/>
          <w:sz w:val="22"/>
          <w:lang w:val="en-US" w:eastAsia="zh-CN"/>
        </w:rPr>
        <w:t xml:space="preserve">The </w:t>
      </w:r>
      <w:r>
        <w:rPr>
          <w:rFonts w:ascii="Times New Roman" w:hAnsi="Times New Roman" w:cs="Times New Roman"/>
          <w:sz w:val="22"/>
        </w:rPr>
        <w:t>mRNA</w:t>
      </w:r>
      <w:r>
        <w:rPr>
          <w:rFonts w:hint="eastAsia" w:ascii="Times New Roman" w:hAnsi="Times New Roman" w:cs="Times New Roman"/>
          <w:sz w:val="22"/>
          <w:lang w:val="en-US" w:eastAsia="zh-CN"/>
        </w:rPr>
        <w:t>s</w:t>
      </w:r>
      <w:r>
        <w:rPr>
          <w:rFonts w:ascii="Times New Roman" w:hAnsi="Times New Roman" w:cs="Times New Roman"/>
          <w:sz w:val="22"/>
        </w:rPr>
        <w:t xml:space="preserve"> were reversely transcribed using RT Master Mix for qPCR (MCE, New Jersey, USA), while miRNA was reverse transcribed by stem-loop method. Taq Pro Universal SYBR qPCR Master Mix (Vazyme, Nanjing, China) was used for qRT-PCR. The lncRNA and mRNA levels were normalized by </w:t>
      </w:r>
      <w:r>
        <w:rPr>
          <w:rFonts w:ascii="Times New Roman" w:hAnsi="Times New Roman" w:cs="Times New Roman" w:eastAsiaTheme="minorHAnsi"/>
          <w:sz w:val="22"/>
        </w:rPr>
        <w:t>GAPDH</w:t>
      </w:r>
      <w:r>
        <w:rPr>
          <w:rFonts w:ascii="Times New Roman" w:hAnsi="Times New Roman" w:cs="Times New Roman"/>
          <w:sz w:val="22"/>
        </w:rPr>
        <w:t>. The miRNA level was normalized by small nuclear U6. The relative expression levels were determined by the</w:t>
      </w:r>
      <w:r>
        <w:rPr>
          <w:rFonts w:ascii="Times New Roman" w:hAnsi="Times New Roman" w:eastAsia="等线" w:cs="Times New Roman"/>
          <w:sz w:val="22"/>
        </w:rPr>
        <w:t xml:space="preserve"> 2</w:t>
      </w:r>
      <w:r>
        <w:rPr>
          <w:rFonts w:ascii="Times New Roman" w:hAnsi="Times New Roman" w:eastAsia="微软雅黑" w:cs="Times New Roman"/>
          <w:sz w:val="22"/>
          <w:vertAlign w:val="superscript"/>
        </w:rPr>
        <w:t>−</w:t>
      </w:r>
      <w:r>
        <w:rPr>
          <w:rFonts w:ascii="Times New Roman" w:hAnsi="Times New Roman" w:eastAsia="等线" w:cs="Times New Roman"/>
          <w:sz w:val="22"/>
          <w:vertAlign w:val="superscript"/>
        </w:rPr>
        <w:t>ΔCt</w:t>
      </w:r>
      <w:r>
        <w:rPr>
          <w:rFonts w:ascii="Times New Roman" w:hAnsi="Times New Roman" w:eastAsia="等线" w:cs="Times New Roman"/>
          <w:sz w:val="22"/>
        </w:rPr>
        <w:t xml:space="preserve"> or 2</w:t>
      </w:r>
      <w:r>
        <w:rPr>
          <w:rFonts w:ascii="Times New Roman" w:hAnsi="Times New Roman" w:eastAsia="微软雅黑" w:cs="Times New Roman"/>
          <w:sz w:val="22"/>
          <w:vertAlign w:val="superscript"/>
        </w:rPr>
        <w:t>−</w:t>
      </w:r>
      <w:r>
        <w:rPr>
          <w:rFonts w:ascii="Times New Roman" w:hAnsi="Times New Roman" w:eastAsia="等线" w:cs="Times New Roman"/>
          <w:sz w:val="22"/>
          <w:vertAlign w:val="superscript"/>
        </w:rPr>
        <w:t xml:space="preserve">ΔΔCt </w:t>
      </w:r>
      <w:r>
        <w:rPr>
          <w:rFonts w:ascii="Times New Roman" w:hAnsi="Times New Roman" w:eastAsia="等线" w:cs="Times New Roman"/>
          <w:sz w:val="22"/>
        </w:rPr>
        <w:t>m</w:t>
      </w:r>
      <w:r>
        <w:rPr>
          <w:rFonts w:ascii="Times New Roman" w:hAnsi="Times New Roman" w:cs="Times New Roman"/>
          <w:sz w:val="22"/>
        </w:rPr>
        <w:t xml:space="preserve">ethod. Primers were listed in Supplementary </w:t>
      </w:r>
      <w:r>
        <w:rPr>
          <w:rFonts w:hint="eastAsia" w:ascii="Times New Roman" w:hAnsi="Times New Roman" w:cs="Times New Roman"/>
          <w:sz w:val="22"/>
          <w:lang w:val="en-US" w:eastAsia="zh-CN"/>
        </w:rPr>
        <w:t>T</w:t>
      </w:r>
      <w:r>
        <w:rPr>
          <w:rFonts w:ascii="Times New Roman" w:hAnsi="Times New Roman" w:cs="Times New Roman"/>
          <w:sz w:val="22"/>
        </w:rPr>
        <w:t>able 3.</w:t>
      </w:r>
    </w:p>
    <w:p>
      <w:pPr>
        <w:rPr>
          <w:rFonts w:ascii="Times New Roman" w:hAnsi="Times New Roman" w:cs="Times New Roman"/>
          <w:bCs/>
          <w:sz w:val="18"/>
          <w:szCs w:val="18"/>
        </w:rPr>
      </w:pPr>
    </w:p>
    <w:p>
      <w:pPr>
        <w:spacing w:line="360" w:lineRule="auto"/>
        <w:rPr>
          <w:rFonts w:hint="default" w:ascii="Times New Roman" w:hAnsi="Times New Roman" w:cs="Times New Roman"/>
          <w:b/>
          <w:bCs/>
          <w:sz w:val="22"/>
          <w:lang w:val="en-US" w:eastAsia="zh-CN"/>
        </w:rPr>
      </w:pPr>
      <w:r>
        <w:rPr>
          <w:rFonts w:hint="eastAsia" w:ascii="Times New Roman" w:hAnsi="Times New Roman" w:cs="Times New Roman"/>
          <w:b/>
          <w:bCs/>
          <w:sz w:val="22"/>
          <w:lang w:val="en-US" w:eastAsia="zh-CN"/>
        </w:rPr>
        <w:t>Reference</w:t>
      </w:r>
      <w:bookmarkStart w:id="3" w:name="_GoBack"/>
      <w:bookmarkEnd w:id="3"/>
    </w:p>
    <w:p>
      <w:pPr>
        <w:pStyle w:val="19"/>
      </w:pPr>
      <w:r>
        <w:rPr>
          <w:rFonts w:ascii="Times New Roman" w:hAnsi="Times New Roman" w:cs="Times New Roman"/>
          <w:bCs/>
          <w:sz w:val="18"/>
          <w:szCs w:val="18"/>
        </w:rPr>
        <w:fldChar w:fldCharType="begin"/>
      </w:r>
      <w:r>
        <w:rPr>
          <w:rFonts w:ascii="Times New Roman" w:hAnsi="Times New Roman" w:cs="Times New Roman"/>
          <w:bCs/>
          <w:sz w:val="18"/>
          <w:szCs w:val="18"/>
        </w:rPr>
        <w:instrText xml:space="preserve"> ADDIN EN.REFLIST </w:instrText>
      </w:r>
      <w:r>
        <w:rPr>
          <w:rFonts w:ascii="Times New Roman" w:hAnsi="Times New Roman" w:cs="Times New Roman"/>
          <w:bCs/>
          <w:sz w:val="18"/>
          <w:szCs w:val="18"/>
        </w:rPr>
        <w:fldChar w:fldCharType="separate"/>
      </w:r>
      <w:r>
        <w:t>1. Karreth FA, Pandolfi PP. ceRNA cross-talk in cancer: when ce-bling rivalries go awry. Cancer discovery. 2013;3(10):1113-21. doi: 10.1158/2159-8290.Cd-13-0202.</w:t>
      </w:r>
    </w:p>
    <w:p>
      <w:pPr>
        <w:pStyle w:val="19"/>
      </w:pPr>
      <w:r>
        <w:t>2. Yoshihara K, Shahmoradgoli M, Martínez E, Vegesna R, Kim H, Torres-Garcia W, et al. Inferring tumour purity and stromal and immune cell admixture from expression data. Nature communications. 2013;4:2612. doi: 10.1038/ncomms3612.</w:t>
      </w:r>
    </w:p>
    <w:p>
      <w:pPr>
        <w:pStyle w:val="19"/>
      </w:pPr>
      <w:r>
        <w:t>3. Newman AM, Liu CL, Green MR, Gentles AJ, Feng W, Xu Y, et al. Robust enumeration of cell subsets from tissue expression profiles. Nature methods. 2015;12(5):453-7. doi: 10.1038/nmeth.3337.</w:t>
      </w:r>
    </w:p>
    <w:p>
      <w:pPr>
        <w:pStyle w:val="19"/>
      </w:pPr>
      <w:r>
        <w:t>4. Bagaev A, Kotlov N, Nomie K, Svekolkin V, Gafurov A, Isaeva O, et al. Conserved pan-cancer microenvironment subtypes predict response to immunotherapy. Cancer cell. 2021;39(6):845-65.e7. doi: 10.1016/j.ccell.2021.04.014.</w:t>
      </w:r>
    </w:p>
    <w:p>
      <w:pPr>
        <w:rPr>
          <w:rFonts w:ascii="Times New Roman" w:hAnsi="Times New Roman" w:cs="Times New Roman"/>
          <w:bCs/>
          <w:sz w:val="18"/>
          <w:szCs w:val="18"/>
        </w:rPr>
      </w:pPr>
      <w:r>
        <w:rPr>
          <w:rFonts w:ascii="Times New Roman" w:hAnsi="Times New Roman" w:cs="Times New Roman"/>
          <w:bCs/>
          <w:sz w:val="18"/>
          <w:szCs w:val="18"/>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dvPA568">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1NDViY2Q0MWRjNDRlMmExMzNiNzhmNTEwMmI1ZWQifQ=="/>
    <w:docVar w:name="EN.InstantFormat" w:val="&lt;ENInstantFormat&gt;&lt;Enabled&gt;1&lt;/Enabled&gt;&lt;ScanUnformatted&gt;1&lt;/ScanUnformatted&gt;&lt;ScanChanges&gt;1&lt;/ScanChanges&gt;&lt;Suspended&gt;0&lt;/Suspended&gt;&lt;/ENInstantFormat&gt;"/>
    <w:docVar w:name="EN.Layout" w:val="&lt;ENLayout&gt;&lt;Style&gt;Springer 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2axeaa2e5z9frepd9d5d5s2zdw0svs25vvp&quot;&gt;My EndNote Library&lt;record-ids&gt;&lt;item&gt;4&lt;/item&gt;&lt;item&gt;5&lt;/item&gt;&lt;item&gt;6&lt;/item&gt;&lt;/record-ids&gt;&lt;/item&gt;&lt;/Libraries&gt;"/>
  </w:docVars>
  <w:rsids>
    <w:rsidRoot w:val="00851ADD"/>
    <w:rsid w:val="000836D7"/>
    <w:rsid w:val="00184383"/>
    <w:rsid w:val="001E11E9"/>
    <w:rsid w:val="00287333"/>
    <w:rsid w:val="002936D1"/>
    <w:rsid w:val="002B0968"/>
    <w:rsid w:val="00377173"/>
    <w:rsid w:val="003A0BB6"/>
    <w:rsid w:val="00415E67"/>
    <w:rsid w:val="00486037"/>
    <w:rsid w:val="004E3B14"/>
    <w:rsid w:val="004E3F81"/>
    <w:rsid w:val="006A68E3"/>
    <w:rsid w:val="006D2463"/>
    <w:rsid w:val="006E45C2"/>
    <w:rsid w:val="007167DD"/>
    <w:rsid w:val="007465BA"/>
    <w:rsid w:val="007511CB"/>
    <w:rsid w:val="00820054"/>
    <w:rsid w:val="00843897"/>
    <w:rsid w:val="00851ADD"/>
    <w:rsid w:val="00991528"/>
    <w:rsid w:val="009F01EA"/>
    <w:rsid w:val="009F62CA"/>
    <w:rsid w:val="00A660B3"/>
    <w:rsid w:val="00A90BDA"/>
    <w:rsid w:val="00B87561"/>
    <w:rsid w:val="00CA3AEC"/>
    <w:rsid w:val="00CD3C04"/>
    <w:rsid w:val="00D05CB4"/>
    <w:rsid w:val="00D24027"/>
    <w:rsid w:val="00D44536"/>
    <w:rsid w:val="00D529DF"/>
    <w:rsid w:val="00D85568"/>
    <w:rsid w:val="00E7726F"/>
    <w:rsid w:val="00EC1878"/>
    <w:rsid w:val="00F15571"/>
    <w:rsid w:val="00F67BC6"/>
    <w:rsid w:val="00F965E6"/>
    <w:rsid w:val="03DF5814"/>
    <w:rsid w:val="0F1B1ADC"/>
    <w:rsid w:val="124173E6"/>
    <w:rsid w:val="15F8734A"/>
    <w:rsid w:val="19D566CC"/>
    <w:rsid w:val="29994C39"/>
    <w:rsid w:val="3892141F"/>
    <w:rsid w:val="436A7962"/>
    <w:rsid w:val="52CC563C"/>
    <w:rsid w:val="55F967B5"/>
    <w:rsid w:val="56DA5BA2"/>
    <w:rsid w:val="5EF45DA1"/>
    <w:rsid w:val="67D1288F"/>
    <w:rsid w:val="75B5747F"/>
    <w:rsid w:val="774D5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styleId="9">
    <w:name w:val="annotation reference"/>
    <w:basedOn w:val="7"/>
    <w:semiHidden/>
    <w:unhideWhenUsed/>
    <w:qFormat/>
    <w:uiPriority w:val="99"/>
    <w:rPr>
      <w:sz w:val="21"/>
      <w:szCs w:val="21"/>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character" w:customStyle="1" w:styleId="12">
    <w:name w:val="fontstyle01"/>
    <w:basedOn w:val="7"/>
    <w:qFormat/>
    <w:uiPriority w:val="0"/>
    <w:rPr>
      <w:rFonts w:hint="default" w:ascii="AdvPA568" w:hAnsi="AdvPA568"/>
      <w:color w:val="231F20"/>
      <w:sz w:val="28"/>
      <w:szCs w:val="28"/>
    </w:rPr>
  </w:style>
  <w:style w:type="character" w:customStyle="1" w:styleId="13">
    <w:name w:val="批注文字 字符"/>
    <w:basedOn w:val="7"/>
    <w:link w:val="2"/>
    <w:semiHidden/>
    <w:qFormat/>
    <w:uiPriority w:val="99"/>
  </w:style>
  <w:style w:type="table" w:customStyle="1" w:styleId="14">
    <w:name w:val="清单表 6 彩色 - 着色 31"/>
    <w:basedOn w:val="5"/>
    <w:qFormat/>
    <w:uiPriority w:val="51"/>
    <w:rPr>
      <w:color w:val="7C7C7C" w:themeColor="accent3" w:themeShade="BF"/>
    </w:rPr>
    <w:tblPr>
      <w:tblBorders>
        <w:top w:val="single" w:color="A5A5A5" w:themeColor="accent3" w:sz="4" w:space="0"/>
        <w:bottom w:val="single" w:color="A5A5A5" w:themeColor="accent3" w:sz="4" w:space="0"/>
      </w:tblBorders>
    </w:tblPr>
    <w:tblStylePr w:type="firstRow">
      <w:rPr>
        <w:b/>
        <w:bCs/>
      </w:rPr>
      <w:tcPr>
        <w:tcBorders>
          <w:bottom w:val="single" w:color="A5A5A5" w:themeColor="accent3" w:sz="4" w:space="0"/>
        </w:tcBorders>
      </w:tcPr>
    </w:tblStylePr>
    <w:tblStylePr w:type="lastRow">
      <w:rPr>
        <w:b/>
        <w:bCs/>
      </w:rPr>
      <w:tcPr>
        <w:tcBorders>
          <w:top w:val="double" w:color="A5A5A5" w:themeColor="accent3"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paragraph" w:customStyle="1" w:styleId="15">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6">
    <w:name w:val="未处理的提及1"/>
    <w:basedOn w:val="7"/>
    <w:semiHidden/>
    <w:unhideWhenUsed/>
    <w:qFormat/>
    <w:uiPriority w:val="99"/>
    <w:rPr>
      <w:color w:val="605E5C"/>
      <w:shd w:val="clear" w:color="auto" w:fill="E1DFDD"/>
    </w:rPr>
  </w:style>
  <w:style w:type="paragraph" w:customStyle="1" w:styleId="17">
    <w:name w:val="EndNote Bibliography Title"/>
    <w:basedOn w:val="1"/>
    <w:link w:val="18"/>
    <w:qFormat/>
    <w:uiPriority w:val="0"/>
    <w:pPr>
      <w:jc w:val="center"/>
    </w:pPr>
    <w:rPr>
      <w:rFonts w:ascii="等线" w:hAnsi="等线" w:eastAsia="等线"/>
      <w:sz w:val="20"/>
    </w:rPr>
  </w:style>
  <w:style w:type="character" w:customStyle="1" w:styleId="18">
    <w:name w:val="EndNote Bibliography Title 字符"/>
    <w:basedOn w:val="7"/>
    <w:link w:val="17"/>
    <w:qFormat/>
    <w:uiPriority w:val="0"/>
    <w:rPr>
      <w:rFonts w:ascii="等线" w:hAnsi="等线" w:eastAsia="等线"/>
      <w:kern w:val="2"/>
      <w:szCs w:val="22"/>
    </w:rPr>
  </w:style>
  <w:style w:type="paragraph" w:customStyle="1" w:styleId="19">
    <w:name w:val="EndNote Bibliography"/>
    <w:basedOn w:val="1"/>
    <w:link w:val="20"/>
    <w:qFormat/>
    <w:uiPriority w:val="0"/>
    <w:rPr>
      <w:rFonts w:ascii="等线" w:hAnsi="等线" w:eastAsia="等线"/>
      <w:sz w:val="20"/>
    </w:rPr>
  </w:style>
  <w:style w:type="character" w:customStyle="1" w:styleId="20">
    <w:name w:val="EndNote Bibliography 字符"/>
    <w:basedOn w:val="7"/>
    <w:link w:val="19"/>
    <w:qFormat/>
    <w:uiPriority w:val="0"/>
    <w:rPr>
      <w:rFonts w:ascii="等线" w:hAnsi="等线" w:eastAsia="等线"/>
      <w:kern w:val="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1398</Words>
  <Characters>8118</Characters>
  <Lines>69</Lines>
  <Paragraphs>19</Paragraphs>
  <TotalTime>384</TotalTime>
  <ScaleCrop>false</ScaleCrop>
  <LinksUpToDate>false</LinksUpToDate>
  <CharactersWithSpaces>9488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2022-10-31T01:36:00Z</dcterms:created>
  <dc:creator>虾 饺</dc:creator>
  <cp:lastModifiedBy>Murmurs</cp:lastModifiedBy>
  <dcterms:modified xsi:type="dcterms:W3CDTF">2023-05-31T10:44:37Z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9C9401C06C5A4B0B82716C8475000303</vt:lpwstr>
  </property>
</Properties>
</file>