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1CA0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1565"/>
            <wp:effectExtent l="0" t="0" r="8890" b="698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14AE2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 xml:space="preserve">Figure S1. </w:t>
      </w:r>
      <w:r>
        <w:rPr>
          <w:rFonts w:ascii="Times New Roman" w:hAnsi="Times New Roman" w:eastAsia="宋体" w:cs="Times New Roman"/>
          <w:szCs w:val="21"/>
        </w:rPr>
        <w:t>Flowchart of this study.</w:t>
      </w:r>
    </w:p>
    <w:p w14:paraId="35DE748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3551555"/>
            <wp:effectExtent l="0" t="0" r="3810" b="1270"/>
            <wp:docPr id="5" name="图片 5" descr="S2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2新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5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9ACA3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szCs w:val="21"/>
        </w:rPr>
      </w:pPr>
      <w:r>
        <w:rPr>
          <w:rStyle w:val="4"/>
          <w:rFonts w:ascii="Times New Roman" w:hAnsi="Times New Roman" w:eastAsia="宋体" w:cs="Times New Roman"/>
          <w:szCs w:val="21"/>
        </w:rPr>
        <w:t>Figure S2</w:t>
      </w:r>
      <w:r>
        <w:rPr>
          <w:rFonts w:ascii="Times New Roman" w:hAnsi="Times New Roman" w:eastAsia="宋体" w:cs="Times New Roman"/>
          <w:szCs w:val="21"/>
        </w:rPr>
        <w:t>. Kaplan-Meier survival curves analysis for different risk groups and clinical characteristics.</w:t>
      </w:r>
      <w:bookmarkStart w:id="0" w:name="_GoBack"/>
      <w:bookmarkEnd w:id="0"/>
    </w:p>
    <w:p w14:paraId="0B397978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szCs w:val="21"/>
        </w:rPr>
      </w:pPr>
    </w:p>
    <w:p w14:paraId="174B6575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szCs w:val="21"/>
        </w:rPr>
      </w:pPr>
    </w:p>
    <w:p w14:paraId="077928D6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szCs w:val="21"/>
        </w:rPr>
      </w:pPr>
    </w:p>
    <w:p w14:paraId="24831D48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szCs w:val="21"/>
        </w:rPr>
      </w:pPr>
    </w:p>
    <w:p w14:paraId="79E82C9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3771265"/>
            <wp:effectExtent l="0" t="0" r="6350" b="635"/>
            <wp:docPr id="3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7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3BBFB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sz w:val="24"/>
        </w:rPr>
      </w:pPr>
      <w:r>
        <w:rPr>
          <w:rStyle w:val="4"/>
          <w:rFonts w:ascii="Times New Roman" w:hAnsi="Times New Roman" w:eastAsia="宋体" w:cs="Times New Roman"/>
          <w:bCs/>
          <w:szCs w:val="21"/>
        </w:rPr>
        <w:t xml:space="preserve">Figure S3. </w:t>
      </w:r>
      <w:r>
        <w:rPr>
          <w:rStyle w:val="4"/>
          <w:rFonts w:ascii="Times New Roman" w:hAnsi="Times New Roman" w:eastAsia="宋体" w:cs="Times New Roman"/>
          <w:b w:val="0"/>
          <w:szCs w:val="21"/>
        </w:rPr>
        <w:t xml:space="preserve">Drug sensitivity </w:t>
      </w:r>
      <w:r>
        <w:rPr>
          <w:rFonts w:ascii="Times New Roman" w:hAnsi="Times New Roman" w:eastAsia="宋体" w:cs="Times New Roman"/>
          <w:szCs w:val="21"/>
        </w:rPr>
        <w:t xml:space="preserve">analysis </w:t>
      </w:r>
      <w:r>
        <w:rPr>
          <w:rStyle w:val="4"/>
          <w:rFonts w:ascii="Times New Roman" w:hAnsi="Times New Roman" w:eastAsia="宋体" w:cs="Times New Roman"/>
          <w:b w:val="0"/>
          <w:szCs w:val="21"/>
        </w:rPr>
        <w:t>results in distinct risk groups.</w:t>
      </w:r>
    </w:p>
    <w:p w14:paraId="4BD3D58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828280"/>
            <wp:effectExtent l="0" t="0" r="8890" b="1270"/>
            <wp:docPr id="4" name="图片 4" descr="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82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43D8A">
      <w:pPr>
        <w:adjustRightInd w:val="0"/>
        <w:snapToGrid w:val="0"/>
        <w:spacing w:line="480" w:lineRule="auto"/>
        <w:rPr>
          <w:rStyle w:val="4"/>
          <w:rFonts w:hint="default" w:ascii="Times New Roman" w:hAnsi="Times New Roman" w:eastAsia="宋体" w:cs="Times New Roman"/>
          <w:b w:val="0"/>
          <w:szCs w:val="21"/>
          <w:lang w:val="en-US" w:eastAsia="zh-CN"/>
        </w:rPr>
      </w:pPr>
      <w:r>
        <w:rPr>
          <w:rStyle w:val="4"/>
          <w:rFonts w:hint="default" w:ascii="Times New Roman" w:hAnsi="Times New Roman" w:eastAsia="宋体" w:cs="Times New Roman"/>
          <w:b/>
          <w:bCs/>
          <w:szCs w:val="21"/>
        </w:rPr>
        <w:t>Figure S</w:t>
      </w:r>
      <w:r>
        <w:rPr>
          <w:rStyle w:val="4"/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4</w:t>
      </w:r>
      <w:r>
        <w:rPr>
          <w:rStyle w:val="4"/>
          <w:rFonts w:hint="default" w:ascii="Times New Roman" w:hAnsi="Times New Roman" w:eastAsia="宋体" w:cs="Times New Roman"/>
          <w:b/>
          <w:bCs/>
          <w:szCs w:val="21"/>
        </w:rPr>
        <w:t xml:space="preserve">. </w:t>
      </w:r>
      <w:r>
        <w:rPr>
          <w:rStyle w:val="4"/>
          <w:rFonts w:hint="default" w:ascii="Times New Roman" w:hAnsi="Times New Roman" w:eastAsia="宋体" w:cs="Times New Roman"/>
          <w:b w:val="0"/>
          <w:szCs w:val="21"/>
        </w:rPr>
        <w:t>Genomic analysis of the four model genes and GSEA enrichment analysis.</w:t>
      </w:r>
      <w:r>
        <w:rPr>
          <w:rStyle w:val="4"/>
          <w:rFonts w:hint="default" w:ascii="Times New Roman" w:hAnsi="Times New Roman" w:eastAsia="宋体" w:cs="Times New Roman"/>
          <w:b/>
          <w:bCs/>
          <w:szCs w:val="21"/>
        </w:rPr>
        <w:t xml:space="preserve"> (A)</w:t>
      </w:r>
      <w:r>
        <w:rPr>
          <w:rStyle w:val="4"/>
          <w:rFonts w:hint="default" w:ascii="Times New Roman" w:hAnsi="Times New Roman" w:eastAsia="宋体" w:cs="Times New Roman"/>
          <w:b w:val="0"/>
          <w:szCs w:val="21"/>
        </w:rPr>
        <w:t xml:space="preserve"> Protein structure and mutation sites of the four model genes displayed through cBioPortal in the TCGA database;</w:t>
      </w:r>
      <w:r>
        <w:rPr>
          <w:rStyle w:val="4"/>
          <w:rFonts w:hint="default" w:ascii="Times New Roman" w:hAnsi="Times New Roman" w:eastAsia="宋体" w:cs="Times New Roman"/>
          <w:b/>
          <w:bCs/>
          <w:szCs w:val="21"/>
        </w:rPr>
        <w:t xml:space="preserve"> (B) </w:t>
      </w:r>
      <w:r>
        <w:rPr>
          <w:rStyle w:val="4"/>
          <w:rFonts w:hint="default" w:ascii="Times New Roman" w:hAnsi="Times New Roman" w:eastAsia="宋体" w:cs="Times New Roman"/>
          <w:b w:val="0"/>
          <w:szCs w:val="21"/>
        </w:rPr>
        <w:t>Bar chart showing the frequency of different mutation types in each gene;</w:t>
      </w:r>
      <w:r>
        <w:rPr>
          <w:rStyle w:val="4"/>
          <w:rFonts w:hint="default" w:ascii="Times New Roman" w:hAnsi="Times New Roman" w:eastAsia="宋体" w:cs="Times New Roman"/>
          <w:b/>
          <w:bCs/>
          <w:szCs w:val="21"/>
        </w:rPr>
        <w:t xml:space="preserve"> (C) </w:t>
      </w:r>
      <w:r>
        <w:rPr>
          <w:rStyle w:val="4"/>
          <w:rFonts w:hint="default" w:ascii="Times New Roman" w:hAnsi="Times New Roman" w:eastAsia="宋体" w:cs="Times New Roman"/>
          <w:b w:val="0"/>
          <w:szCs w:val="21"/>
        </w:rPr>
        <w:t>Co-expression gene circle plot;</w:t>
      </w:r>
      <w:r>
        <w:rPr>
          <w:rStyle w:val="4"/>
          <w:rFonts w:hint="default" w:ascii="Times New Roman" w:hAnsi="Times New Roman" w:eastAsia="宋体" w:cs="Times New Roman"/>
          <w:b/>
          <w:bCs/>
          <w:szCs w:val="21"/>
        </w:rPr>
        <w:t xml:space="preserve"> (D)</w:t>
      </w:r>
      <w:r>
        <w:rPr>
          <w:rStyle w:val="4"/>
          <w:rFonts w:hint="default" w:ascii="Times New Roman" w:hAnsi="Times New Roman" w:eastAsia="宋体" w:cs="Times New Roman"/>
          <w:b w:val="0"/>
          <w:szCs w:val="21"/>
        </w:rPr>
        <w:t xml:space="preserve"> GSEA-GO enrichment analysis; </w:t>
      </w:r>
      <w:r>
        <w:rPr>
          <w:rStyle w:val="4"/>
          <w:rFonts w:hint="default" w:ascii="Times New Roman" w:hAnsi="Times New Roman" w:eastAsia="宋体" w:cs="Times New Roman"/>
          <w:b/>
          <w:bCs/>
          <w:szCs w:val="21"/>
        </w:rPr>
        <w:t>(E)</w:t>
      </w:r>
      <w:r>
        <w:rPr>
          <w:rStyle w:val="4"/>
          <w:rFonts w:hint="default" w:ascii="Times New Roman" w:hAnsi="Times New Roman" w:eastAsia="宋体" w:cs="Times New Roman"/>
          <w:b w:val="0"/>
          <w:szCs w:val="21"/>
        </w:rPr>
        <w:t xml:space="preserve"> GSEA-KEGG enrichment analysis.</w:t>
      </w:r>
    </w:p>
    <w:p w14:paraId="7E98F300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583559"/>
    <w:rsid w:val="163425D3"/>
    <w:rsid w:val="3049057C"/>
    <w:rsid w:val="5C6F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86</Words>
  <Characters>505</Characters>
  <Lines>0</Lines>
  <Paragraphs>0</Paragraphs>
  <TotalTime>0</TotalTime>
  <ScaleCrop>false</ScaleCrop>
  <LinksUpToDate>false</LinksUpToDate>
  <CharactersWithSpaces>587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2025-12-17T07:10:00Z</dcterms:created>
  <dc:creator>wsx</dc:creator>
  <cp:lastModifiedBy>xuan</cp:lastModifiedBy>
  <dcterms:modified xsi:type="dcterms:W3CDTF">2025-12-30T05:16:34Z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eyJoZGlkIjoiM2FiZDIzMjBhYjY3YjcwYmIxYWI1NjM4YzVmYjEyMDMiLCJ1c2VySWQiOiI1MDAxODY2MDcifQ==</vt:lpwstr>
  </property>
  <property fmtid="{D5CDD505-2E9C-101B-9397-08002B2CF9AE}" pid="4" name="ICV">
    <vt:lpwstr>EEA8EFF7D08D4D81B87F4D7F57ED3A60_12</vt:lpwstr>
  </property>
</Properties>
</file>