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C34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221" w:firstLineChars="100"/>
        <w:jc w:val="both"/>
        <w:textAlignment w:val="auto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S1. </w:t>
      </w:r>
      <w:r>
        <w:rPr>
          <w:rFonts w:hint="eastAsia" w:ascii="Times New Roman" w:hAnsi="Times New Roman" w:cs="Times New Roman" w:eastAsiaTheme="minorEastAsia"/>
          <w:b w:val="0"/>
          <w:bCs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Clinical and pathological characteristics of the TCGA-LUAD cohort (n=522).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2041"/>
        <w:gridCol w:w="2041"/>
      </w:tblGrid>
      <w:tr w14:paraId="4CC3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3123702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Clinical Variable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EA2CCCA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7CB4EB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Number of Patients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06EAA2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Percentage (%)</w:t>
            </w:r>
          </w:p>
        </w:tc>
      </w:tr>
      <w:tr w14:paraId="13F2E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EBA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12C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B84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B82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46.4%</w:t>
            </w:r>
          </w:p>
        </w:tc>
      </w:tr>
      <w:tr w14:paraId="6A009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86E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3D5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781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F1F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53.6%</w:t>
            </w:r>
          </w:p>
        </w:tc>
      </w:tr>
      <w:tr w14:paraId="6B3F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1EB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10029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&lt; 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78B9C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02F9C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26.6%</w:t>
            </w:r>
          </w:p>
        </w:tc>
      </w:tr>
      <w:tr w14:paraId="220A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20E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F139B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831B0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364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EF071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69.8%</w:t>
            </w:r>
          </w:p>
        </w:tc>
      </w:tr>
      <w:tr w14:paraId="0C9BB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825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AD31D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2F97D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483E9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3.6%</w:t>
            </w:r>
          </w:p>
        </w:tc>
      </w:tr>
      <w:tr w14:paraId="2453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108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E88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Stage 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CB3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1A4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53.4%</w:t>
            </w:r>
          </w:p>
        </w:tc>
      </w:tr>
      <w:tr w14:paraId="7DFA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1EB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3CE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Stage II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664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F07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23.8%</w:t>
            </w:r>
          </w:p>
        </w:tc>
      </w:tr>
      <w:tr w14:paraId="7771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CD2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4E1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Stage III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D92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85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BC5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16.3%</w:t>
            </w:r>
          </w:p>
        </w:tc>
      </w:tr>
      <w:tr w14:paraId="4F12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9CD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CBB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Stage IV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B30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CDB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5.0%</w:t>
            </w:r>
          </w:p>
        </w:tc>
      </w:tr>
      <w:tr w14:paraId="64D1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1BD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313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Not Available (NA)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E4C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DE5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1.5%</w:t>
            </w:r>
          </w:p>
        </w:tc>
      </w:tr>
      <w:tr w14:paraId="28B3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748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 Stage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932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3EB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B49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33.0%</w:t>
            </w:r>
          </w:p>
        </w:tc>
      </w:tr>
      <w:tr w14:paraId="0BE1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A56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D30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1AC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2BB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53.8%</w:t>
            </w:r>
          </w:p>
        </w:tc>
      </w:tr>
      <w:tr w14:paraId="11B1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708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3B1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C30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D36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9.0%</w:t>
            </w:r>
          </w:p>
        </w:tc>
      </w:tr>
      <w:tr w14:paraId="66A8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F96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1AF7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75FD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849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3.6%</w:t>
            </w:r>
          </w:p>
        </w:tc>
      </w:tr>
      <w:tr w14:paraId="176E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D26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290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Tx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71E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A6C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0.6%</w:t>
            </w:r>
          </w:p>
        </w:tc>
      </w:tr>
      <w:tr w14:paraId="2C6E3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5CA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 Stage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5D6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B3D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936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64.2%</w:t>
            </w:r>
          </w:p>
        </w:tc>
      </w:tr>
      <w:tr w14:paraId="79111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AE0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095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837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98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AAC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18.8%</w:t>
            </w:r>
          </w:p>
        </w:tc>
      </w:tr>
      <w:tr w14:paraId="5E3E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570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3E5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A80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5D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14.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</w:tr>
      <w:tr w14:paraId="5059A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80E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8D8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8E6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A1A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0.4%</w:t>
            </w:r>
          </w:p>
        </w:tc>
      </w:tr>
      <w:tr w14:paraId="5231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4E5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BAE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Nx/Unknown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56B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194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2.3%</w:t>
            </w:r>
          </w:p>
        </w:tc>
      </w:tr>
      <w:tr w14:paraId="37D72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C0D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M Stage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281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M0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D17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4E6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67.6%</w:t>
            </w:r>
          </w:p>
        </w:tc>
      </w:tr>
      <w:tr w14:paraId="7367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EF5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A3A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M1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AF8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4BA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4.8%</w:t>
            </w:r>
          </w:p>
        </w:tc>
      </w:tr>
      <w:tr w14:paraId="6FD6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048F0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74D97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Mx/Unknown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08168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5D0B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27.6%</w:t>
            </w:r>
          </w:p>
        </w:tc>
      </w:tr>
    </w:tbl>
    <w:p w14:paraId="66166A5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5026F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423C6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8FB0A3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7585F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903BD0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72DB5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D12A5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283B3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2F290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0ECD4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7432F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6CF64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A009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760A9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firstLine="442" w:firstLineChars="200"/>
        <w:textAlignment w:val="auto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 w:val="0"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Table S2.</w:t>
      </w:r>
      <w:r>
        <w:rPr>
          <w:rFonts w:hint="eastAsia" w:ascii="Times New Roman" w:hAnsi="Times New Roman" w:cs="Times New Roman" w:eastAsiaTheme="minorEastAsia"/>
          <w:b w:val="0"/>
          <w:bCs/>
          <w:color w:val="000000" w:themeColor="text1"/>
          <w:kern w:val="2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 xml:space="preserve"> Clinical and pathological characteristics of the GSE72094 cohort (n=442).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2041"/>
        <w:gridCol w:w="2041"/>
      </w:tblGrid>
      <w:tr w14:paraId="4B9BC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8A971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Clinical Variable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4732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Category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D4E3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Number of Patients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FB7D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Percentage (%)</w:t>
            </w:r>
          </w:p>
        </w:tc>
      </w:tr>
      <w:tr w14:paraId="52FD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1E1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Sex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906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Male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7BB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202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CBC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45.7%</w:t>
            </w:r>
          </w:p>
        </w:tc>
      </w:tr>
      <w:tr w14:paraId="4627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A65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E34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Female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9B6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240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98A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54.3%</w:t>
            </w:r>
          </w:p>
        </w:tc>
      </w:tr>
      <w:tr w14:paraId="7820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98E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F3C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&lt;60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103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939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13.6%</w:t>
            </w:r>
          </w:p>
        </w:tc>
      </w:tr>
      <w:tr w14:paraId="657C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096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E7E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≥60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7D4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361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D9A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81.6%</w:t>
            </w:r>
          </w:p>
        </w:tc>
      </w:tr>
      <w:tr w14:paraId="7A1D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7E5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F26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Unknown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70C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3EC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4.8%</w:t>
            </w:r>
          </w:p>
        </w:tc>
      </w:tr>
      <w:tr w14:paraId="3646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72F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Stage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44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Stage 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E30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265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B45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60.0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%</w:t>
            </w:r>
          </w:p>
        </w:tc>
      </w:tr>
      <w:tr w14:paraId="4643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D31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48F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Stage II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E62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69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9EC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15.6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%</w:t>
            </w:r>
          </w:p>
        </w:tc>
      </w:tr>
      <w:tr w14:paraId="2A62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038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C40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Stage III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869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63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CD2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4.3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%</w:t>
            </w:r>
          </w:p>
        </w:tc>
      </w:tr>
      <w:tr w14:paraId="6B598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8CA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DA9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Stage IV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DBC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17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F2A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3.8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%</w:t>
            </w:r>
          </w:p>
        </w:tc>
      </w:tr>
      <w:tr w14:paraId="6F5FB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451E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698AB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Not Available (NA)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1C7A4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28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59B27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6.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</w:rPr>
              <w:t>%</w:t>
            </w:r>
          </w:p>
        </w:tc>
      </w:tr>
    </w:tbl>
    <w:p w14:paraId="7D984AE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/>
          <w:color w:val="C81D31" w:themeColor="accent6" w:themeShade="BF"/>
          <w:kern w:val="2"/>
          <w:sz w:val="24"/>
          <w:szCs w:val="24"/>
          <w:lang w:val="en-US" w:eastAsia="zh-CN" w:bidi="ar-SA"/>
        </w:rPr>
      </w:pPr>
    </w:p>
    <w:p w14:paraId="55ECA3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63A93"/>
    <w:rsid w:val="1A116732"/>
    <w:rsid w:val="262B3F27"/>
    <w:rsid w:val="36932551"/>
    <w:rsid w:val="488F3217"/>
    <w:rsid w:val="4CA63A93"/>
    <w:rsid w:val="6E5A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</Words>
  <Characters>700</Characters>
  <Lines>0</Lines>
  <Paragraphs>0</Paragraphs>
  <TotalTime>3</TotalTime>
  <ScaleCrop>false</ScaleCrop>
  <LinksUpToDate>false</LinksUpToDate>
  <CharactersWithSpaces>745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2025-12-30T00:39:00Z</dcterms:created>
  <dc:creator>xuan</dc:creator>
  <cp:lastModifiedBy>xuan</cp:lastModifiedBy>
  <dcterms:modified xsi:type="dcterms:W3CDTF">2025-12-30T05:17:29Z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927B1E77496B410DAA3BAAA894294277_13</vt:lpwstr>
  </property>
  <property fmtid="{D5CDD505-2E9C-101B-9397-08002B2CF9AE}" pid="4" name="KSOTemplateDocerSaveRecord">
    <vt:lpwstr>eyJoZGlkIjoiM2FiZDIzMjBhYjY3YjcwYmIxYWI1NjM4YzVmYjEyMDMiLCJ1c2VySWQiOiI1MDAxODY2MDcifQ==</vt:lpwstr>
  </property>
</Properties>
</file>